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textAlignment w:val="baseline"/>
        <w:rPr>
          <w:rFonts w:ascii="宋体" w:hAnsi="宋体" w:cs="方正小标宋_GBK"/>
          <w:color w:val="000000"/>
          <w:kern w:val="0"/>
          <w:sz w:val="44"/>
          <w:szCs w:val="44"/>
        </w:rPr>
      </w:pPr>
      <w:r>
        <w:rPr>
          <w:rFonts w:hint="eastAsia" w:ascii="宋体" w:hAnsi="宋体" w:cs="方正小标宋_GBK"/>
          <w:color w:val="000000"/>
          <w:kern w:val="0"/>
          <w:sz w:val="44"/>
          <w:szCs w:val="44"/>
        </w:rPr>
        <w:t>四川农产品产地冷藏保鲜设施建设项目</w:t>
      </w:r>
    </w:p>
    <w:p>
      <w:pPr>
        <w:spacing w:line="620" w:lineRule="exact"/>
        <w:jc w:val="center"/>
        <w:textAlignment w:val="baseline"/>
        <w:rPr>
          <w:rFonts w:ascii="宋体" w:hAnsi="宋体" w:cs="方正小标宋_GBK"/>
          <w:color w:val="000000"/>
          <w:kern w:val="0"/>
          <w:sz w:val="44"/>
          <w:szCs w:val="44"/>
        </w:rPr>
      </w:pPr>
      <w:r>
        <w:rPr>
          <w:rFonts w:hint="eastAsia" w:ascii="宋体" w:hAnsi="宋体" w:cs="方正小标宋_GBK"/>
          <w:color w:val="000000"/>
          <w:kern w:val="0"/>
          <w:sz w:val="44"/>
          <w:szCs w:val="44"/>
        </w:rPr>
        <w:t>补助目录（2021）</w:t>
      </w:r>
    </w:p>
    <w:p>
      <w:pPr>
        <w:pStyle w:val="2"/>
        <w:spacing w:line="620" w:lineRule="exact"/>
        <w:rPr>
          <w:rFonts w:ascii="Times New Roman" w:hAnsi="Times New Roman" w:eastAsia="方正仿宋_GBK" w:cs="方正仿宋_GBK"/>
          <w:color w:val="000000"/>
          <w:sz w:val="32"/>
          <w:szCs w:val="32"/>
        </w:rPr>
      </w:pPr>
    </w:p>
    <w:p>
      <w:pPr>
        <w:overflowPunct w:val="0"/>
        <w:adjustRightInd w:val="0"/>
        <w:snapToGrid w:val="0"/>
        <w:spacing w:line="620" w:lineRule="exact"/>
        <w:ind w:firstLine="643" w:firstLineChars="200"/>
        <w:jc w:val="left"/>
        <w:rPr>
          <w:rFonts w:ascii="仿宋" w:hAnsi="仿宋" w:eastAsia="仿宋" w:cs="方正仿宋_GBK"/>
          <w:b/>
          <w:bCs/>
          <w:color w:val="000000"/>
          <w:kern w:val="21"/>
          <w:sz w:val="32"/>
          <w:szCs w:val="32"/>
        </w:rPr>
      </w:pPr>
      <w:r>
        <w:rPr>
          <w:rFonts w:hint="eastAsia" w:ascii="仿宋" w:hAnsi="仿宋" w:eastAsia="仿宋" w:cs="方正仿宋_GBK"/>
          <w:b/>
          <w:bCs/>
          <w:color w:val="000000"/>
          <w:kern w:val="21"/>
          <w:sz w:val="32"/>
          <w:szCs w:val="32"/>
        </w:rPr>
        <w:t>说明：选择相应政策补助标准档次，项目建设必须达到对应的建设规模和总投资规模，执行文件相关规定的补助环节和补助标准，并编制项目的具体建设内容和投资预算。</w:t>
      </w:r>
    </w:p>
    <w:p>
      <w:pPr>
        <w:overflowPunct w:val="0"/>
        <w:adjustRightInd w:val="0"/>
        <w:snapToGrid w:val="0"/>
        <w:spacing w:line="620" w:lineRule="exact"/>
        <w:jc w:val="center"/>
        <w:rPr>
          <w:rFonts w:ascii="仿宋" w:hAnsi="仿宋" w:eastAsia="仿宋" w:cs="方正仿宋_GBK"/>
          <w:b/>
          <w:bCs/>
          <w:color w:val="000000"/>
          <w:kern w:val="21"/>
          <w:sz w:val="32"/>
          <w:szCs w:val="32"/>
        </w:rPr>
      </w:pPr>
      <w:r>
        <w:rPr>
          <w:rFonts w:hint="eastAsia" w:ascii="仿宋" w:hAnsi="仿宋" w:eastAsia="仿宋" w:cs="方正仿宋_GBK"/>
          <w:b/>
          <w:bCs/>
          <w:color w:val="000000"/>
          <w:kern w:val="21"/>
          <w:sz w:val="32"/>
          <w:szCs w:val="32"/>
        </w:rPr>
        <w:t>（一）新建项目</w:t>
      </w:r>
    </w:p>
    <w:tbl>
      <w:tblPr>
        <w:tblStyle w:val="3"/>
        <w:tblW w:w="83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8"/>
        <w:gridCol w:w="792"/>
        <w:gridCol w:w="816"/>
        <w:gridCol w:w="1020"/>
        <w:gridCol w:w="1284"/>
        <w:gridCol w:w="26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设施类别</w:t>
            </w:r>
          </w:p>
        </w:tc>
        <w:tc>
          <w:tcPr>
            <w:tcW w:w="1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政策补助标准（万元）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建设规模不低于（吨）</w:t>
            </w:r>
          </w:p>
        </w:tc>
        <w:tc>
          <w:tcPr>
            <w:tcW w:w="12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总投资规模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不低于（万元）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非原贫困地区30%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原国家级贫困县40%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1. 我省冷链设施一般以小吨位多间组合式建设为主。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 2. 单间库容量建设规模≥100吨的，应进行分库。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 3. 库容量总规模≥500吨，原则上应配备信息采集设备。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 4. 补贴比例上限不超过仓储保鲜设施造价的30%（原国家级贫困县为40%）；单个项目补贴中央资金不超过100万元，省级资金不超过200万元。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  5. 新建“预冷库”的补贴标准参照“节能型机械冷藏库（高温库）”执行。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节能型机械冷藏库（高温库）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50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40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100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60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150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80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200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250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300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≥700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330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节能型机械冷藏库（低温库）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12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60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48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120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68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170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96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240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300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≥600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330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节能型气调贮藏库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70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40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100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68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170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96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240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≥500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330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通风库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13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12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24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60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48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120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贮藏窑（地窖）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7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17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12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30 </w:t>
            </w: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</w:tr>
    </w:tbl>
    <w:p>
      <w:pPr>
        <w:overflowPunct w:val="0"/>
        <w:adjustRightInd w:val="0"/>
        <w:snapToGrid w:val="0"/>
        <w:spacing w:line="620" w:lineRule="exact"/>
        <w:jc w:val="center"/>
        <w:rPr>
          <w:rFonts w:ascii="仿宋" w:hAnsi="仿宋" w:eastAsia="仿宋" w:cs="方正仿宋_GBK"/>
          <w:b/>
          <w:bCs/>
          <w:color w:val="000000"/>
          <w:kern w:val="21"/>
          <w:sz w:val="32"/>
          <w:szCs w:val="32"/>
        </w:rPr>
      </w:pPr>
    </w:p>
    <w:p>
      <w:pPr>
        <w:overflowPunct w:val="0"/>
        <w:adjustRightInd w:val="0"/>
        <w:snapToGrid w:val="0"/>
        <w:spacing w:line="620" w:lineRule="exact"/>
        <w:jc w:val="center"/>
        <w:rPr>
          <w:rFonts w:ascii="仿宋" w:hAnsi="仿宋" w:eastAsia="仿宋" w:cs="方正仿宋_GBK"/>
          <w:b/>
          <w:bCs/>
          <w:color w:val="000000"/>
          <w:kern w:val="21"/>
          <w:sz w:val="32"/>
          <w:szCs w:val="32"/>
        </w:rPr>
      </w:pPr>
    </w:p>
    <w:p>
      <w:pPr>
        <w:overflowPunct w:val="0"/>
        <w:adjustRightInd w:val="0"/>
        <w:snapToGrid w:val="0"/>
        <w:spacing w:line="620" w:lineRule="exact"/>
        <w:jc w:val="center"/>
        <w:rPr>
          <w:rFonts w:ascii="仿宋" w:hAnsi="仿宋" w:eastAsia="仿宋" w:cs="方正仿宋_GBK"/>
          <w:b/>
          <w:bCs/>
          <w:color w:val="000000"/>
          <w:kern w:val="21"/>
          <w:sz w:val="32"/>
          <w:szCs w:val="32"/>
        </w:rPr>
      </w:pPr>
      <w:r>
        <w:rPr>
          <w:rFonts w:hint="eastAsia" w:ascii="仿宋" w:hAnsi="仿宋" w:eastAsia="仿宋" w:cs="方正仿宋_GBK"/>
          <w:b/>
          <w:bCs/>
          <w:color w:val="000000"/>
          <w:kern w:val="21"/>
          <w:sz w:val="32"/>
          <w:szCs w:val="32"/>
        </w:rPr>
        <w:t>（二）改扩建项目</w:t>
      </w:r>
    </w:p>
    <w:tbl>
      <w:tblPr>
        <w:tblStyle w:val="3"/>
        <w:tblW w:w="83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938"/>
        <w:gridCol w:w="700"/>
        <w:gridCol w:w="1137"/>
        <w:gridCol w:w="42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设施类别</w:t>
            </w:r>
          </w:p>
        </w:tc>
        <w:tc>
          <w:tcPr>
            <w:tcW w:w="16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政策补助标准（万元）</w:t>
            </w:r>
          </w:p>
        </w:tc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总投资规模不低于（万元）</w:t>
            </w: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非原贫困地区25%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原国家级贫困县35%</w:t>
            </w:r>
          </w:p>
        </w:tc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620" w:lineRule="exact"/>
              <w:ind w:firstLine="480" w:firstLineChars="200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t>1.改扩建项目不设规模要求，但要以改扩建库体为主，不能单一购买设施。</w:t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t xml:space="preserve">    2.补贴环节要符合项目支持范围。</w:t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t xml:space="preserve">    3.改扩建后总库容规模≥500吨的，原则上应配备信息采集设施设备。</w:t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t xml:space="preserve">    4.补贴比例上限不超过仓储保鲜设施造价的25%（原国家级贫困县为35%）；单个项目补贴不超过100万元，省级资金不超过200万元。</w:t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t xml:space="preserve">    5.申请补贴时需提供淘汰、报废设施设备的彩色影像资料及签字（盖章）处置说明，提供新购置设施设备的合同及发票复印件附验收报告后。</w:t>
            </w:r>
          </w:p>
          <w:p>
            <w:pPr>
              <w:spacing w:line="620" w:lineRule="exact"/>
              <w:ind w:firstLine="480" w:firstLineChars="200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t>6.土地费用、生活办公建筑及设施、围墙等非项目功能建设，利用原有旧设施设备、基础建设等，均不得纳入项目总投资预算和补贴范围。</w:t>
            </w:r>
          </w:p>
        </w:tc>
      </w:tr>
    </w:tbl>
    <w:p>
      <w:pPr>
        <w:spacing w:line="620" w:lineRule="exact"/>
        <w:rPr>
          <w:rFonts w:ascii="仿宋" w:hAnsi="仿宋" w:eastAsia="仿宋" w:cs="方正仿宋_GBK"/>
          <w:bCs/>
          <w:color w:val="000000"/>
          <w:kern w:val="21"/>
          <w:sz w:val="32"/>
          <w:szCs w:val="32"/>
        </w:rPr>
      </w:pPr>
      <w:r>
        <w:rPr>
          <w:rFonts w:hint="eastAsia" w:ascii="仿宋" w:hAnsi="仿宋" w:eastAsia="仿宋" w:cs="方正仿宋_GBK"/>
          <w:bCs/>
          <w:color w:val="000000"/>
          <w:kern w:val="21"/>
          <w:sz w:val="32"/>
          <w:szCs w:val="32"/>
        </w:rPr>
        <w:t xml:space="preserve">                                 </w:t>
      </w:r>
    </w:p>
    <w:p>
      <w:pPr>
        <w:pStyle w:val="2"/>
        <w:spacing w:line="620" w:lineRule="exact"/>
        <w:rPr>
          <w:rFonts w:ascii="仿宋" w:hAnsi="仿宋" w:eastAsia="仿宋" w:cs="方正仿宋_GBK"/>
          <w:color w:val="000000"/>
          <w:kern w:val="0"/>
          <w:sz w:val="32"/>
          <w:szCs w:val="32"/>
        </w:rPr>
      </w:pPr>
    </w:p>
    <w:p>
      <w:pPr>
        <w:pStyle w:val="2"/>
        <w:spacing w:line="620" w:lineRule="exact"/>
        <w:rPr>
          <w:rFonts w:ascii="仿宋" w:hAnsi="仿宋" w:eastAsia="仿宋" w:cs="方正仿宋_GBK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附件2</w:t>
      </w:r>
    </w:p>
    <w:p>
      <w:pPr>
        <w:overflowPunct w:val="0"/>
        <w:adjustRightInd w:val="0"/>
        <w:snapToGrid w:val="0"/>
        <w:spacing w:line="620" w:lineRule="exact"/>
        <w:jc w:val="center"/>
        <w:rPr>
          <w:rFonts w:ascii="仿宋" w:hAnsi="仿宋" w:eastAsia="仿宋" w:cs="方正仿宋_GBK"/>
          <w:b/>
          <w:bCs/>
          <w:color w:val="000000"/>
          <w:kern w:val="21"/>
          <w:sz w:val="32"/>
          <w:szCs w:val="32"/>
        </w:rPr>
      </w:pPr>
    </w:p>
    <w:p>
      <w:pPr>
        <w:overflowPunct w:val="0"/>
        <w:adjustRightInd w:val="0"/>
        <w:snapToGrid w:val="0"/>
        <w:spacing w:line="620" w:lineRule="exact"/>
        <w:jc w:val="center"/>
        <w:rPr>
          <w:rFonts w:ascii="仿宋" w:hAnsi="仿宋" w:eastAsia="仿宋" w:cs="方正仿宋_GBK"/>
          <w:b/>
          <w:bCs/>
          <w:color w:val="000000"/>
          <w:kern w:val="21"/>
          <w:sz w:val="32"/>
          <w:szCs w:val="32"/>
        </w:rPr>
      </w:pPr>
      <w:r>
        <w:rPr>
          <w:rFonts w:hint="eastAsia" w:ascii="仿宋" w:hAnsi="仿宋" w:eastAsia="仿宋" w:cs="方正仿宋_GBK"/>
          <w:b/>
          <w:bCs/>
          <w:color w:val="000000"/>
          <w:kern w:val="21"/>
          <w:sz w:val="32"/>
          <w:szCs w:val="32"/>
        </w:rPr>
        <w:t>四川省仓储保鲜</w:t>
      </w:r>
      <w:r>
        <w:rPr>
          <w:rFonts w:hint="eastAsia" w:ascii="仿宋" w:hAnsi="仿宋" w:eastAsia="仿宋" w:cs="方正仿宋_GBK"/>
          <w:b/>
          <w:bCs/>
          <w:color w:val="000000"/>
          <w:kern w:val="21"/>
          <w:sz w:val="32"/>
          <w:szCs w:val="32"/>
          <w:lang w:val="zh-CN"/>
        </w:rPr>
        <w:t>工程</w:t>
      </w:r>
      <w:r>
        <w:rPr>
          <w:rFonts w:hint="eastAsia" w:ascii="仿宋" w:hAnsi="仿宋" w:eastAsia="仿宋" w:cs="方正仿宋_GBK"/>
          <w:b/>
          <w:bCs/>
          <w:color w:val="000000"/>
          <w:kern w:val="21"/>
          <w:sz w:val="32"/>
          <w:szCs w:val="32"/>
        </w:rPr>
        <w:t>预算综合单价参考表（2021）</w:t>
      </w:r>
    </w:p>
    <w:p>
      <w:pPr>
        <w:pStyle w:val="2"/>
        <w:rPr>
          <w:rFonts w:ascii="仿宋" w:hAnsi="仿宋" w:eastAsia="仿宋"/>
        </w:rPr>
      </w:pPr>
    </w:p>
    <w:tbl>
      <w:tblPr>
        <w:tblStyle w:val="3"/>
        <w:tblW w:w="851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1752"/>
        <w:gridCol w:w="2528"/>
        <w:gridCol w:w="1330"/>
        <w:gridCol w:w="16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名称及规格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综合单价（元）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主体工程</w:t>
            </w:r>
          </w:p>
        </w:tc>
        <w:tc>
          <w:tcPr>
            <w:tcW w:w="7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t>冷藏库建设参考2021补助目录（含库体、制冷机及材料、安装等所有费用）。烘干房建设的烘干机械参照《四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川省2018-2020年</w:t>
            </w:r>
            <w:r>
              <w:rPr>
                <w:rFonts w:hint="eastAsia" w:ascii="仿宋" w:hAnsi="仿宋" w:eastAsia="仿宋" w:cs="方正仿宋_GBK"/>
                <w:color w:val="000000"/>
                <w:sz w:val="24"/>
                <w:szCs w:val="24"/>
              </w:rPr>
              <w:t>农机购置补贴额一览表（2020年调整）》，其他仓储设施参照补助目录。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基础工程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场地平整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m2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土石方开挖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m3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土石方回填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m3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现浇C20混凝土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m3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640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M10砂浆砌砖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m3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墙面保温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m2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钢筋制作安装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8200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2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模板制安拆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m2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屋面设施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left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轻钢结构（高4m）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m2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20" w:lineRule="exact"/>
              <w:jc w:val="center"/>
              <w:textAlignment w:val="center"/>
              <w:rPr>
                <w:rFonts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</w:tr>
    </w:tbl>
    <w:p>
      <w:pPr>
        <w:spacing w:line="620" w:lineRule="exact"/>
        <w:ind w:firstLine="643" w:firstLineChars="200"/>
        <w:jc w:val="left"/>
        <w:rPr>
          <w:rFonts w:ascii="仿宋" w:hAnsi="仿宋" w:eastAsia="仿宋" w:cs="方正仿宋_GBK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方正仿宋_GBK"/>
          <w:b/>
          <w:bCs/>
          <w:color w:val="000000"/>
          <w:kern w:val="0"/>
          <w:sz w:val="32"/>
          <w:szCs w:val="32"/>
          <w:lang w:val="zh-CN"/>
        </w:rPr>
        <w:t>编制依据说明：</w:t>
      </w:r>
    </w:p>
    <w:p>
      <w:pPr>
        <w:spacing w:line="620" w:lineRule="exact"/>
        <w:ind w:firstLine="640" w:firstLineChars="200"/>
        <w:jc w:val="left"/>
        <w:rPr>
          <w:rFonts w:ascii="仿宋" w:hAnsi="仿宋" w:eastAsia="仿宋" w:cs="方正仿宋_GBK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  <w:lang w:val="zh-CN"/>
        </w:rPr>
        <w:t>建设工程预算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综合单价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  <w:lang w:val="zh-CN"/>
        </w:rPr>
        <w:t>参照《工程量清单计价规范 GB50500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  <w:lang w:val="zh-CN"/>
        </w:rPr>
        <w:t>，《关于重新调整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&lt;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  <w:lang w:val="zh-CN"/>
        </w:rPr>
        <w:t>建筑业营业税改征增值税四川省建设工程计价依据调整办法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&gt;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  <w:lang w:val="zh-CN"/>
        </w:rPr>
        <w:t>的通知》（川建造价发〔2019〕181号）；材料预算价格参照《四川工程造价信息》202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  <w:lang w:val="zh-CN"/>
        </w:rPr>
        <w:t>年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  <w:lang w:val="zh-CN"/>
        </w:rPr>
        <w:t>期成都市信息价格。</w:t>
      </w:r>
    </w:p>
    <w:p>
      <w:pPr>
        <w:spacing w:line="620" w:lineRule="exact"/>
        <w:ind w:firstLine="640" w:firstLineChars="200"/>
        <w:jc w:val="left"/>
        <w:rPr>
          <w:rFonts w:ascii="仿宋" w:hAnsi="仿宋" w:eastAsia="仿宋" w:cs="方正仿宋_GBK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  <w:lang w:val="zh-CN"/>
        </w:rPr>
        <w:t>综合单价包含所有人工、机械设备、材料、安装和其它完成该项工程需发生的所有费用。</w:t>
      </w:r>
    </w:p>
    <w:p>
      <w:pPr>
        <w:pStyle w:val="2"/>
        <w:spacing w:line="620" w:lineRule="exact"/>
        <w:ind w:firstLine="640" w:firstLineChars="200"/>
        <w:rPr>
          <w:rFonts w:ascii="仿宋" w:hAnsi="仿宋" w:eastAsia="仿宋" w:cs="方正仿宋_GBK"/>
          <w:bCs/>
          <w:color w:val="000000"/>
          <w:sz w:val="32"/>
          <w:szCs w:val="32"/>
        </w:rPr>
      </w:pPr>
      <w:r>
        <w:rPr>
          <w:rFonts w:hint="eastAsia" w:ascii="仿宋" w:hAnsi="仿宋" w:eastAsia="仿宋" w:cs="方正仿宋_GBK"/>
          <w:color w:val="000000"/>
          <w:kern w:val="0"/>
          <w:sz w:val="32"/>
          <w:szCs w:val="32"/>
        </w:rPr>
        <w:t>3.综合单价与成都市差异较大的地区，可参考四川省材料价格信息上报及发布系统http://202.61.90.35:8032/的本地当月相关信息。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94D92"/>
    <w:rsid w:val="01891CC6"/>
    <w:rsid w:val="01B87092"/>
    <w:rsid w:val="01C864A4"/>
    <w:rsid w:val="01EE3E65"/>
    <w:rsid w:val="03ED5B63"/>
    <w:rsid w:val="04B14EE2"/>
    <w:rsid w:val="056B39CF"/>
    <w:rsid w:val="05B27631"/>
    <w:rsid w:val="05BE7108"/>
    <w:rsid w:val="05E2024A"/>
    <w:rsid w:val="06ED68D4"/>
    <w:rsid w:val="074E1DB9"/>
    <w:rsid w:val="076511EC"/>
    <w:rsid w:val="07CA42FC"/>
    <w:rsid w:val="08C42A01"/>
    <w:rsid w:val="0921042B"/>
    <w:rsid w:val="0A5B6C26"/>
    <w:rsid w:val="0A935FB3"/>
    <w:rsid w:val="0B446316"/>
    <w:rsid w:val="0B9D09F6"/>
    <w:rsid w:val="0C1400ED"/>
    <w:rsid w:val="0C953848"/>
    <w:rsid w:val="0CB130A7"/>
    <w:rsid w:val="0E1F0312"/>
    <w:rsid w:val="0F104F44"/>
    <w:rsid w:val="0F3C7F07"/>
    <w:rsid w:val="0F7E093A"/>
    <w:rsid w:val="0FD13817"/>
    <w:rsid w:val="0FF21695"/>
    <w:rsid w:val="136B5915"/>
    <w:rsid w:val="14B65CD5"/>
    <w:rsid w:val="1509355E"/>
    <w:rsid w:val="154C1E44"/>
    <w:rsid w:val="18316816"/>
    <w:rsid w:val="188C0474"/>
    <w:rsid w:val="19163E01"/>
    <w:rsid w:val="193A19A6"/>
    <w:rsid w:val="19FF4C60"/>
    <w:rsid w:val="1AF47F28"/>
    <w:rsid w:val="1B9110A9"/>
    <w:rsid w:val="1C046CA3"/>
    <w:rsid w:val="1C852149"/>
    <w:rsid w:val="1DD47BB6"/>
    <w:rsid w:val="1DDB775F"/>
    <w:rsid w:val="1DE6094D"/>
    <w:rsid w:val="21436267"/>
    <w:rsid w:val="21977A98"/>
    <w:rsid w:val="21FD600C"/>
    <w:rsid w:val="22534810"/>
    <w:rsid w:val="225E4801"/>
    <w:rsid w:val="22A142DE"/>
    <w:rsid w:val="22E926ED"/>
    <w:rsid w:val="23236CBE"/>
    <w:rsid w:val="23500EDD"/>
    <w:rsid w:val="23834C37"/>
    <w:rsid w:val="23F55784"/>
    <w:rsid w:val="24E91463"/>
    <w:rsid w:val="25740597"/>
    <w:rsid w:val="25B72B00"/>
    <w:rsid w:val="278168F7"/>
    <w:rsid w:val="2963607E"/>
    <w:rsid w:val="29DE19B3"/>
    <w:rsid w:val="29FB7F32"/>
    <w:rsid w:val="2AAB1D3E"/>
    <w:rsid w:val="2AAE478B"/>
    <w:rsid w:val="2B50425F"/>
    <w:rsid w:val="2BBC5163"/>
    <w:rsid w:val="2C536757"/>
    <w:rsid w:val="2C84023A"/>
    <w:rsid w:val="2D5E3D2A"/>
    <w:rsid w:val="2DC0723B"/>
    <w:rsid w:val="2E263DA7"/>
    <w:rsid w:val="2F54425C"/>
    <w:rsid w:val="2F7B47A9"/>
    <w:rsid w:val="2F8F4952"/>
    <w:rsid w:val="2FB16F25"/>
    <w:rsid w:val="302E44FC"/>
    <w:rsid w:val="306C1146"/>
    <w:rsid w:val="30E13550"/>
    <w:rsid w:val="31EC413C"/>
    <w:rsid w:val="329D342C"/>
    <w:rsid w:val="32EC67FE"/>
    <w:rsid w:val="33535308"/>
    <w:rsid w:val="33BF7C8E"/>
    <w:rsid w:val="33CC0AC2"/>
    <w:rsid w:val="3415191E"/>
    <w:rsid w:val="34D32C1A"/>
    <w:rsid w:val="34EC58E3"/>
    <w:rsid w:val="363A186D"/>
    <w:rsid w:val="36865CFD"/>
    <w:rsid w:val="36F47B58"/>
    <w:rsid w:val="375B0161"/>
    <w:rsid w:val="382E548B"/>
    <w:rsid w:val="385E0962"/>
    <w:rsid w:val="391D1CCF"/>
    <w:rsid w:val="391E32B3"/>
    <w:rsid w:val="39430D4D"/>
    <w:rsid w:val="39684F86"/>
    <w:rsid w:val="399C397E"/>
    <w:rsid w:val="3A370951"/>
    <w:rsid w:val="3B3B1AF0"/>
    <w:rsid w:val="3B642223"/>
    <w:rsid w:val="3B8F3A50"/>
    <w:rsid w:val="3C21451E"/>
    <w:rsid w:val="3CD107F2"/>
    <w:rsid w:val="3D5915FD"/>
    <w:rsid w:val="3DA547D5"/>
    <w:rsid w:val="3DC10E37"/>
    <w:rsid w:val="3E8B2639"/>
    <w:rsid w:val="3EC91E9D"/>
    <w:rsid w:val="3F721B3A"/>
    <w:rsid w:val="3F7C3CB6"/>
    <w:rsid w:val="3FAD696A"/>
    <w:rsid w:val="3FCD605A"/>
    <w:rsid w:val="3FD04180"/>
    <w:rsid w:val="405B03B8"/>
    <w:rsid w:val="409B3793"/>
    <w:rsid w:val="428A5D0A"/>
    <w:rsid w:val="42BB135F"/>
    <w:rsid w:val="42F85C30"/>
    <w:rsid w:val="439C0A13"/>
    <w:rsid w:val="44150535"/>
    <w:rsid w:val="45891EC5"/>
    <w:rsid w:val="45E10338"/>
    <w:rsid w:val="4601186B"/>
    <w:rsid w:val="47137A28"/>
    <w:rsid w:val="47A818DB"/>
    <w:rsid w:val="482D0ABD"/>
    <w:rsid w:val="487039AC"/>
    <w:rsid w:val="48705BD0"/>
    <w:rsid w:val="48B5535E"/>
    <w:rsid w:val="48DE2882"/>
    <w:rsid w:val="48EE7556"/>
    <w:rsid w:val="4A985774"/>
    <w:rsid w:val="4ABA308A"/>
    <w:rsid w:val="4AD15998"/>
    <w:rsid w:val="4B547CFD"/>
    <w:rsid w:val="4B6B10CB"/>
    <w:rsid w:val="4C1F500D"/>
    <w:rsid w:val="4CA52E0F"/>
    <w:rsid w:val="4CAD103E"/>
    <w:rsid w:val="4D070D83"/>
    <w:rsid w:val="4D2F5AB1"/>
    <w:rsid w:val="4D6436B2"/>
    <w:rsid w:val="4DB63604"/>
    <w:rsid w:val="4DBB0385"/>
    <w:rsid w:val="4E110255"/>
    <w:rsid w:val="4E4F45FD"/>
    <w:rsid w:val="4EEA4E8A"/>
    <w:rsid w:val="502F37FA"/>
    <w:rsid w:val="51A63173"/>
    <w:rsid w:val="52224A36"/>
    <w:rsid w:val="527328D9"/>
    <w:rsid w:val="52AA1DA8"/>
    <w:rsid w:val="53156D28"/>
    <w:rsid w:val="539C6D24"/>
    <w:rsid w:val="53E5342A"/>
    <w:rsid w:val="540A0600"/>
    <w:rsid w:val="5423240F"/>
    <w:rsid w:val="544F6D46"/>
    <w:rsid w:val="55817211"/>
    <w:rsid w:val="566F3FC2"/>
    <w:rsid w:val="56785042"/>
    <w:rsid w:val="569C0EF8"/>
    <w:rsid w:val="56A909B9"/>
    <w:rsid w:val="571A141C"/>
    <w:rsid w:val="58445107"/>
    <w:rsid w:val="58E822B4"/>
    <w:rsid w:val="5A6C3415"/>
    <w:rsid w:val="5B8B1711"/>
    <w:rsid w:val="5BB12AEB"/>
    <w:rsid w:val="5C0747A7"/>
    <w:rsid w:val="5C43271A"/>
    <w:rsid w:val="5C593206"/>
    <w:rsid w:val="5C7656FD"/>
    <w:rsid w:val="5D181AD0"/>
    <w:rsid w:val="5D8474EA"/>
    <w:rsid w:val="5E31723B"/>
    <w:rsid w:val="5E785916"/>
    <w:rsid w:val="5F0A1AC8"/>
    <w:rsid w:val="5F854E6A"/>
    <w:rsid w:val="5FB95A47"/>
    <w:rsid w:val="60E51F31"/>
    <w:rsid w:val="628A50DA"/>
    <w:rsid w:val="62941073"/>
    <w:rsid w:val="633E55EC"/>
    <w:rsid w:val="634B7ACC"/>
    <w:rsid w:val="63775F72"/>
    <w:rsid w:val="63926695"/>
    <w:rsid w:val="63AB0FC2"/>
    <w:rsid w:val="63B87C43"/>
    <w:rsid w:val="63F22418"/>
    <w:rsid w:val="64301C62"/>
    <w:rsid w:val="643843D8"/>
    <w:rsid w:val="663B79E0"/>
    <w:rsid w:val="666E07C4"/>
    <w:rsid w:val="66C1584C"/>
    <w:rsid w:val="671F3162"/>
    <w:rsid w:val="67D978F8"/>
    <w:rsid w:val="688609FF"/>
    <w:rsid w:val="690651F6"/>
    <w:rsid w:val="694565A8"/>
    <w:rsid w:val="6994284B"/>
    <w:rsid w:val="6A3A058E"/>
    <w:rsid w:val="6AF615BE"/>
    <w:rsid w:val="6B1C0E7D"/>
    <w:rsid w:val="6B1C2D44"/>
    <w:rsid w:val="6B407C32"/>
    <w:rsid w:val="6BFF5D8B"/>
    <w:rsid w:val="6C1052CF"/>
    <w:rsid w:val="6DAC7646"/>
    <w:rsid w:val="6DB732E0"/>
    <w:rsid w:val="6DF53DB0"/>
    <w:rsid w:val="6EB649A9"/>
    <w:rsid w:val="6F002E68"/>
    <w:rsid w:val="6F341F91"/>
    <w:rsid w:val="6F417EC0"/>
    <w:rsid w:val="6FA444AC"/>
    <w:rsid w:val="6FA933D8"/>
    <w:rsid w:val="6FF36EC1"/>
    <w:rsid w:val="707C5B23"/>
    <w:rsid w:val="7083412C"/>
    <w:rsid w:val="70D40447"/>
    <w:rsid w:val="7170096C"/>
    <w:rsid w:val="71C16071"/>
    <w:rsid w:val="71FB0355"/>
    <w:rsid w:val="73486323"/>
    <w:rsid w:val="742C64A5"/>
    <w:rsid w:val="74300B45"/>
    <w:rsid w:val="743C7825"/>
    <w:rsid w:val="748F0ECD"/>
    <w:rsid w:val="7601243A"/>
    <w:rsid w:val="76A62DC2"/>
    <w:rsid w:val="771D7138"/>
    <w:rsid w:val="7754754F"/>
    <w:rsid w:val="77D91300"/>
    <w:rsid w:val="78166ACA"/>
    <w:rsid w:val="785849D3"/>
    <w:rsid w:val="78C37185"/>
    <w:rsid w:val="79441EC8"/>
    <w:rsid w:val="79BE7B9D"/>
    <w:rsid w:val="79C226B7"/>
    <w:rsid w:val="7B7C4B69"/>
    <w:rsid w:val="7BB51B14"/>
    <w:rsid w:val="7CC075DA"/>
    <w:rsid w:val="7D8334F2"/>
    <w:rsid w:val="7D8A66A6"/>
    <w:rsid w:val="7E2B2C36"/>
    <w:rsid w:val="7FA4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2021-05-25T02:12:50Z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0311E01401DF4F4A8E22D0F0A37326B9</vt:lpwstr>
  </property>
</Properties>
</file>