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eastAsiaTheme="minorEastAsia"/>
          <w:sz w:val="30"/>
          <w:szCs w:val="30"/>
          <w:lang w:val="en-US" w:eastAsia="zh-CN"/>
        </w:rPr>
      </w:pPr>
      <w:r>
        <w:rPr>
          <w:rFonts w:hint="eastAsia"/>
          <w:sz w:val="30"/>
          <w:szCs w:val="30"/>
          <w:lang w:eastAsia="zh-CN"/>
        </w:rPr>
        <w:t>附件：</w:t>
      </w:r>
      <w:r>
        <w:rPr>
          <w:rFonts w:hint="eastAsia"/>
          <w:sz w:val="30"/>
          <w:szCs w:val="30"/>
          <w:lang w:val="en-US" w:eastAsia="zh-CN"/>
        </w:rPr>
        <w:t>1-1</w:t>
      </w:r>
    </w:p>
    <w:p>
      <w:pPr>
        <w:jc w:val="center"/>
        <w:rPr>
          <w:sz w:val="30"/>
          <w:szCs w:val="30"/>
        </w:rPr>
      </w:pPr>
      <w:r>
        <w:rPr>
          <w:rFonts w:hint="eastAsia"/>
          <w:sz w:val="30"/>
          <w:szCs w:val="30"/>
        </w:rPr>
        <w:t>黑水县实施四川省赋予乡镇县级行政权力事项建议清单（第二批</w:t>
      </w:r>
      <w:r>
        <w:rPr>
          <w:sz w:val="30"/>
          <w:szCs w:val="30"/>
        </w:rPr>
        <w:t>)</w:t>
      </w:r>
    </w:p>
    <w:tbl>
      <w:tblPr>
        <w:tblStyle w:val="6"/>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3686"/>
        <w:gridCol w:w="652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序号</w:t>
            </w:r>
          </w:p>
        </w:tc>
        <w:tc>
          <w:tcPr>
            <w:tcW w:w="1134" w:type="dxa"/>
            <w:vAlign w:val="center"/>
          </w:tcPr>
          <w:p>
            <w:pPr>
              <w:jc w:val="center"/>
            </w:pPr>
            <w:r>
              <w:rPr>
                <w:rFonts w:hint="eastAsia"/>
              </w:rPr>
              <w:t>权力类型</w:t>
            </w:r>
          </w:p>
        </w:tc>
        <w:tc>
          <w:tcPr>
            <w:tcW w:w="3686" w:type="dxa"/>
            <w:vAlign w:val="center"/>
          </w:tcPr>
          <w:p>
            <w:pPr>
              <w:jc w:val="center"/>
            </w:pPr>
            <w:r>
              <w:rPr>
                <w:rFonts w:hint="eastAsia"/>
              </w:rPr>
              <w:t>权力名称</w:t>
            </w:r>
          </w:p>
        </w:tc>
        <w:tc>
          <w:tcPr>
            <w:tcW w:w="6520" w:type="dxa"/>
            <w:vAlign w:val="center"/>
          </w:tcPr>
          <w:p>
            <w:pPr>
              <w:jc w:val="center"/>
            </w:pPr>
            <w:r>
              <w:rPr>
                <w:rFonts w:hint="eastAsia"/>
              </w:rPr>
              <w:t>主要设立依据</w:t>
            </w:r>
          </w:p>
        </w:tc>
        <w:tc>
          <w:tcPr>
            <w:tcW w:w="1985"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p>
        </w:tc>
        <w:tc>
          <w:tcPr>
            <w:tcW w:w="1134" w:type="dxa"/>
            <w:vAlign w:val="center"/>
          </w:tcPr>
          <w:p>
            <w:pPr>
              <w:jc w:val="center"/>
            </w:pPr>
            <w:r>
              <w:rPr>
                <w:rFonts w:hint="eastAsia"/>
              </w:rPr>
              <w:t>行政处罚</w:t>
            </w:r>
          </w:p>
        </w:tc>
        <w:tc>
          <w:tcPr>
            <w:tcW w:w="3686" w:type="dxa"/>
            <w:vAlign w:val="center"/>
          </w:tcPr>
          <w:p>
            <w:r>
              <w:rPr>
                <w:rFonts w:hint="eastAsia"/>
              </w:rPr>
              <w:t>对违反规定占用耕地建窑、建坟或者擅自在耕地上建房、挖砂、采石、采矿、取土等的行政处罚</w:t>
            </w:r>
          </w:p>
        </w:tc>
        <w:tc>
          <w:tcPr>
            <w:tcW w:w="6520" w:type="dxa"/>
            <w:vAlign w:val="center"/>
          </w:tcPr>
          <w:p>
            <w:r>
              <w:rPr>
                <w:rFonts w:hint="eastAsia"/>
              </w:rPr>
              <w:t>《中华人民共和国土地管理法》第七十五条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w:t>
            </w:r>
            <w:r>
              <w:t>;构成犯罪的，依法追究刑事责任。</w:t>
            </w:r>
          </w:p>
        </w:tc>
        <w:tc>
          <w:tcPr>
            <w:tcW w:w="1985" w:type="dxa"/>
            <w:vAlign w:val="center"/>
          </w:tcPr>
          <w:p>
            <w:pPr>
              <w:jc w:val="center"/>
            </w:pPr>
            <w:r>
              <w:rPr>
                <w:rFonts w:hint="eastAsia"/>
              </w:rPr>
              <w:t>不含对擅自在耕地上挖砂、采石、采可、取土等的行政处罚”（自然资源</w:t>
            </w:r>
            <w:r>
              <w:rPr>
                <w:rFonts w:hint="eastAsia"/>
                <w:lang w:eastAsia="zh-CN"/>
              </w:rPr>
              <w:t>局</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2</w:t>
            </w:r>
          </w:p>
        </w:tc>
        <w:tc>
          <w:tcPr>
            <w:tcW w:w="1134" w:type="dxa"/>
            <w:vAlign w:val="center"/>
          </w:tcPr>
          <w:p>
            <w:pPr>
              <w:jc w:val="center"/>
            </w:pPr>
            <w:r>
              <w:rPr>
                <w:rFonts w:hint="eastAsia"/>
              </w:rPr>
              <w:t>行政处罚</w:t>
            </w:r>
          </w:p>
        </w:tc>
        <w:tc>
          <w:tcPr>
            <w:tcW w:w="3686" w:type="dxa"/>
            <w:vAlign w:val="center"/>
          </w:tcPr>
          <w:p>
            <w:r>
              <w:rPr>
                <w:rFonts w:hint="eastAsia"/>
              </w:rPr>
              <w:t>对违反规定破坏或者擅自改变永久基本农田保护区标志的行政处罚</w:t>
            </w:r>
          </w:p>
        </w:tc>
        <w:tc>
          <w:tcPr>
            <w:tcW w:w="6520" w:type="dxa"/>
            <w:vAlign w:val="center"/>
          </w:tcPr>
          <w:p>
            <w:r>
              <w:rPr>
                <w:rFonts w:hint="eastAsia"/>
              </w:rPr>
              <w:t>《基本农田保护条例》第三十二条违反本条例规定，破坏或者擅自改变基本农田保护区标志的</w:t>
            </w:r>
            <w:r>
              <w:t>,由县级以上地方人民政府土地行政主管部门或者农业行政主管部门责令恢复原状，可以处1000元以下罚款。</w:t>
            </w:r>
          </w:p>
        </w:tc>
        <w:tc>
          <w:tcPr>
            <w:tcW w:w="1985" w:type="dxa"/>
            <w:vAlign w:val="center"/>
          </w:tcPr>
          <w:p>
            <w:pPr>
              <w:jc w:val="center"/>
              <w:rPr>
                <w:rFonts w:hint="eastAsia" w:eastAsiaTheme="minorEastAsia"/>
                <w:lang w:eastAsia="zh-CN"/>
              </w:rPr>
            </w:pPr>
            <w:r>
              <w:rPr>
                <w:rFonts w:hint="eastAsia"/>
              </w:rPr>
              <w:t>自然资源</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3</w:t>
            </w:r>
          </w:p>
        </w:tc>
        <w:tc>
          <w:tcPr>
            <w:tcW w:w="1134" w:type="dxa"/>
            <w:vAlign w:val="center"/>
          </w:tcPr>
          <w:p>
            <w:pPr>
              <w:jc w:val="center"/>
            </w:pPr>
            <w:r>
              <w:rPr>
                <w:rFonts w:hint="eastAsia"/>
              </w:rPr>
              <w:t>行政处罚</w:t>
            </w:r>
          </w:p>
        </w:tc>
        <w:tc>
          <w:tcPr>
            <w:tcW w:w="3686" w:type="dxa"/>
            <w:vAlign w:val="center"/>
          </w:tcPr>
          <w:p>
            <w:r>
              <w:rPr>
                <w:rFonts w:hint="eastAsia"/>
              </w:rPr>
              <w:t>对违反规定在地质灾害危险区内爆破、削坡、进行工程建设以及从事其他可能引发地质灾害活动的行政处罚</w:t>
            </w:r>
          </w:p>
        </w:tc>
        <w:tc>
          <w:tcPr>
            <w:tcW w:w="6520" w:type="dxa"/>
            <w:vAlign w:val="center"/>
          </w:tcPr>
          <w:p>
            <w:r>
              <w:rPr>
                <w:rFonts w:hint="eastAsia"/>
              </w:rPr>
              <w:t>《地质灾害防治条例》第四十三条违反本条例规定，在地质灾害危险区内爆破、削坡、进行工程建设以及从事其他可能引发地质灾害活动的</w:t>
            </w:r>
            <w:r>
              <w:t>,由县级以上地方人民政府国土资源主管部门责令停止违法行为，对单位处5万元以上20万元以下的罚款，对个人处1万元以上5万元以下的罚款;构成犯罪的，依法追究刑事责任;给他人造成损失的，依法承担赔偿责任。</w:t>
            </w:r>
          </w:p>
        </w:tc>
        <w:tc>
          <w:tcPr>
            <w:tcW w:w="1985" w:type="dxa"/>
            <w:vAlign w:val="center"/>
          </w:tcPr>
          <w:p>
            <w:pPr>
              <w:jc w:val="center"/>
              <w:rPr>
                <w:rFonts w:hint="eastAsia" w:eastAsiaTheme="minorEastAsia"/>
                <w:lang w:eastAsia="zh-CN"/>
              </w:rPr>
            </w:pPr>
            <w:r>
              <w:rPr>
                <w:rFonts w:hint="eastAsia"/>
              </w:rPr>
              <w:t>自然资源</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4</w:t>
            </w:r>
          </w:p>
        </w:tc>
        <w:tc>
          <w:tcPr>
            <w:tcW w:w="1134" w:type="dxa"/>
            <w:vAlign w:val="center"/>
          </w:tcPr>
          <w:p>
            <w:pPr>
              <w:jc w:val="center"/>
            </w:pPr>
            <w:r>
              <w:rPr>
                <w:rFonts w:hint="eastAsia"/>
              </w:rPr>
              <w:t>行政处罚</w:t>
            </w:r>
          </w:p>
        </w:tc>
        <w:tc>
          <w:tcPr>
            <w:tcW w:w="3686" w:type="dxa"/>
            <w:vAlign w:val="center"/>
          </w:tcPr>
          <w:p>
            <w:r>
              <w:rPr>
                <w:rFonts w:hint="eastAsia"/>
              </w:rPr>
              <w:t>对违反规定占用永久基本农田建窑、建房、建坟、挖砂、采石、采矿、取土、堆放固体废弃物或者从事其他活动破坏永久基本农田</w:t>
            </w:r>
            <w:r>
              <w:t>,毁坏种植条件的行政处罚</w:t>
            </w:r>
          </w:p>
        </w:tc>
        <w:tc>
          <w:tcPr>
            <w:tcW w:w="6520" w:type="dxa"/>
            <w:vAlign w:val="center"/>
          </w:tcPr>
          <w:p>
            <w:r>
              <w:rPr>
                <w:rFonts w:hint="eastAsia"/>
              </w:rPr>
              <w:t>《基本农田保护条例》第三十三条违反本条例规定，占用基本农田建窑、建房、建坟、挖砂、采石、采矿、取土、堆放固体废弃物或者从事其他活动破坏基本农田</w:t>
            </w:r>
            <w:r>
              <w:t>,毁坏种植条件的,由县级以上人民政府土地行政主管部门责令改正或者治理，恢复原种植条件，处占用基本农田的耕地开垦费1倍以上2倍以下的罚款;构成犯罪的，依法追究刑事责任。</w:t>
            </w:r>
          </w:p>
        </w:tc>
        <w:tc>
          <w:tcPr>
            <w:tcW w:w="1985" w:type="dxa"/>
            <w:vAlign w:val="center"/>
          </w:tcPr>
          <w:p>
            <w:pPr>
              <w:jc w:val="center"/>
            </w:pPr>
            <w:r>
              <w:rPr>
                <w:rFonts w:hint="eastAsia"/>
              </w:rPr>
              <w:t>不含对违反规定占用永久基本农田挖砂、采石、采矿、取土的行政处罚”</w:t>
            </w:r>
            <w:r>
              <w:t>(自然资源</w:t>
            </w:r>
            <w:r>
              <w:rPr>
                <w:rFonts w:hint="eastAsia"/>
                <w:lang w:eastAsia="zh-CN"/>
              </w:rPr>
              <w:t>局</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5</w:t>
            </w:r>
          </w:p>
        </w:tc>
        <w:tc>
          <w:tcPr>
            <w:tcW w:w="1134" w:type="dxa"/>
            <w:vAlign w:val="center"/>
          </w:tcPr>
          <w:p>
            <w:pPr>
              <w:jc w:val="center"/>
            </w:pPr>
            <w:r>
              <w:rPr>
                <w:rFonts w:hint="eastAsia"/>
              </w:rPr>
              <w:t>行政处罚</w:t>
            </w:r>
          </w:p>
        </w:tc>
        <w:tc>
          <w:tcPr>
            <w:tcW w:w="3686" w:type="dxa"/>
            <w:vAlign w:val="center"/>
          </w:tcPr>
          <w:p>
            <w:r>
              <w:rPr>
                <w:rFonts w:hint="eastAsia"/>
              </w:rPr>
              <w:t>对未经批准或者未按照批准内容进行临时建设以及临时建筑物、构筑物超过批准期限不拆除的行政处罚</w:t>
            </w:r>
          </w:p>
        </w:tc>
        <w:tc>
          <w:tcPr>
            <w:tcW w:w="6520" w:type="dxa"/>
            <w:vAlign w:val="center"/>
          </w:tcPr>
          <w:p>
            <w:r>
              <w:rPr>
                <w:rFonts w:hint="eastAsia"/>
              </w:rPr>
              <w:t>《中华人民共和国城乡规划法》第六十六条建设单位或者个人有下列行为之一的，由所在地城市、县人民政府城乡规划主管部门责令限期拆除</w:t>
            </w:r>
            <w:r>
              <w:t>,可以并处临时建设工程造价一倍以下的罚款:(一)未经批准进行临时建设的;(二)未按照批准内容进行临时建设的;(三)临时建筑物、构筑</w:t>
            </w:r>
            <w:r>
              <w:rPr>
                <w:rFonts w:hint="eastAsia"/>
              </w:rPr>
              <w:t>物，超过期限不拆除的。</w:t>
            </w:r>
          </w:p>
        </w:tc>
        <w:tc>
          <w:tcPr>
            <w:tcW w:w="1985" w:type="dxa"/>
            <w:vAlign w:val="center"/>
          </w:tcPr>
          <w:p>
            <w:pPr>
              <w:jc w:val="center"/>
            </w:pPr>
            <w:r>
              <w:rPr>
                <w:rFonts w:hint="eastAsia"/>
              </w:rPr>
              <w:t>不含对未按照批准内容进行临时建设以及临时建筑物、构筑物超过批准期限不拆除的行政处罚”。</w:t>
            </w:r>
            <w:r>
              <w:t>(自</w:t>
            </w:r>
            <w:r>
              <w:rPr>
                <w:rFonts w:hint="eastAsia"/>
              </w:rPr>
              <w:t>然资源</w:t>
            </w:r>
            <w:r>
              <w:rPr>
                <w:rFonts w:hint="eastAsia"/>
                <w:lang w:eastAsia="zh-CN"/>
              </w:rPr>
              <w:t>局</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t>6</w:t>
            </w:r>
          </w:p>
        </w:tc>
        <w:tc>
          <w:tcPr>
            <w:tcW w:w="1134" w:type="dxa"/>
            <w:vAlign w:val="center"/>
          </w:tcPr>
          <w:p>
            <w:pPr>
              <w:jc w:val="center"/>
            </w:pPr>
            <w:r>
              <w:rPr>
                <w:rFonts w:hint="eastAsia"/>
              </w:rPr>
              <w:t>行政处罚</w:t>
            </w:r>
          </w:p>
        </w:tc>
        <w:tc>
          <w:tcPr>
            <w:tcW w:w="3686" w:type="dxa"/>
            <w:vAlign w:val="center"/>
          </w:tcPr>
          <w:p>
            <w:r>
              <w:rPr>
                <w:rFonts w:hint="eastAsia"/>
              </w:rPr>
              <w:t>对歌舞娱乐场所接纳未成年人的行政处罚</w:t>
            </w:r>
          </w:p>
        </w:tc>
        <w:tc>
          <w:tcPr>
            <w:tcW w:w="6520" w:type="dxa"/>
            <w:vAlign w:val="center"/>
          </w:tcPr>
          <w:p>
            <w:r>
              <w:rPr>
                <w:rFonts w:hint="eastAsia"/>
              </w:rPr>
              <w:t>《娱乐场所管理条例》第四十八条第三项违反本条例规定，有下列情形之一的，由县级人民政府文化主管部门没收违法所得和非法财物</w:t>
            </w:r>
            <w:r>
              <w:t>,并处违法所得1倍以上3倍以下的罚款;没有违法所得或者违法所得不足1万元的，并处1万元以上3万元以下的罚款;情节严重的，责令停业整顿1个月至6个月:（三）歌舞娱乐场所接纳未成年人的。</w:t>
            </w:r>
          </w:p>
        </w:tc>
        <w:tc>
          <w:tcPr>
            <w:tcW w:w="1985" w:type="dxa"/>
            <w:vAlign w:val="center"/>
          </w:tcPr>
          <w:p>
            <w:pPr>
              <w:jc w:val="center"/>
              <w:rPr>
                <w:rFonts w:hint="eastAsia" w:eastAsiaTheme="minorEastAsia"/>
                <w:lang w:eastAsia="zh-CN"/>
              </w:rPr>
            </w:pPr>
            <w:r>
              <w:rPr>
                <w:rFonts w:hint="eastAsia"/>
              </w:rPr>
              <w:t>文化和旅游</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t>7</w:t>
            </w:r>
          </w:p>
        </w:tc>
        <w:tc>
          <w:tcPr>
            <w:tcW w:w="1134" w:type="dxa"/>
            <w:vAlign w:val="center"/>
          </w:tcPr>
          <w:p>
            <w:pPr>
              <w:jc w:val="center"/>
            </w:pPr>
            <w:r>
              <w:rPr>
                <w:rFonts w:hint="eastAsia"/>
              </w:rPr>
              <w:t>行政处罚</w:t>
            </w:r>
          </w:p>
        </w:tc>
        <w:tc>
          <w:tcPr>
            <w:tcW w:w="3686" w:type="dxa"/>
            <w:vAlign w:val="center"/>
          </w:tcPr>
          <w:p>
            <w:r>
              <w:rPr>
                <w:rFonts w:hint="eastAsia"/>
              </w:rPr>
              <w:t>对娱乐场所未按规定悬挂警示标志、未成年人禁入或者限入标志的行政处罚</w:t>
            </w:r>
          </w:p>
        </w:tc>
        <w:tc>
          <w:tcPr>
            <w:tcW w:w="6520" w:type="dxa"/>
            <w:vAlign w:val="center"/>
          </w:tcPr>
          <w:p>
            <w:r>
              <w:rPr>
                <w:rFonts w:hint="eastAsia"/>
              </w:rPr>
              <w:t>《娱乐场所管理条例》第五十一条娱乐场所未按照本条例规定悬挂警示标志、未成年人禁入或者限入标志的，由县级人民政府文化主管部门、县级公安部门依据法定职权责令改正，给予警告。</w:t>
            </w:r>
          </w:p>
        </w:tc>
        <w:tc>
          <w:tcPr>
            <w:tcW w:w="1985" w:type="dxa"/>
            <w:vAlign w:val="center"/>
          </w:tcPr>
          <w:p>
            <w:pPr>
              <w:jc w:val="center"/>
              <w:rPr>
                <w:rFonts w:hint="eastAsia" w:eastAsiaTheme="minorEastAsia"/>
                <w:lang w:eastAsia="zh-CN"/>
              </w:rPr>
            </w:pPr>
            <w:r>
              <w:rPr>
                <w:rFonts w:hint="eastAsia"/>
              </w:rPr>
              <w:t>文化和旅游</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t>8</w:t>
            </w:r>
          </w:p>
        </w:tc>
        <w:tc>
          <w:tcPr>
            <w:tcW w:w="1134" w:type="dxa"/>
            <w:vAlign w:val="center"/>
          </w:tcPr>
          <w:p>
            <w:pPr>
              <w:jc w:val="center"/>
            </w:pPr>
            <w:r>
              <w:rPr>
                <w:rFonts w:hint="eastAsia"/>
              </w:rPr>
              <w:t>行政处罚</w:t>
            </w:r>
          </w:p>
        </w:tc>
        <w:tc>
          <w:tcPr>
            <w:tcW w:w="3686" w:type="dxa"/>
            <w:vAlign w:val="center"/>
          </w:tcPr>
          <w:p>
            <w:r>
              <w:rPr>
                <w:rFonts w:hint="eastAsia"/>
              </w:rPr>
              <w:t>对娱乐场所未在显著位置悬挂娱乐经营许可证</w:t>
            </w:r>
            <w:r>
              <w:t>,或者</w:t>
            </w:r>
            <w:r>
              <w:rPr>
                <w:rFonts w:hint="eastAsia"/>
              </w:rPr>
              <w:t>未成年人禁入</w:t>
            </w:r>
            <w:r>
              <w:t>(限入)标志未注明“12318”文化市场举报电话的行政处罚</w:t>
            </w:r>
          </w:p>
        </w:tc>
        <w:tc>
          <w:tcPr>
            <w:tcW w:w="6520" w:type="dxa"/>
            <w:vAlign w:val="center"/>
          </w:tcPr>
          <w:p>
            <w:r>
              <w:t>1．《娱乐场所管理办法》第二十四条娱乐场所应当在显著位置悬挂娱乐经营许可证、未成年人禁入或者限入标</w:t>
            </w:r>
            <w:r>
              <w:rPr>
                <w:rFonts w:hint="eastAsia"/>
              </w:rPr>
              <w:t>志，标志应当注明“</w:t>
            </w:r>
            <w:r>
              <w:t>12318”文化市场举报电话。</w:t>
            </w:r>
          </w:p>
          <w:p>
            <w:r>
              <w:rPr>
                <w:rFonts w:hint="eastAsia"/>
              </w:rPr>
              <w:t>第三十三条娱乐场所违反本办法第二十四条规定的，由县级以上人民政府文化主管部门责令改正，予以警告。</w:t>
            </w:r>
          </w:p>
          <w:p>
            <w:r>
              <w:t>2.《四川省娱乐场所管理办法》第三十三条第一款娱乐场所未按要求悬挂娱乐经营许可证、卫生许可证和工商营业执照，并拒不改正的，分别由县级文化行政主管部门或者依法授权的文化市场综合执法机构、卫生部门、工商部门按照各自职责，处1000元以上5000元以下罚款。</w:t>
            </w:r>
          </w:p>
        </w:tc>
        <w:tc>
          <w:tcPr>
            <w:tcW w:w="1985" w:type="dxa"/>
            <w:vAlign w:val="center"/>
          </w:tcPr>
          <w:p>
            <w:pPr>
              <w:jc w:val="center"/>
              <w:rPr>
                <w:rFonts w:hint="eastAsia" w:eastAsiaTheme="minorEastAsia"/>
                <w:lang w:eastAsia="zh-CN"/>
              </w:rPr>
            </w:pPr>
            <w:r>
              <w:rPr>
                <w:rFonts w:hint="eastAsia"/>
              </w:rPr>
              <w:t>文化和旅游</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t>9</w:t>
            </w:r>
          </w:p>
        </w:tc>
        <w:tc>
          <w:tcPr>
            <w:tcW w:w="1134" w:type="dxa"/>
            <w:vAlign w:val="center"/>
          </w:tcPr>
          <w:p>
            <w:pPr>
              <w:jc w:val="center"/>
            </w:pPr>
            <w:r>
              <w:rPr>
                <w:rFonts w:hint="eastAsia"/>
              </w:rPr>
              <w:t>行政处罚</w:t>
            </w:r>
          </w:p>
        </w:tc>
        <w:tc>
          <w:tcPr>
            <w:tcW w:w="3686" w:type="dxa"/>
            <w:vAlign w:val="center"/>
          </w:tcPr>
          <w:p>
            <w:r>
              <w:rPr>
                <w:rFonts w:hint="eastAsia"/>
              </w:rPr>
              <w:t>对未经批准在草原上野外用火或者进行爆破、勘察和施工等活动，未取得草原防火通行证进入草原防火管制区的行政处罚</w:t>
            </w:r>
          </w:p>
        </w:tc>
        <w:tc>
          <w:tcPr>
            <w:tcW w:w="6520" w:type="dxa"/>
            <w:vAlign w:val="center"/>
          </w:tcPr>
          <w:p>
            <w:r>
              <w:rPr>
                <w:rFonts w:hint="eastAsia"/>
              </w:rPr>
              <w:t>《草原防火条例》第四十四条违反本条例规定，有下列行为之一的</w:t>
            </w:r>
            <w:r>
              <w:t>,由县级以上地方人民政府草原防火主管部门责令停止违法行为，采取防火措施，并限期补办有关手续，对有关责任人员处2000元以上5000元以下罚款，对有关责任单位处5000元以上2万元以下罚款:(一）未经批准在</w:t>
            </w:r>
            <w:r>
              <w:rPr>
                <w:rFonts w:hint="eastAsia"/>
              </w:rPr>
              <w:t>草原上野外用火或者进行爆破﹑勘察和施工等活动的</w:t>
            </w:r>
            <w:r>
              <w:t>;(二)未取得草原防火通行证进入草原防火管制区的。</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0</w:t>
            </w:r>
          </w:p>
        </w:tc>
        <w:tc>
          <w:tcPr>
            <w:tcW w:w="1134" w:type="dxa"/>
            <w:vAlign w:val="center"/>
          </w:tcPr>
          <w:p>
            <w:pPr>
              <w:jc w:val="center"/>
            </w:pPr>
            <w:r>
              <w:rPr>
                <w:rFonts w:hint="eastAsia"/>
              </w:rPr>
              <w:t>行政处罚</w:t>
            </w:r>
          </w:p>
        </w:tc>
        <w:tc>
          <w:tcPr>
            <w:tcW w:w="3686" w:type="dxa"/>
            <w:vAlign w:val="center"/>
          </w:tcPr>
          <w:p>
            <w:r>
              <w:rPr>
                <w:rFonts w:hint="eastAsia"/>
              </w:rPr>
              <w:t>对草原防火未采取防火措施、未安装防火装置、丢弃火种、不遵守防火安全操作规程和未按照规定用火的行政处罚</w:t>
            </w:r>
          </w:p>
        </w:tc>
        <w:tc>
          <w:tcPr>
            <w:tcW w:w="6520" w:type="dxa"/>
            <w:vAlign w:val="center"/>
          </w:tcPr>
          <w:p>
            <w:r>
              <w:rPr>
                <w:rFonts w:hint="eastAsia"/>
              </w:rPr>
              <w:t>《草原防火条例》第四十五条草原防火条例违反本条例规定，有下列行为之一的，由县级以上地方人民政府草原防火主管部门责令停止违法行为，采取防火措施，消除火灾隐患，并对有关责任人员处</w:t>
            </w:r>
            <w:r>
              <w:t>200元以上2000元以下罚款，对有关责任单位处2000元以上2万元以下罚款;拒不采取防火措施、消除火灾隐患的，由县级以上地方人民政府草原防火主管部门代为采取防火措施、消除火灾隐患，所需费用由违法单位或者个人承担:(一)在草原防火期内，经批准的野外用火未采取防火措施的;(二)在草原上作业和行驶的机动车辆未安装防火装置或者存在火灾隐患的;(三)在草原上行驶的公共交通工具上的司机、乘务人员或者旅客丢弃火种的;(四)在草原上从事野外作业的机械设备作业人员不遵守防火安全操作规程或者对野外作业的机械设备未采取防火措施的;(五)在草原防火管制区内未按照规定用火的。</w:t>
            </w:r>
          </w:p>
        </w:tc>
        <w:tc>
          <w:tcPr>
            <w:tcW w:w="1985" w:type="dxa"/>
            <w:vAlign w:val="center"/>
          </w:tcPr>
          <w:p>
            <w:pPr>
              <w:jc w:val="center"/>
            </w:pPr>
            <w:r>
              <w:rPr>
                <w:rFonts w:hint="eastAsia"/>
              </w:rPr>
              <w:t>不含“对在草原防火期内，经批准的野外用火未采取防火措施的行政处罚”（林草局</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1</w:t>
            </w:r>
          </w:p>
        </w:tc>
        <w:tc>
          <w:tcPr>
            <w:tcW w:w="1134" w:type="dxa"/>
            <w:vAlign w:val="center"/>
          </w:tcPr>
          <w:p>
            <w:pPr>
              <w:jc w:val="center"/>
            </w:pPr>
            <w:r>
              <w:rPr>
                <w:rFonts w:hint="eastAsia"/>
              </w:rPr>
              <w:t>行政处罚</w:t>
            </w:r>
          </w:p>
        </w:tc>
        <w:tc>
          <w:tcPr>
            <w:tcW w:w="3686" w:type="dxa"/>
            <w:vAlign w:val="center"/>
          </w:tcPr>
          <w:p>
            <w:r>
              <w:rPr>
                <w:rFonts w:hint="eastAsia"/>
              </w:rPr>
              <w:t>对未建立或者未落实草原防火责任制的行政处罚</w:t>
            </w:r>
          </w:p>
        </w:tc>
        <w:tc>
          <w:tcPr>
            <w:tcW w:w="6520" w:type="dxa"/>
            <w:vAlign w:val="center"/>
          </w:tcPr>
          <w:p>
            <w:r>
              <w:rPr>
                <w:rFonts w:hint="eastAsia"/>
              </w:rPr>
              <w:t>《草原防火条例》第四十六条违反本条例规定，草原上的生产经营等单位未建立或者未落实草原防火责任制的，由县级以上地方人民政府草原防火主管部门责令改正</w:t>
            </w:r>
            <w:r>
              <w:t>,对有关责任单位处5000元以上2万元以下罚款。</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2</w:t>
            </w:r>
          </w:p>
        </w:tc>
        <w:tc>
          <w:tcPr>
            <w:tcW w:w="1134" w:type="dxa"/>
            <w:vAlign w:val="center"/>
          </w:tcPr>
          <w:p>
            <w:pPr>
              <w:jc w:val="center"/>
            </w:pPr>
            <w:r>
              <w:rPr>
                <w:rFonts w:hint="eastAsia"/>
              </w:rPr>
              <w:t>行政处罚</w:t>
            </w:r>
          </w:p>
        </w:tc>
        <w:tc>
          <w:tcPr>
            <w:tcW w:w="3686" w:type="dxa"/>
            <w:vAlign w:val="center"/>
          </w:tcPr>
          <w:p>
            <w:r>
              <w:rPr>
                <w:rFonts w:hint="eastAsia"/>
              </w:rPr>
              <w:t>对森林防火期内未经批准擅自在森林防火区内野外用火的行政处罚</w:t>
            </w:r>
          </w:p>
        </w:tc>
        <w:tc>
          <w:tcPr>
            <w:tcW w:w="6520" w:type="dxa"/>
            <w:vAlign w:val="center"/>
          </w:tcPr>
          <w:p>
            <w:r>
              <w:rPr>
                <w:rFonts w:hint="eastAsia"/>
              </w:rPr>
              <w:t>《森林防火条例》第五十条违反本条例规定，森林防火期内未经批准擅自在森林防火区内野外用火的，由县级以上地方人民政府林业主管部门责令停止违法行为，给予警告，对个人并处</w:t>
            </w:r>
            <w:r>
              <w:t>200元以上3000元以下罚款，对单位并处1万元以上5万元以下罚款。</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3</w:t>
            </w:r>
          </w:p>
        </w:tc>
        <w:tc>
          <w:tcPr>
            <w:tcW w:w="1134" w:type="dxa"/>
            <w:vAlign w:val="center"/>
          </w:tcPr>
          <w:p>
            <w:pPr>
              <w:jc w:val="center"/>
            </w:pPr>
            <w:r>
              <w:rPr>
                <w:rFonts w:hint="eastAsia"/>
              </w:rPr>
              <w:t>行政处罚</w:t>
            </w:r>
          </w:p>
        </w:tc>
        <w:tc>
          <w:tcPr>
            <w:tcW w:w="3686" w:type="dxa"/>
            <w:vAlign w:val="center"/>
          </w:tcPr>
          <w:p>
            <w:r>
              <w:rPr>
                <w:rFonts w:hint="eastAsia"/>
              </w:rPr>
              <w:t>对森林高火险期内未经批准擅自进入森林高火险区活动的行政处罚</w:t>
            </w:r>
          </w:p>
        </w:tc>
        <w:tc>
          <w:tcPr>
            <w:tcW w:w="6520" w:type="dxa"/>
            <w:vAlign w:val="center"/>
          </w:tcPr>
          <w:p>
            <w:r>
              <w:rPr>
                <w:rFonts w:hint="eastAsia"/>
              </w:rPr>
              <w:t>《森林防火条例》第五十二条第三项违反本条例规定，有下列行为之一的</w:t>
            </w:r>
            <w:r>
              <w:t>,由县级以上地方人民政府林业主管部门责令改正，给予警告，对个人并处200元以上2000元以下罚款，对单位并处2000元以上5000元以下罚款:（三）森林高火险期内，未经批准擅自进入森林高火险区活动的。</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4</w:t>
            </w:r>
          </w:p>
        </w:tc>
        <w:tc>
          <w:tcPr>
            <w:tcW w:w="1134" w:type="dxa"/>
            <w:vAlign w:val="center"/>
          </w:tcPr>
          <w:p>
            <w:pPr>
              <w:jc w:val="center"/>
            </w:pPr>
            <w:r>
              <w:rPr>
                <w:rFonts w:hint="eastAsia"/>
              </w:rPr>
              <w:t>行政处罚</w:t>
            </w:r>
          </w:p>
        </w:tc>
        <w:tc>
          <w:tcPr>
            <w:tcW w:w="3686" w:type="dxa"/>
            <w:vAlign w:val="center"/>
          </w:tcPr>
          <w:p>
            <w:r>
              <w:rPr>
                <w:rFonts w:hint="eastAsia"/>
              </w:rPr>
              <w:t>对森林防火期内进入森林防火区的机动车辆未安装森林防火装置的行政处罚</w:t>
            </w:r>
          </w:p>
        </w:tc>
        <w:tc>
          <w:tcPr>
            <w:tcW w:w="6520" w:type="dxa"/>
            <w:vAlign w:val="center"/>
          </w:tcPr>
          <w:p>
            <w:r>
              <w:rPr>
                <w:rFonts w:hint="eastAsia"/>
              </w:rPr>
              <w:t>《森林防火条例》第五十二条第二项违反本条例规定，有下列行为之一的</w:t>
            </w:r>
            <w:r>
              <w:t>,由县级以上地方人民政府林业主管部门责令改正，给予警告，对个人并处200元以上2000元以下罚款，对单位并处2000元以上5000元以下罚款:(二）森林防火期内,进入森林防火区的机动车辆未安装森林防火装置的。</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5</w:t>
            </w:r>
          </w:p>
        </w:tc>
        <w:tc>
          <w:tcPr>
            <w:tcW w:w="1134" w:type="dxa"/>
            <w:vAlign w:val="center"/>
          </w:tcPr>
          <w:p>
            <w:pPr>
              <w:jc w:val="center"/>
            </w:pPr>
            <w:r>
              <w:rPr>
                <w:rFonts w:hint="eastAsia"/>
              </w:rPr>
              <w:t>行政处罚</w:t>
            </w:r>
          </w:p>
        </w:tc>
        <w:tc>
          <w:tcPr>
            <w:tcW w:w="3686" w:type="dxa"/>
            <w:vAlign w:val="center"/>
          </w:tcPr>
          <w:p>
            <w:r>
              <w:rPr>
                <w:rFonts w:hint="eastAsia"/>
              </w:rPr>
              <w:t>对森林防火期内森林、林木、林地的经营单位未设置森林防火警示宣传标志的行政处罚</w:t>
            </w:r>
          </w:p>
        </w:tc>
        <w:tc>
          <w:tcPr>
            <w:tcW w:w="6520" w:type="dxa"/>
            <w:vAlign w:val="center"/>
          </w:tcPr>
          <w:p>
            <w:r>
              <w:rPr>
                <w:rFonts w:hint="eastAsia"/>
              </w:rPr>
              <w:t>《森林防火条例》第五十二条第一项违反本条例规定，有下列行为之一的</w:t>
            </w:r>
            <w:r>
              <w:t>,由县级以上地方人民政府林业主管部门责令改正，给予警告，对个人并处200元以上2000元以下罚款，对单位并处2000元以上5000元以下罚款:(一）森林防火期内，森林、林木、林地的经营单位未设置森林防火警示宣传标志的。</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6</w:t>
            </w:r>
          </w:p>
        </w:tc>
        <w:tc>
          <w:tcPr>
            <w:tcW w:w="1134" w:type="dxa"/>
            <w:vAlign w:val="center"/>
          </w:tcPr>
          <w:p>
            <w:pPr>
              <w:jc w:val="center"/>
            </w:pPr>
            <w:r>
              <w:rPr>
                <w:rFonts w:hint="eastAsia"/>
              </w:rPr>
              <w:t>行政处罚</w:t>
            </w:r>
          </w:p>
        </w:tc>
        <w:tc>
          <w:tcPr>
            <w:tcW w:w="3686" w:type="dxa"/>
            <w:vAlign w:val="center"/>
          </w:tcPr>
          <w:p>
            <w:r>
              <w:rPr>
                <w:rFonts w:hint="eastAsia"/>
              </w:rPr>
              <w:t>对森林防火区内的有关单位或者个人拒绝接受森林防火检查或者接到森林火灾隐患整改通知书逾期不消除火灾隐患的行政处罚</w:t>
            </w:r>
          </w:p>
        </w:tc>
        <w:tc>
          <w:tcPr>
            <w:tcW w:w="6520" w:type="dxa"/>
            <w:vAlign w:val="center"/>
          </w:tcPr>
          <w:p>
            <w:r>
              <w:rPr>
                <w:rFonts w:hint="eastAsia"/>
              </w:rPr>
              <w:t>《森林防火条例》第四十九条违反本条例规定，森林防火区内的有关单位或者个人拒绝接受森林防火检查或者接到森林火灾隐患整改通知书逾期不消除火灾隐患的</w:t>
            </w:r>
            <w:r>
              <w:t>,由县级以上地方人民政府林业主管部门责令改正，给予警告，对个人并处200元以上2000元以下罚款，对单位并处5000元以上1万元以下罚款。</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7</w:t>
            </w:r>
          </w:p>
        </w:tc>
        <w:tc>
          <w:tcPr>
            <w:tcW w:w="1134" w:type="dxa"/>
            <w:vAlign w:val="center"/>
          </w:tcPr>
          <w:p>
            <w:pPr>
              <w:jc w:val="center"/>
            </w:pPr>
            <w:r>
              <w:rPr>
                <w:rFonts w:hint="eastAsia"/>
              </w:rPr>
              <w:t>行政处罚</w:t>
            </w:r>
          </w:p>
        </w:tc>
        <w:tc>
          <w:tcPr>
            <w:tcW w:w="3686" w:type="dxa"/>
            <w:vAlign w:val="center"/>
          </w:tcPr>
          <w:p>
            <w:r>
              <w:rPr>
                <w:rFonts w:hint="eastAsia"/>
              </w:rPr>
              <w:t>对森林、林木、林地的经营单位或者个人未履行森林防火责任的行政处罚</w:t>
            </w:r>
          </w:p>
        </w:tc>
        <w:tc>
          <w:tcPr>
            <w:tcW w:w="6520" w:type="dxa"/>
            <w:vAlign w:val="center"/>
          </w:tcPr>
          <w:p>
            <w:r>
              <w:rPr>
                <w:rFonts w:hint="eastAsia"/>
              </w:rPr>
              <w:t>《森林防火条例》第四十八条违反本条例规定﹐森林、林木、林地的经营单位或者个人未履行森林防火责任的，由县级以上地方人民政府林业主管部门责令改正，对个人处</w:t>
            </w:r>
            <w:r>
              <w:t>500元以上5000元以下罚款，对单位处1万元以上5万元以下罚款。</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8</w:t>
            </w:r>
          </w:p>
        </w:tc>
        <w:tc>
          <w:tcPr>
            <w:tcW w:w="1134" w:type="dxa"/>
            <w:vAlign w:val="center"/>
          </w:tcPr>
          <w:p>
            <w:pPr>
              <w:jc w:val="center"/>
            </w:pPr>
            <w:r>
              <w:rPr>
                <w:rFonts w:hint="eastAsia"/>
              </w:rPr>
              <w:t>行政处罚</w:t>
            </w:r>
          </w:p>
        </w:tc>
        <w:tc>
          <w:tcPr>
            <w:tcW w:w="3686" w:type="dxa"/>
            <w:vAlign w:val="center"/>
          </w:tcPr>
          <w:p>
            <w:r>
              <w:rPr>
                <w:rFonts w:hint="eastAsia"/>
              </w:rPr>
              <w:t>对破坏和侵占森林防火通道、标志、宣传碑（牌</w:t>
            </w:r>
            <w:r>
              <w:t>)、瞭望台（塔)、隔离带等设施设备的行政处罚</w:t>
            </w:r>
          </w:p>
        </w:tc>
        <w:tc>
          <w:tcPr>
            <w:tcW w:w="6520" w:type="dxa"/>
            <w:vAlign w:val="center"/>
          </w:tcPr>
          <w:p>
            <w:r>
              <w:rPr>
                <w:rFonts w:hint="eastAsia"/>
              </w:rPr>
              <w:t>《四川省森林防火条例》第四十四条违反本条例规定，破坏和侵占森林防火通道、标志、宣传碑</w:t>
            </w:r>
            <w:r>
              <w:t>(牌)、瞭望台(塔)、隔离带等设施设备的,依法赔偿损失，由县级以上地方人民政府林业行政主管部门责令停止违法行为,对个人并处五百</w:t>
            </w:r>
            <w:r>
              <w:rPr>
                <w:rFonts w:hint="eastAsia"/>
              </w:rPr>
              <w:t>元以上二千元以下罚款</w:t>
            </w:r>
            <w:r>
              <w:t>,对单位并处一万元以上三万元以下罚款。</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pPr>
            <w:r>
              <w:rPr>
                <w:rFonts w:hint="eastAsia"/>
              </w:rPr>
              <w:t>1</w:t>
            </w:r>
            <w:r>
              <w:t>9</w:t>
            </w:r>
          </w:p>
        </w:tc>
        <w:tc>
          <w:tcPr>
            <w:tcW w:w="1134" w:type="dxa"/>
            <w:vAlign w:val="center"/>
          </w:tcPr>
          <w:p>
            <w:pPr>
              <w:jc w:val="center"/>
            </w:pPr>
            <w:r>
              <w:rPr>
                <w:rFonts w:hint="eastAsia"/>
              </w:rPr>
              <w:t>行政处罚</w:t>
            </w:r>
          </w:p>
        </w:tc>
        <w:tc>
          <w:tcPr>
            <w:tcW w:w="3686" w:type="dxa"/>
            <w:vAlign w:val="center"/>
          </w:tcPr>
          <w:p>
            <w:r>
              <w:rPr>
                <w:rFonts w:hint="eastAsia"/>
              </w:rPr>
              <w:t>对森林防火期内携带火种和易燃易爆物品进入森林防火区或其他野外违规用火行为的行政处罚</w:t>
            </w:r>
          </w:p>
        </w:tc>
        <w:tc>
          <w:tcPr>
            <w:tcW w:w="6520" w:type="dxa"/>
            <w:vAlign w:val="center"/>
          </w:tcPr>
          <w:p>
            <w:r>
              <w:rPr>
                <w:rFonts w:hint="eastAsia"/>
              </w:rPr>
              <w:t>《四川省森林防火条例》第四十三条第二项、第三项违反本条例规定，森林防火期内，在森林防火区有下列行为之一，未引起森林火灾的，由县级以上地方人民政府林业行政主管部门责令停止违法行为，给予警告，对个人处二百元以上二千元以下罚款</w:t>
            </w:r>
            <w:r>
              <w:t>,对单位处二千元以上一万元以下罚款;引起森林火灾的，对个人处二千元以上五千元以下罚款，对单位处一万元以上五万元以下罚款:(二)携带火种和易燃易爆物品进入森林防火区的;（三）其他野外违规用火行为。</w:t>
            </w:r>
          </w:p>
        </w:tc>
        <w:tc>
          <w:tcPr>
            <w:tcW w:w="1985" w:type="dxa"/>
            <w:vAlign w:val="center"/>
          </w:tcPr>
          <w:p>
            <w:pPr>
              <w:jc w:val="center"/>
              <w:rPr>
                <w:rFonts w:hint="eastAsia" w:eastAsiaTheme="minorEastAsia"/>
                <w:lang w:eastAsia="zh-CN"/>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default" w:eastAsiaTheme="minorEastAsia"/>
                <w:lang w:val="en-US" w:eastAsia="zh-CN"/>
              </w:rPr>
            </w:pPr>
            <w:r>
              <w:rPr>
                <w:rFonts w:hint="eastAsia"/>
                <w:lang w:val="en-US" w:eastAsia="zh-CN"/>
              </w:rPr>
              <w:t>20</w:t>
            </w:r>
          </w:p>
        </w:tc>
        <w:tc>
          <w:tcPr>
            <w:tcW w:w="1134" w:type="dxa"/>
            <w:vAlign w:val="center"/>
          </w:tcPr>
          <w:p>
            <w:pPr>
              <w:jc w:val="center"/>
              <w:rPr>
                <w:rFonts w:hint="eastAsia" w:eastAsiaTheme="minorEastAsia"/>
                <w:lang w:eastAsia="zh-CN"/>
              </w:rPr>
            </w:pPr>
            <w:r>
              <w:rPr>
                <w:rFonts w:hint="eastAsia"/>
                <w:lang w:eastAsia="zh-CN"/>
              </w:rPr>
              <w:t>行政检查</w:t>
            </w:r>
          </w:p>
        </w:tc>
        <w:tc>
          <w:tcPr>
            <w:tcW w:w="3686" w:type="dxa"/>
            <w:vAlign w:val="center"/>
          </w:tcPr>
          <w:p>
            <w:pPr>
              <w:rPr>
                <w:rFonts w:hint="eastAsia" w:eastAsiaTheme="minorEastAsia"/>
                <w:lang w:eastAsia="zh-CN"/>
              </w:rPr>
            </w:pPr>
            <w:r>
              <w:rPr>
                <w:rFonts w:hint="eastAsia"/>
                <w:lang w:eastAsia="zh-CN"/>
              </w:rPr>
              <w:t>对草原防火的安全检查</w:t>
            </w:r>
          </w:p>
        </w:tc>
        <w:tc>
          <w:tcPr>
            <w:tcW w:w="6520" w:type="dxa"/>
            <w:vAlign w:val="center"/>
          </w:tcPr>
          <w:p>
            <w:pPr>
              <w:rPr>
                <w:rFonts w:hint="eastAsia" w:eastAsiaTheme="minorEastAsia"/>
                <w:lang w:eastAsia="zh-CN"/>
              </w:rPr>
            </w:pPr>
            <w:r>
              <w:rPr>
                <w:rFonts w:hint="eastAsia"/>
                <w:lang w:eastAsia="zh-CN"/>
              </w:rPr>
              <w:t>《草原防火条例》第二十一条</w:t>
            </w:r>
          </w:p>
        </w:tc>
        <w:tc>
          <w:tcPr>
            <w:tcW w:w="1985" w:type="dxa"/>
            <w:vAlign w:val="center"/>
          </w:tcPr>
          <w:p>
            <w:pPr>
              <w:jc w:val="center"/>
              <w:rPr>
                <w:rFonts w:hint="eastAsia"/>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default" w:eastAsiaTheme="minorEastAsia"/>
                <w:lang w:val="en-US" w:eastAsia="zh-CN"/>
              </w:rPr>
            </w:pPr>
            <w:r>
              <w:rPr>
                <w:rFonts w:hint="eastAsia"/>
                <w:lang w:val="en-US" w:eastAsia="zh-CN"/>
              </w:rPr>
              <w:t>21</w:t>
            </w:r>
          </w:p>
        </w:tc>
        <w:tc>
          <w:tcPr>
            <w:tcW w:w="1134" w:type="dxa"/>
            <w:vAlign w:val="center"/>
          </w:tcPr>
          <w:p>
            <w:pPr>
              <w:jc w:val="center"/>
              <w:rPr>
                <w:rFonts w:hint="eastAsia" w:eastAsiaTheme="minorEastAsia"/>
                <w:lang w:eastAsia="zh-CN"/>
              </w:rPr>
            </w:pPr>
            <w:r>
              <w:rPr>
                <w:rFonts w:hint="eastAsia"/>
                <w:lang w:eastAsia="zh-CN"/>
              </w:rPr>
              <w:t>行政检查</w:t>
            </w:r>
          </w:p>
        </w:tc>
        <w:tc>
          <w:tcPr>
            <w:tcW w:w="3686" w:type="dxa"/>
            <w:vAlign w:val="center"/>
          </w:tcPr>
          <w:p>
            <w:pPr>
              <w:rPr>
                <w:rFonts w:hint="eastAsia" w:eastAsiaTheme="minorEastAsia"/>
                <w:lang w:eastAsia="zh-CN"/>
              </w:rPr>
            </w:pPr>
            <w:r>
              <w:rPr>
                <w:rFonts w:hint="eastAsia"/>
                <w:lang w:eastAsia="zh-CN"/>
              </w:rPr>
              <w:t>森林防火检查</w:t>
            </w:r>
          </w:p>
        </w:tc>
        <w:tc>
          <w:tcPr>
            <w:tcW w:w="6520" w:type="dxa"/>
            <w:vAlign w:val="center"/>
          </w:tcPr>
          <w:p>
            <w:pPr>
              <w:rPr>
                <w:rFonts w:hint="eastAsia" w:eastAsiaTheme="minorEastAsia"/>
                <w:lang w:eastAsia="zh-CN"/>
              </w:rPr>
            </w:pPr>
            <w:r>
              <w:rPr>
                <w:rFonts w:hint="eastAsia"/>
                <w:lang w:eastAsia="zh-CN"/>
              </w:rPr>
              <w:t>《森林防火条例》第二十四条</w:t>
            </w:r>
          </w:p>
        </w:tc>
        <w:tc>
          <w:tcPr>
            <w:tcW w:w="1985" w:type="dxa"/>
            <w:vAlign w:val="center"/>
          </w:tcPr>
          <w:p>
            <w:pPr>
              <w:jc w:val="center"/>
              <w:rPr>
                <w:rFonts w:hint="eastAsia"/>
              </w:rPr>
            </w:pPr>
            <w:r>
              <w:rPr>
                <w:rFonts w:hint="eastAsia"/>
              </w:rPr>
              <w:t>林草</w:t>
            </w:r>
            <w:r>
              <w:rPr>
                <w:rFonts w:hint="eastAsia"/>
                <w:lang w:eastAsia="zh-CN"/>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hint="default" w:eastAsiaTheme="minorEastAsia"/>
                <w:lang w:val="en-US" w:eastAsia="zh-CN"/>
              </w:rPr>
            </w:pPr>
            <w:r>
              <w:rPr>
                <w:rFonts w:hint="eastAsia"/>
                <w:lang w:val="en-US" w:eastAsia="zh-CN"/>
              </w:rPr>
              <w:t>22</w:t>
            </w:r>
          </w:p>
        </w:tc>
        <w:tc>
          <w:tcPr>
            <w:tcW w:w="1134" w:type="dxa"/>
            <w:vAlign w:val="center"/>
          </w:tcPr>
          <w:p>
            <w:pPr>
              <w:jc w:val="center"/>
              <w:rPr>
                <w:rFonts w:hint="eastAsia" w:eastAsiaTheme="minorEastAsia"/>
                <w:lang w:eastAsia="zh-CN"/>
              </w:rPr>
            </w:pPr>
            <w:r>
              <w:rPr>
                <w:rFonts w:hint="eastAsia"/>
                <w:lang w:eastAsia="zh-CN"/>
              </w:rPr>
              <w:t>其他行政权力</w:t>
            </w:r>
          </w:p>
        </w:tc>
        <w:tc>
          <w:tcPr>
            <w:tcW w:w="3686" w:type="dxa"/>
            <w:vAlign w:val="center"/>
          </w:tcPr>
          <w:p>
            <w:pPr>
              <w:rPr>
                <w:rFonts w:hint="eastAsia" w:eastAsiaTheme="minorEastAsia"/>
                <w:lang w:eastAsia="zh-CN"/>
              </w:rPr>
            </w:pPr>
            <w:r>
              <w:rPr>
                <w:rFonts w:hint="eastAsia"/>
                <w:lang w:eastAsia="zh-CN"/>
              </w:rPr>
              <w:t>下达森林火灾隐患整改通知书</w:t>
            </w:r>
          </w:p>
        </w:tc>
        <w:tc>
          <w:tcPr>
            <w:tcW w:w="6520" w:type="dxa"/>
            <w:vAlign w:val="center"/>
          </w:tcPr>
          <w:p>
            <w:pPr>
              <w:rPr>
                <w:rFonts w:hint="eastAsia"/>
              </w:rPr>
            </w:pPr>
            <w:r>
              <w:rPr>
                <w:rFonts w:hint="eastAsia"/>
                <w:lang w:eastAsia="zh-CN"/>
              </w:rPr>
              <w:t>《森林防火条例》第二十四条</w:t>
            </w:r>
          </w:p>
        </w:tc>
        <w:tc>
          <w:tcPr>
            <w:tcW w:w="1985" w:type="dxa"/>
            <w:vAlign w:val="center"/>
          </w:tcPr>
          <w:p>
            <w:pPr>
              <w:jc w:val="center"/>
              <w:rPr>
                <w:rFonts w:hint="eastAsia"/>
              </w:rPr>
            </w:pPr>
            <w:r>
              <w:rPr>
                <w:rFonts w:hint="eastAsia"/>
              </w:rPr>
              <w:t>林草</w:t>
            </w:r>
            <w:r>
              <w:rPr>
                <w:rFonts w:hint="eastAsia"/>
                <w:lang w:eastAsia="zh-CN"/>
              </w:rPr>
              <w:t>局</w:t>
            </w:r>
            <w:bookmarkStart w:id="0" w:name="_GoBack"/>
            <w:bookmarkEnd w:id="0"/>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1Yzc2ODNjODUwNDk3ZDQ2NWM1YzVkMjkyNjE4ZjgifQ=="/>
  </w:docVars>
  <w:rsids>
    <w:rsidRoot w:val="005E1366"/>
    <w:rsid w:val="00015DA4"/>
    <w:rsid w:val="00037BD6"/>
    <w:rsid w:val="00063F51"/>
    <w:rsid w:val="00073018"/>
    <w:rsid w:val="00083516"/>
    <w:rsid w:val="000B2021"/>
    <w:rsid w:val="000E0194"/>
    <w:rsid w:val="000E47BD"/>
    <w:rsid w:val="000F18D2"/>
    <w:rsid w:val="0019432C"/>
    <w:rsid w:val="00197BF9"/>
    <w:rsid w:val="001C3500"/>
    <w:rsid w:val="001C7F98"/>
    <w:rsid w:val="00255931"/>
    <w:rsid w:val="00276757"/>
    <w:rsid w:val="002B02F5"/>
    <w:rsid w:val="002B5160"/>
    <w:rsid w:val="002E5EA2"/>
    <w:rsid w:val="00325696"/>
    <w:rsid w:val="003675CC"/>
    <w:rsid w:val="0038359C"/>
    <w:rsid w:val="003A216A"/>
    <w:rsid w:val="003C01F6"/>
    <w:rsid w:val="003C408C"/>
    <w:rsid w:val="003E4547"/>
    <w:rsid w:val="00485436"/>
    <w:rsid w:val="004919EA"/>
    <w:rsid w:val="00494B5E"/>
    <w:rsid w:val="004E4BB5"/>
    <w:rsid w:val="0053299B"/>
    <w:rsid w:val="00551377"/>
    <w:rsid w:val="005B079D"/>
    <w:rsid w:val="005E1366"/>
    <w:rsid w:val="00605E6F"/>
    <w:rsid w:val="006319F9"/>
    <w:rsid w:val="006822AD"/>
    <w:rsid w:val="00694DA9"/>
    <w:rsid w:val="006B1900"/>
    <w:rsid w:val="006E5A9E"/>
    <w:rsid w:val="006F2128"/>
    <w:rsid w:val="00707C9D"/>
    <w:rsid w:val="0072514B"/>
    <w:rsid w:val="00760A1D"/>
    <w:rsid w:val="007871C0"/>
    <w:rsid w:val="007E58CD"/>
    <w:rsid w:val="008165DD"/>
    <w:rsid w:val="00833D76"/>
    <w:rsid w:val="008740C1"/>
    <w:rsid w:val="008B2310"/>
    <w:rsid w:val="008E0FC0"/>
    <w:rsid w:val="008F7B81"/>
    <w:rsid w:val="00952DC0"/>
    <w:rsid w:val="009A7C3E"/>
    <w:rsid w:val="009E2F92"/>
    <w:rsid w:val="00A25BC0"/>
    <w:rsid w:val="00A3136A"/>
    <w:rsid w:val="00A3494D"/>
    <w:rsid w:val="00A67C5B"/>
    <w:rsid w:val="00A86156"/>
    <w:rsid w:val="00AB2080"/>
    <w:rsid w:val="00B1542D"/>
    <w:rsid w:val="00B23590"/>
    <w:rsid w:val="00B52EB4"/>
    <w:rsid w:val="00B769E4"/>
    <w:rsid w:val="00BE10D0"/>
    <w:rsid w:val="00BF1A5E"/>
    <w:rsid w:val="00C06BF1"/>
    <w:rsid w:val="00C54E0F"/>
    <w:rsid w:val="00C95C36"/>
    <w:rsid w:val="00CA5030"/>
    <w:rsid w:val="00DD5D17"/>
    <w:rsid w:val="00DF0758"/>
    <w:rsid w:val="00E25E8A"/>
    <w:rsid w:val="00E5477F"/>
    <w:rsid w:val="00E761AD"/>
    <w:rsid w:val="00E76998"/>
    <w:rsid w:val="00E86202"/>
    <w:rsid w:val="00EE4E29"/>
    <w:rsid w:val="00F366A0"/>
    <w:rsid w:val="017E3EB2"/>
    <w:rsid w:val="05B72A07"/>
    <w:rsid w:val="181F419A"/>
    <w:rsid w:val="2842515E"/>
    <w:rsid w:val="3AA510D7"/>
    <w:rsid w:val="4E866E1D"/>
    <w:rsid w:val="602B6BBB"/>
    <w:rsid w:val="6E8B3532"/>
    <w:rsid w:val="74EF5B6E"/>
    <w:rsid w:val="75CB4D26"/>
    <w:rsid w:val="7E503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4041</Words>
  <Characters>4159</Characters>
  <Lines>61</Lines>
  <Paragraphs>17</Paragraphs>
  <TotalTime>0</TotalTime>
  <ScaleCrop>false</ScaleCrop>
  <LinksUpToDate>false</LinksUpToDate>
  <CharactersWithSpaces>4159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2022-05-19T12:34:00Z</dcterms:created>
  <dc:creator>黄 东</dc:creator>
  <cp:lastModifiedBy>Andy</cp:lastModifiedBy>
  <cp:lastPrinted>2022-05-16T23:59:00Z</cp:lastPrinted>
  <dcterms:modified xsi:type="dcterms:W3CDTF">2022-06-20T03:48:48Z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2FE0CC506A274A8CA7A9F57A047B60A7</vt:lpwstr>
  </property>
</Properties>
</file>