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黑体"/>
          <w:sz w:val="32"/>
          <w:szCs w:val="32"/>
        </w:rPr>
      </w:pPr>
      <w:bookmarkStart w:id="0" w:name="_GoBack"/>
      <w:bookmarkEnd w:id="0"/>
      <w:r>
        <w:rPr>
          <w:rFonts w:hint="eastAsia" w:ascii="黑体" w:hAnsi="黑体" w:eastAsia="黑体" w:cs="黑体"/>
          <w:sz w:val="32"/>
          <w:szCs w:val="32"/>
        </w:rPr>
        <w:t>附件1</w:t>
      </w:r>
    </w:p>
    <w:p>
      <w:pPr>
        <w:spacing w:line="560" w:lineRule="exact"/>
        <w:rPr>
          <w:rFonts w:ascii="黑体" w:hAnsi="黑体" w:eastAsia="黑体" w:cs="黑体"/>
          <w:sz w:val="32"/>
          <w:szCs w:val="32"/>
        </w:rPr>
      </w:pPr>
    </w:p>
    <w:p>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黑水县2023年新一轮退耕还林延期补助资金</w:t>
      </w:r>
      <w:r>
        <w:rPr>
          <w:rFonts w:hint="eastAsia" w:ascii="方正小标宋_GBK" w:hAnsi="方正小标宋_GBK" w:eastAsia="方正小标宋_GBK" w:cs="方正小标宋_GBK"/>
          <w:sz w:val="44"/>
          <w:szCs w:val="44"/>
          <w:lang w:eastAsia="zh-CN"/>
        </w:rPr>
        <w:t>兑现</w:t>
      </w:r>
      <w:r>
        <w:rPr>
          <w:rFonts w:hint="eastAsia" w:ascii="方正小标宋_GBK" w:hAnsi="方正小标宋_GBK" w:eastAsia="方正小标宋_GBK" w:cs="方正小标宋_GBK"/>
          <w:sz w:val="44"/>
          <w:szCs w:val="44"/>
        </w:rPr>
        <w:t>方案</w:t>
      </w:r>
    </w:p>
    <w:p>
      <w:pPr>
        <w:spacing w:line="560" w:lineRule="exact"/>
        <w:rPr>
          <w:rFonts w:ascii="仿宋" w:hAnsi="仿宋" w:eastAsia="仿宋" w:cs="仿宋"/>
          <w:sz w:val="32"/>
          <w:szCs w:val="32"/>
        </w:rPr>
      </w:pPr>
    </w:p>
    <w:p>
      <w:pPr>
        <w:spacing w:line="560" w:lineRule="exact"/>
        <w:ind w:firstLine="640" w:firstLineChars="200"/>
        <w:rPr>
          <w:rFonts w:ascii="仿宋_GB2312" w:hAnsi="仿宋" w:eastAsia="仿宋_GB2312" w:cs="宋体"/>
          <w:kern w:val="0"/>
          <w:sz w:val="32"/>
          <w:szCs w:val="32"/>
        </w:rPr>
      </w:pPr>
      <w:r>
        <w:rPr>
          <w:rFonts w:hint="eastAsia" w:ascii="仿宋_GB2312" w:eastAsia="仿宋_GB2312" w:cs="仿宋_GB2312"/>
          <w:sz w:val="32"/>
          <w:szCs w:val="32"/>
        </w:rPr>
        <w:t>按照《四川省自然资源厅、四川省林业和草原局、四川省发改委、四川省财政厅、四川省农业农村厅关于贯彻落实《自然资源部等五部委(局)关于进一步完善政策措施巩固退耕还林还草成果的通知》的意见（川自然资发</w:t>
      </w:r>
      <w:r>
        <w:rPr>
          <w:rFonts w:hint="eastAsia" w:ascii="仿宋_GB2312" w:hAnsi="仿宋_GB2312" w:eastAsia="仿宋_GB2312" w:cs="仿宋_GB2312"/>
          <w:sz w:val="32"/>
          <w:szCs w:val="32"/>
        </w:rPr>
        <w:t>〔2023〕21号</w:t>
      </w:r>
      <w:r>
        <w:rPr>
          <w:rFonts w:hint="eastAsia" w:ascii="仿宋_GB2312" w:eastAsia="仿宋_GB2312" w:cs="仿宋_GB2312"/>
          <w:sz w:val="32"/>
          <w:szCs w:val="32"/>
        </w:rPr>
        <w:t>）</w:t>
      </w:r>
      <w:r>
        <w:rPr>
          <w:rFonts w:hint="eastAsia" w:ascii="仿宋_GB2312" w:hAnsi="仿宋" w:eastAsia="仿宋_GB2312" w:cs="宋体"/>
          <w:kern w:val="0"/>
          <w:sz w:val="32"/>
          <w:szCs w:val="32"/>
        </w:rPr>
        <w:t>精神，对2014年开始实施的第二轮退耕还林现金补助期满后，中央安排资金，延长补助期限，继续给予适当补助。为确保国家延期补助资金及时、安全、足额兑现到农户，进一步加强新一轮退耕还林工程建设管理，结合我县新一轮退耕还林工程（2014年、2017年）建设实际情况，制定本方案。</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一、项目概况</w:t>
      </w:r>
    </w:p>
    <w:p>
      <w:pPr>
        <w:spacing w:line="560" w:lineRule="exact"/>
        <w:ind w:firstLine="642"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（一）基本情况</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我县实施新一轮退耕还林延期补助退耕还林面积15600亩（其中：2014年9600亩，2017年6000亩），涉及全县14个乡（镇），65个行政村（社区），共3014户，共818个小班。</w:t>
      </w:r>
    </w:p>
    <w:p>
      <w:pPr>
        <w:spacing w:line="560" w:lineRule="exact"/>
        <w:ind w:firstLine="642"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（二）资金到位情况</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根据阿坝州财政局、阿坝州林业和草原局《关于下达2023年中央财政林业改革发展资金预算（第一批）的通知》（阿州财资环</w:t>
      </w:r>
      <w:r>
        <w:rPr>
          <w:rFonts w:hint="eastAsia" w:ascii="仿宋_GB2312" w:hAnsi="仿宋_GB2312" w:eastAsia="仿宋_GB2312" w:cs="仿宋_GB2312"/>
          <w:sz w:val="32"/>
          <w:szCs w:val="32"/>
        </w:rPr>
        <w:t>〔2023〕</w:t>
      </w:r>
      <w:r>
        <w:rPr>
          <w:rFonts w:hint="eastAsia" w:ascii="仿宋_GB2312" w:hAnsi="仿宋_GB2312" w:eastAsia="仿宋_GB2312" w:cs="仿宋_GB2312"/>
          <w:kern w:val="0"/>
          <w:sz w:val="32"/>
          <w:szCs w:val="32"/>
        </w:rPr>
        <w:t>10号）以及《关于下达2022年中央财政林业草原生态保护恢复资金预算的通知》（阿州财资环</w:t>
      </w:r>
      <w:r>
        <w:rPr>
          <w:rFonts w:hint="eastAsia" w:ascii="仿宋_GB2312" w:hAnsi="仿宋_GB2312" w:eastAsia="仿宋_GB2312" w:cs="仿宋_GB2312"/>
          <w:sz w:val="32"/>
          <w:szCs w:val="32"/>
        </w:rPr>
        <w:t>〔2023〕</w:t>
      </w:r>
      <w:r>
        <w:rPr>
          <w:rFonts w:hint="eastAsia" w:ascii="仿宋_GB2312" w:hAnsi="仿宋_GB2312" w:eastAsia="仿宋_GB2312" w:cs="仿宋_GB2312"/>
          <w:kern w:val="0"/>
          <w:sz w:val="32"/>
          <w:szCs w:val="32"/>
        </w:rPr>
        <w:t>3号）文件，2023年我县累计分批次到位</w:t>
      </w:r>
      <w:r>
        <w:rPr>
          <w:rFonts w:ascii="仿宋_GB2312" w:hAnsi="仿宋_GB2312" w:eastAsia="仿宋_GB2312" w:cs="仿宋_GB2312"/>
          <w:kern w:val="0"/>
          <w:sz w:val="32"/>
          <w:szCs w:val="32"/>
        </w:rPr>
        <w:t>退耕还林</w:t>
      </w:r>
      <w:r>
        <w:rPr>
          <w:rFonts w:hint="eastAsia" w:ascii="仿宋_GB2312" w:hAnsi="仿宋_GB2312" w:eastAsia="仿宋_GB2312" w:cs="仿宋_GB2312"/>
          <w:kern w:val="0"/>
          <w:sz w:val="32"/>
          <w:szCs w:val="32"/>
        </w:rPr>
        <w:t>延期补助资金600万元，补助面积15600亩。</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二、工作目标及要求</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延期补助资金发放工作必须符合四川省自然资源厅、林草局、发展改革委、财政厅、农业农村厅《关于进一步完善政策措施巩固退耕还林成果的通知》（川自然资发〔2023〕21号）文件要求。按照《黑水县2014</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及2017年新一轮退耕还林年度实施方案》《新一轮退耕还林验收管理办法》和年度自查验收结果，要求对延长补助范围内的新一轮退耕还林面积逐小班、逐地块全面核实，对成果巩固效果明显，符合兑现标准及时发放补助资金，对达不到保存标准的面积要求制定整改方案，限期整改，合格后发放。</w:t>
      </w:r>
    </w:p>
    <w:p>
      <w:pPr>
        <w:spacing w:line="560" w:lineRule="exact"/>
        <w:ind w:firstLine="642" w:firstLineChars="200"/>
        <w:rPr>
          <w:rFonts w:ascii="仿宋_GB2312" w:hAnsi="仿宋_GB2312" w:eastAsia="仿宋_GB2312" w:cs="仿宋_GB2312"/>
          <w:kern w:val="0"/>
          <w:sz w:val="32"/>
          <w:szCs w:val="32"/>
        </w:rPr>
      </w:pPr>
      <w:r>
        <w:rPr>
          <w:rFonts w:hint="eastAsia" w:ascii="楷体_GB2312" w:hAnsi="楷体_GB2312" w:eastAsia="楷体_GB2312" w:cs="楷体_GB2312"/>
          <w:b/>
          <w:bCs/>
          <w:sz w:val="32"/>
          <w:szCs w:val="32"/>
        </w:rPr>
        <w:t>（一）补助期限。</w:t>
      </w:r>
      <w:r>
        <w:rPr>
          <w:rFonts w:hint="eastAsia" w:ascii="仿宋_GB2312" w:hAnsi="仿宋_GB2312" w:eastAsia="仿宋_GB2312" w:cs="仿宋_GB2312"/>
          <w:sz w:val="32"/>
          <w:szCs w:val="32"/>
        </w:rPr>
        <w:t>新一轮退耕还林延长期补助期限5年，补偿标准100元/年.亩。</w:t>
      </w:r>
      <w:r>
        <w:rPr>
          <w:rFonts w:hint="eastAsia" w:ascii="仿宋_GB2312" w:hAnsi="仿宋_GB2312" w:eastAsia="仿宋_GB2312" w:cs="仿宋_GB2312"/>
          <w:sz w:val="32"/>
          <w:szCs w:val="32"/>
          <w:lang w:eastAsia="zh-CN"/>
        </w:rPr>
        <w:t>根据《关于进一步完善政策措施巩固退耕还林还草成果的通知》（自然资发〔</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191号</w:t>
      </w:r>
      <w:r>
        <w:rPr>
          <w:rFonts w:hint="eastAsia" w:ascii="仿宋_GB2312" w:hAnsi="仿宋_GB2312" w:eastAsia="仿宋_GB2312" w:cs="仿宋_GB2312"/>
          <w:sz w:val="32"/>
          <w:szCs w:val="32"/>
          <w:lang w:eastAsia="zh-CN"/>
        </w:rPr>
        <w:t>），现金</w:t>
      </w:r>
      <w:r>
        <w:rPr>
          <w:rFonts w:hint="eastAsia" w:ascii="仿宋_GB2312" w:hAnsi="仿宋_GB2312" w:eastAsia="仿宋_GB2312" w:cs="仿宋_GB2312"/>
          <w:sz w:val="32"/>
          <w:szCs w:val="32"/>
        </w:rPr>
        <w:t>补助政策已经到期的，一次性补齐</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发放补助。</w:t>
      </w:r>
    </w:p>
    <w:p>
      <w:pPr>
        <w:spacing w:line="560" w:lineRule="exact"/>
        <w:ind w:firstLine="642" w:firstLineChars="200"/>
        <w:rPr>
          <w:rFonts w:ascii="仿宋_GB2312" w:hAnsi="仿宋_GB2312" w:eastAsia="仿宋_GB2312" w:cs="仿宋_GB2312"/>
          <w:kern w:val="0"/>
          <w:sz w:val="32"/>
          <w:szCs w:val="32"/>
        </w:rPr>
      </w:pPr>
      <w:r>
        <w:rPr>
          <w:rFonts w:hint="eastAsia" w:ascii="楷体_GB2312" w:hAnsi="楷体_GB2312" w:eastAsia="楷体_GB2312" w:cs="楷体_GB2312"/>
          <w:b/>
          <w:bCs/>
          <w:sz w:val="32"/>
          <w:szCs w:val="32"/>
        </w:rPr>
        <w:t>（二）补助范围。</w:t>
      </w:r>
      <w:r>
        <w:rPr>
          <w:rFonts w:hint="eastAsia" w:ascii="仿宋_GB2312" w:hAnsi="仿宋_GB2312" w:eastAsia="仿宋_GB2312" w:cs="仿宋_GB2312"/>
          <w:sz w:val="32"/>
          <w:szCs w:val="32"/>
        </w:rPr>
        <w:t>2014年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2017年实施的新一轮退耕还林。</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三、工作流程</w:t>
      </w:r>
    </w:p>
    <w:p>
      <w:pPr>
        <w:spacing w:line="560" w:lineRule="exact"/>
        <w:ind w:firstLine="642" w:firstLineChars="200"/>
        <w:rPr>
          <w:rFonts w:ascii="仿宋" w:hAnsi="仿宋" w:eastAsia="仿宋" w:cs="仿宋"/>
          <w:sz w:val="32"/>
          <w:szCs w:val="32"/>
        </w:rPr>
      </w:pPr>
      <w:r>
        <w:rPr>
          <w:rFonts w:hint="eastAsia" w:ascii="楷体_GB2312" w:hAnsi="楷体_GB2312" w:eastAsia="楷体_GB2312" w:cs="楷体_GB2312"/>
          <w:b/>
          <w:bCs/>
          <w:sz w:val="32"/>
          <w:szCs w:val="32"/>
        </w:rPr>
        <w:t>（一）宣传动员。</w:t>
      </w:r>
      <w:r>
        <w:rPr>
          <w:rFonts w:hint="eastAsia" w:ascii="仿宋_GB2312" w:hAnsi="仿宋_GB2312" w:eastAsia="仿宋_GB2312" w:cs="仿宋_GB2312"/>
          <w:sz w:val="32"/>
          <w:szCs w:val="32"/>
        </w:rPr>
        <w:t>各乡镇要结合实际情况制定切实可行工作实施方案，明确职责要求，各乡镇要及时召开动员会议，镇村两级干部要广泛开展宣传，确保新一轮退耕还林延期补助政策家喻户晓、人人皆知。</w:t>
      </w:r>
    </w:p>
    <w:p>
      <w:pPr>
        <w:spacing w:line="560" w:lineRule="exact"/>
        <w:ind w:firstLine="642" w:firstLineChars="200"/>
        <w:rPr>
          <w:rFonts w:ascii="仿宋" w:hAnsi="仿宋" w:eastAsia="仿宋" w:cs="仿宋"/>
          <w:sz w:val="32"/>
          <w:szCs w:val="32"/>
        </w:rPr>
      </w:pPr>
      <w:r>
        <w:rPr>
          <w:rFonts w:hint="eastAsia" w:ascii="楷体_GB2312" w:hAnsi="楷体_GB2312" w:eastAsia="楷体_GB2312" w:cs="楷体_GB2312"/>
          <w:b/>
          <w:bCs/>
          <w:sz w:val="32"/>
          <w:szCs w:val="32"/>
        </w:rPr>
        <w:t>（二）自查验收。</w:t>
      </w:r>
      <w:r>
        <w:rPr>
          <w:rFonts w:hint="eastAsia" w:ascii="仿宋_GB2312" w:hAnsi="仿宋_GB2312" w:eastAsia="仿宋_GB2312" w:cs="仿宋_GB2312"/>
          <w:sz w:val="32"/>
          <w:szCs w:val="32"/>
        </w:rPr>
        <w:t>由乡镇组织对本乡镇2014年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2017年实施的新一轮退耕还林工程进行自查，逐村、逐户、逐地块调查核实退耕面积、苗木保存、抚育后期管护等，综合研判退耕面积合格情况，规范填写新一轮退耕还林情况自查验收表；验收合格标准为：退耕还林面积保存率100%、苗木保存率≥80%。</w:t>
      </w:r>
    </w:p>
    <w:p>
      <w:pPr>
        <w:spacing w:line="560" w:lineRule="exact"/>
        <w:ind w:firstLine="642" w:firstLineChars="200"/>
        <w:rPr>
          <w:rFonts w:ascii="仿宋" w:hAnsi="仿宋" w:eastAsia="仿宋" w:cs="仿宋"/>
          <w:sz w:val="32"/>
          <w:szCs w:val="32"/>
        </w:rPr>
      </w:pPr>
      <w:r>
        <w:rPr>
          <w:rFonts w:hint="eastAsia" w:ascii="楷体_GB2312" w:hAnsi="楷体_GB2312" w:eastAsia="楷体_GB2312" w:cs="楷体_GB2312"/>
          <w:b/>
          <w:bCs/>
          <w:sz w:val="32"/>
          <w:szCs w:val="32"/>
        </w:rPr>
        <w:t>（三）张榜公示。</w:t>
      </w:r>
      <w:r>
        <w:rPr>
          <w:rFonts w:hint="eastAsia" w:ascii="仿宋_GB2312" w:hAnsi="仿宋_GB2312" w:eastAsia="仿宋_GB2312" w:cs="仿宋_GB2312"/>
          <w:sz w:val="32"/>
          <w:szCs w:val="32"/>
        </w:rPr>
        <w:t>各乡镇要对辖区内新一轮退耕还林工程验收结果，以村为单位在各建设乡镇村进行张榜公示，公示内容为农户名单、补助标准、补助面积、抚育管护任务完成情况在村、组张榜公示，公示时间不得少于7天自觉接受社会监督。</w:t>
      </w:r>
    </w:p>
    <w:p>
      <w:pPr>
        <w:spacing w:line="560" w:lineRule="exact"/>
        <w:ind w:firstLine="642" w:firstLineChars="200"/>
        <w:rPr>
          <w:rFonts w:ascii="仿宋" w:hAnsi="仿宋" w:eastAsia="仿宋" w:cs="仿宋"/>
          <w:sz w:val="32"/>
          <w:szCs w:val="32"/>
        </w:rPr>
      </w:pPr>
      <w:r>
        <w:rPr>
          <w:rFonts w:hint="eastAsia" w:ascii="楷体_GB2312" w:hAnsi="楷体_GB2312" w:eastAsia="楷体_GB2312" w:cs="楷体_GB2312"/>
          <w:b/>
          <w:bCs/>
          <w:sz w:val="32"/>
          <w:szCs w:val="32"/>
        </w:rPr>
        <w:t>（四）上报审核。</w:t>
      </w:r>
      <w:r>
        <w:rPr>
          <w:rFonts w:hint="eastAsia" w:ascii="仿宋_GB2312" w:hAnsi="仿宋_GB2312" w:eastAsia="仿宋_GB2312" w:cs="仿宋_GB2312"/>
          <w:sz w:val="32"/>
          <w:szCs w:val="32"/>
        </w:rPr>
        <w:t>各乡镇完成自查验收后，乡镇人民政府审核通过后以乡镇为单位进行汇总并以正式文件（附验收资料）上报县林业和草原局（退耕还林中心）审核及备案。</w:t>
      </w:r>
    </w:p>
    <w:p>
      <w:pPr>
        <w:spacing w:line="560" w:lineRule="exact"/>
        <w:ind w:firstLine="642"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（五）资金兑付。</w:t>
      </w:r>
      <w:r>
        <w:rPr>
          <w:rFonts w:hint="eastAsia" w:ascii="仿宋_GB2312" w:hAnsi="仿宋_GB2312" w:eastAsia="仿宋_GB2312" w:cs="仿宋_GB2312"/>
          <w:sz w:val="32"/>
          <w:szCs w:val="32"/>
        </w:rPr>
        <w:t>根据各乡镇统一上报的验收资料，由县林业和草原局会同县财政局联合审核后按程序拨付资金。涉及农户退耕延期补助资金的发放，由县财政局、林业和草原局、合作银行和各相关乡镇严格对照部门工作职能和发放流程，通过四川省惠民惠农财政补贴项目资格审批平台，社会保障卡“一卡通”账户足额兑现。</w:t>
      </w:r>
    </w:p>
    <w:p>
      <w:pPr>
        <w:spacing w:line="560" w:lineRule="exact"/>
        <w:ind w:firstLine="642" w:firstLineChars="200"/>
        <w:rPr>
          <w:rFonts w:ascii="仿宋" w:hAnsi="仿宋" w:eastAsia="仿宋" w:cs="仿宋"/>
          <w:sz w:val="32"/>
          <w:szCs w:val="32"/>
        </w:rPr>
      </w:pPr>
      <w:r>
        <w:rPr>
          <w:rFonts w:hint="eastAsia" w:ascii="楷体_GB2312" w:hAnsi="楷体_GB2312" w:eastAsia="楷体_GB2312" w:cs="楷体_GB2312"/>
          <w:b/>
          <w:bCs/>
          <w:sz w:val="32"/>
          <w:szCs w:val="32"/>
        </w:rPr>
        <w:t>（六）整改完善。</w:t>
      </w:r>
      <w:r>
        <w:rPr>
          <w:rFonts w:hint="eastAsia" w:ascii="仿宋_GB2312" w:hAnsi="仿宋_GB2312" w:eastAsia="仿宋_GB2312" w:cs="仿宋_GB2312"/>
          <w:sz w:val="32"/>
          <w:szCs w:val="32"/>
        </w:rPr>
        <w:t>各乡镇要高度重视问题整改，对验收不达标面积，现场提出整改意见，下发整改通知，督促退耕农户限期整改，确保延期补助资金及时发放，有效巩固建设成果。</w:t>
      </w:r>
    </w:p>
    <w:p>
      <w:pPr>
        <w:spacing w:line="560" w:lineRule="exact"/>
        <w:ind w:firstLine="642" w:firstLineChars="200"/>
        <w:rPr>
          <w:rFonts w:ascii="仿宋" w:hAnsi="仿宋" w:eastAsia="仿宋" w:cs="仿宋"/>
          <w:sz w:val="32"/>
          <w:szCs w:val="32"/>
        </w:rPr>
      </w:pPr>
      <w:r>
        <w:rPr>
          <w:rFonts w:hint="eastAsia" w:ascii="楷体_GB2312" w:hAnsi="楷体_GB2312" w:eastAsia="楷体_GB2312" w:cs="楷体_GB2312"/>
          <w:b/>
          <w:bCs/>
          <w:sz w:val="32"/>
          <w:szCs w:val="32"/>
        </w:rPr>
        <w:t>（七）建立档案。</w:t>
      </w:r>
      <w:r>
        <w:rPr>
          <w:rFonts w:hint="eastAsia" w:ascii="仿宋_GB2312" w:hAnsi="仿宋_GB2312" w:eastAsia="仿宋_GB2312" w:cs="仿宋_GB2312"/>
          <w:sz w:val="32"/>
          <w:szCs w:val="32"/>
        </w:rPr>
        <w:t>对自查验收表、面积合格、兑现农户花名册、自查验收报告等资料进行登记，形成完善的专项工作档案，存档备查。</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四、保障措施</w:t>
      </w:r>
    </w:p>
    <w:p>
      <w:pPr>
        <w:spacing w:line="560" w:lineRule="exact"/>
        <w:ind w:firstLine="642"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（一）强化组织领导，压实工作责任。</w:t>
      </w:r>
      <w:r>
        <w:rPr>
          <w:rFonts w:hint="eastAsia" w:ascii="仿宋_GB2312" w:hAnsi="仿宋_GB2312" w:eastAsia="仿宋_GB2312" w:cs="仿宋_GB2312"/>
          <w:sz w:val="32"/>
          <w:szCs w:val="32"/>
        </w:rPr>
        <w:t>为确保新一轮退耕还林延期补助资金发放工作的顺利开展，县上成立由县级林长任组长，县林业和草原局、财政及各乡镇主要负责人为成员的领导小组，领导小组下设办公室，办公室设在县林业和草原局，任涛同志任办公室主任，县林业和草原局副局长杨平，县林草局退耕中心组织协调实施延期补助资金发放工作。县林业和草原局负责指导退耕还林延期补助资金的发放、补助面积核实、存在问题整改、台账建立、资金发放等；县林业和草原局负责各年度退耕资料收集、核查验收；县财政局负责延期补助资金的审核、拨付、监管等。各乡镇要成立以乡镇党委乡镇长任组长，分管林草工作的副乡镇长任副组长、具体工作人员为成员的领导小组，具体负责本乡镇2014年-2017年新一轮退耕还林延期补助政策落实的组织领导、政策宣传、自查验收、张榜公示、汇总上报、整改落实等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成员单位、乡镇要各司其职、密切配合，形成工作合力，确保延期补助资金发放工作的顺利进行。林业和草原局抽调专门人员，做到分工明确，责任到人，全面组织协调检查验收、补助资金发放工作。各林业工作站要充分发挥业务指导作用，为辖区范围内乡镇配备1名指导业务人员，在乡镇统一领导下，积极配合乡镇村开展退耕还林面积的自查验收工作。</w:t>
      </w:r>
    </w:p>
    <w:p>
      <w:pPr>
        <w:spacing w:line="560" w:lineRule="exact"/>
        <w:ind w:firstLine="642"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（二）掌握政策标准，严格发放程序。</w:t>
      </w:r>
      <w:r>
        <w:rPr>
          <w:rFonts w:hint="eastAsia" w:ascii="仿宋_GB2312" w:hAnsi="仿宋_GB2312" w:eastAsia="仿宋_GB2312" w:cs="仿宋_GB2312"/>
          <w:sz w:val="32"/>
          <w:szCs w:val="32"/>
        </w:rPr>
        <w:t>新一轮退耕还林成果巩固延期补助资金的发放工作政策性强、涉及范围广、补助资金大，事关广大退耕农户的切身利益，各乡镇一定要精准把握政策、摸清底数，严格按照宣传发动、检查验收、张榜公示、上报审核、资金拨付、补植补造整改、档案管理等工作顺序进行，决不能走捷径或胡编乱造，严格执行“谁验收、谁签字、谁负责”制度，做到补助资金发放无纠纷、无漏洞，经得起检验，确保延期补助资金发放安全、有成效。</w:t>
      </w:r>
    </w:p>
    <w:p>
      <w:pPr>
        <w:spacing w:line="560" w:lineRule="exact"/>
        <w:ind w:firstLine="642"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（三）严格督查检查、确保工作质量。</w:t>
      </w:r>
      <w:r>
        <w:rPr>
          <w:rFonts w:hint="eastAsia" w:ascii="仿宋_GB2312" w:hAnsi="仿宋_GB2312" w:eastAsia="仿宋_GB2312" w:cs="仿宋_GB2312"/>
          <w:sz w:val="32"/>
          <w:szCs w:val="32"/>
        </w:rPr>
        <w:t>新一轮退耕还林延期补助资金为中央直达资金，当年资金必须当年完成支付，县林业和草原局将此项工作纳入乡村林长制工作考核范畴，各乡镇必须把握时间节点和具体要求，做到精准兑现，林业和草原局要加强督促和检查，做到边上报边审核边拨付，务必在规定时间内完成资金拨付，凡工作滞后，影响资金拨付的乡镇和单位，将停止发放补助，并追究相关单位责任。</w:t>
      </w:r>
    </w:p>
    <w:p>
      <w:pPr>
        <w:spacing w:line="560" w:lineRule="exact"/>
        <w:ind w:firstLine="960" w:firstLineChars="300"/>
        <w:rPr>
          <w:rFonts w:ascii="仿宋_GB2312" w:hAnsi="仿宋_GB2312" w:eastAsia="仿宋_GB2312" w:cs="仿宋_GB2312"/>
          <w:sz w:val="32"/>
          <w:szCs w:val="32"/>
        </w:rPr>
      </w:pPr>
    </w:p>
    <w:p>
      <w:pPr>
        <w:spacing w:line="560" w:lineRule="exact"/>
        <w:ind w:left="2238" w:leftChars="304" w:hanging="1600" w:hangingChars="500"/>
        <w:rPr>
          <w:rFonts w:ascii="仿宋_GB2312" w:hAnsi="仿宋_GB2312" w:eastAsia="仿宋_GB2312" w:cs="仿宋_GB2312"/>
          <w:sz w:val="32"/>
          <w:szCs w:val="32"/>
        </w:rPr>
      </w:pPr>
      <w:r>
        <w:rPr>
          <w:rFonts w:hint="eastAsia" w:ascii="仿宋_GB2312" w:hAnsi="仿宋_GB2312" w:eastAsia="仿宋_GB2312" w:cs="仿宋_GB2312"/>
          <w:sz w:val="32"/>
          <w:szCs w:val="32"/>
        </w:rPr>
        <w:t>附件：1-1.2023年兑现2014年新一轮退耕还林延长期补助一览表</w:t>
      </w:r>
    </w:p>
    <w:p>
      <w:pPr>
        <w:spacing w:line="560" w:lineRule="exact"/>
        <w:ind w:left="2236" w:leftChars="760" w:hanging="640" w:hangingChars="200"/>
        <w:rPr>
          <w:rFonts w:ascii="仿宋_GB2312" w:hAnsi="仿宋_GB2312" w:eastAsia="仿宋_GB2312" w:cs="仿宋_GB2312"/>
          <w:sz w:val="32"/>
          <w:szCs w:val="32"/>
        </w:rPr>
      </w:pPr>
      <w:r>
        <w:rPr>
          <w:rFonts w:hint="eastAsia" w:ascii="仿宋_GB2312" w:hAnsi="仿宋_GB2312" w:eastAsia="仿宋_GB2312" w:cs="仿宋_GB2312"/>
          <w:sz w:val="32"/>
          <w:szCs w:val="32"/>
        </w:rPr>
        <w:t>1-2.2023年兑现2017年新一轮退耕还林延长期补助一览表</w:t>
      </w:r>
    </w:p>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黑水县林业和草原局</w:t>
      </w:r>
    </w:p>
    <w:p>
      <w:pPr>
        <w:spacing w:line="560" w:lineRule="exact"/>
        <w:jc w:val="center"/>
        <w:rPr>
          <w:rFonts w:ascii="仿宋_GB2312" w:hAnsi="仿宋_GB2312" w:eastAsia="仿宋_GB2312" w:cs="仿宋_GB2312"/>
          <w:sz w:val="32"/>
          <w:szCs w:val="32"/>
        </w:rPr>
        <w:sectPr>
          <w:footerReference r:id="rId3" w:type="default"/>
          <w:pgSz w:w="11906" w:h="16838"/>
          <w:pgMar w:top="2098" w:right="1474" w:bottom="1984" w:left="1587" w:header="851" w:footer="992" w:gutter="0"/>
          <w:cols w:space="425" w:num="1"/>
          <w:docGrid w:type="lines" w:linePitch="312" w:charSpace="0"/>
        </w:sectPr>
      </w:pPr>
      <w:r>
        <w:rPr>
          <w:rFonts w:hint="eastAsia" w:ascii="仿宋_GB2312" w:hAnsi="仿宋_GB2312" w:eastAsia="仿宋_GB2312" w:cs="仿宋_GB2312"/>
          <w:sz w:val="32"/>
          <w:szCs w:val="32"/>
        </w:rPr>
        <w:t xml:space="preserve">                   2023年7月15日</w:t>
      </w:r>
    </w:p>
    <w:p>
      <w:pPr>
        <w:pStyle w:val="2"/>
        <w:spacing w:before="0" w:beforeAutospacing="0" w:after="0" w:afterAutospacing="0" w:line="560" w:lineRule="exact"/>
        <w:rPr>
          <w:rFonts w:ascii="黑体" w:hAnsi="黑体" w:eastAsia="黑体" w:cs="黑体"/>
          <w:sz w:val="32"/>
          <w:szCs w:val="32"/>
        </w:rPr>
      </w:pPr>
      <w:r>
        <w:rPr>
          <w:rFonts w:hint="eastAsia" w:ascii="黑体" w:hAnsi="黑体" w:eastAsia="黑体" w:cs="黑体"/>
          <w:sz w:val="32"/>
          <w:szCs w:val="32"/>
        </w:rPr>
        <w:t>附件1-1</w:t>
      </w:r>
    </w:p>
    <w:tbl>
      <w:tblPr>
        <w:tblStyle w:val="9"/>
        <w:tblW w:w="13935" w:type="dxa"/>
        <w:jc w:val="center"/>
        <w:tblLayout w:type="autofit"/>
        <w:tblCellMar>
          <w:top w:w="0" w:type="dxa"/>
          <w:left w:w="108" w:type="dxa"/>
          <w:bottom w:w="0" w:type="dxa"/>
          <w:right w:w="108" w:type="dxa"/>
        </w:tblCellMar>
      </w:tblPr>
      <w:tblGrid>
        <w:gridCol w:w="1500"/>
        <w:gridCol w:w="1590"/>
        <w:gridCol w:w="1335"/>
        <w:gridCol w:w="1350"/>
        <w:gridCol w:w="1350"/>
        <w:gridCol w:w="1395"/>
        <w:gridCol w:w="1530"/>
        <w:gridCol w:w="1260"/>
        <w:gridCol w:w="2625"/>
      </w:tblGrid>
      <w:tr>
        <w:tblPrEx>
          <w:tblCellMar>
            <w:top w:w="0" w:type="dxa"/>
            <w:left w:w="108" w:type="dxa"/>
            <w:bottom w:w="0" w:type="dxa"/>
            <w:right w:w="108" w:type="dxa"/>
          </w:tblCellMar>
        </w:tblPrEx>
        <w:trPr>
          <w:trHeight w:val="1380" w:hRule="atLeast"/>
          <w:jc w:val="center"/>
        </w:trPr>
        <w:tc>
          <w:tcPr>
            <w:tcW w:w="13935" w:type="dxa"/>
            <w:gridSpan w:val="9"/>
            <w:tcBorders>
              <w:top w:val="nil"/>
              <w:left w:val="nil"/>
              <w:bottom w:val="nil"/>
              <w:right w:val="nil"/>
            </w:tcBorders>
            <w:shd w:val="clear" w:color="auto" w:fill="auto"/>
            <w:noWrap/>
            <w:vAlign w:val="center"/>
          </w:tcPr>
          <w:p>
            <w:pPr>
              <w:widowControl/>
              <w:jc w:val="center"/>
              <w:textAlignment w:val="center"/>
              <w:rPr>
                <w:rFonts w:ascii="方正小标宋_GBK" w:hAnsi="方正小标宋_GBK" w:eastAsia="方正小标宋_GBK" w:cs="方正小标宋_GBK"/>
                <w:color w:val="000000"/>
                <w:sz w:val="40"/>
                <w:szCs w:val="40"/>
              </w:rPr>
            </w:pPr>
            <w:r>
              <w:rPr>
                <w:rFonts w:hint="eastAsia" w:ascii="方正小标宋_GBK" w:hAnsi="方正小标宋_GBK" w:eastAsia="方正小标宋_GBK" w:cs="方正小标宋_GBK"/>
                <w:color w:val="000000"/>
                <w:kern w:val="0"/>
                <w:sz w:val="40"/>
                <w:szCs w:val="40"/>
              </w:rPr>
              <w:t>2023年兑现2014年新一轮退耕还林延长期补助一览表</w:t>
            </w:r>
          </w:p>
        </w:tc>
      </w:tr>
      <w:tr>
        <w:tblPrEx>
          <w:tblCellMar>
            <w:top w:w="0" w:type="dxa"/>
            <w:left w:w="108" w:type="dxa"/>
            <w:bottom w:w="0" w:type="dxa"/>
            <w:right w:w="108" w:type="dxa"/>
          </w:tblCellMar>
        </w:tblPrEx>
        <w:trPr>
          <w:trHeight w:val="510" w:hRule="atLeast"/>
          <w:jc w:val="center"/>
        </w:trPr>
        <w:tc>
          <w:tcPr>
            <w:tcW w:w="0" w:type="auto"/>
            <w:tcBorders>
              <w:top w:val="nil"/>
              <w:left w:val="nil"/>
              <w:bottom w:val="nil"/>
              <w:right w:val="nil"/>
            </w:tcBorders>
            <w:shd w:val="clear" w:color="auto" w:fill="auto"/>
            <w:noWrap/>
            <w:vAlign w:val="center"/>
          </w:tcPr>
          <w:p>
            <w:pPr>
              <w:jc w:val="center"/>
              <w:rPr>
                <w:rFonts w:ascii="宋体" w:hAnsi="宋体" w:eastAsia="宋体" w:cs="宋体"/>
                <w:b/>
                <w:bCs/>
                <w:color w:val="000000"/>
                <w:sz w:val="40"/>
                <w:szCs w:val="40"/>
              </w:rPr>
            </w:pPr>
          </w:p>
        </w:tc>
        <w:tc>
          <w:tcPr>
            <w:tcW w:w="0" w:type="auto"/>
            <w:tcBorders>
              <w:top w:val="nil"/>
              <w:left w:val="nil"/>
              <w:bottom w:val="nil"/>
              <w:right w:val="nil"/>
            </w:tcBorders>
            <w:shd w:val="clear" w:color="auto" w:fill="auto"/>
            <w:noWrap/>
            <w:vAlign w:val="center"/>
          </w:tcPr>
          <w:p>
            <w:pPr>
              <w:jc w:val="center"/>
              <w:rPr>
                <w:rFonts w:ascii="宋体" w:hAnsi="宋体" w:eastAsia="宋体" w:cs="宋体"/>
                <w:b/>
                <w:bCs/>
                <w:color w:val="000000"/>
                <w:sz w:val="40"/>
                <w:szCs w:val="40"/>
              </w:rPr>
            </w:pPr>
          </w:p>
        </w:tc>
        <w:tc>
          <w:tcPr>
            <w:tcW w:w="0" w:type="auto"/>
            <w:tcBorders>
              <w:top w:val="nil"/>
              <w:left w:val="nil"/>
              <w:bottom w:val="nil"/>
              <w:right w:val="nil"/>
            </w:tcBorders>
            <w:shd w:val="clear" w:color="auto" w:fill="auto"/>
            <w:noWrap/>
            <w:vAlign w:val="center"/>
          </w:tcPr>
          <w:p>
            <w:pPr>
              <w:jc w:val="center"/>
              <w:rPr>
                <w:rFonts w:ascii="宋体" w:hAnsi="宋体" w:eastAsia="宋体" w:cs="宋体"/>
                <w:b/>
                <w:bCs/>
                <w:color w:val="000000"/>
                <w:sz w:val="40"/>
                <w:szCs w:val="40"/>
              </w:rPr>
            </w:pPr>
          </w:p>
        </w:tc>
        <w:tc>
          <w:tcPr>
            <w:tcW w:w="0" w:type="auto"/>
            <w:tcBorders>
              <w:top w:val="nil"/>
              <w:left w:val="nil"/>
              <w:bottom w:val="nil"/>
              <w:right w:val="nil"/>
            </w:tcBorders>
            <w:shd w:val="clear" w:color="auto" w:fill="auto"/>
            <w:noWrap/>
            <w:vAlign w:val="center"/>
          </w:tcPr>
          <w:p>
            <w:pPr>
              <w:jc w:val="center"/>
              <w:rPr>
                <w:rFonts w:ascii="宋体" w:hAnsi="宋体" w:eastAsia="宋体" w:cs="宋体"/>
                <w:b/>
                <w:bCs/>
                <w:color w:val="000000"/>
                <w:sz w:val="40"/>
                <w:szCs w:val="40"/>
              </w:rPr>
            </w:pPr>
          </w:p>
        </w:tc>
        <w:tc>
          <w:tcPr>
            <w:tcW w:w="0" w:type="auto"/>
            <w:tcBorders>
              <w:top w:val="nil"/>
              <w:left w:val="nil"/>
              <w:bottom w:val="nil"/>
              <w:right w:val="nil"/>
            </w:tcBorders>
            <w:shd w:val="clear" w:color="auto" w:fill="auto"/>
            <w:noWrap/>
            <w:vAlign w:val="center"/>
          </w:tcPr>
          <w:p>
            <w:pPr>
              <w:jc w:val="center"/>
              <w:rPr>
                <w:rFonts w:ascii="宋体" w:hAnsi="宋体" w:eastAsia="宋体" w:cs="宋体"/>
                <w:b/>
                <w:bCs/>
                <w:color w:val="000000"/>
                <w:sz w:val="40"/>
                <w:szCs w:val="40"/>
              </w:rPr>
            </w:pPr>
          </w:p>
        </w:tc>
        <w:tc>
          <w:tcPr>
            <w:tcW w:w="0" w:type="auto"/>
            <w:tcBorders>
              <w:top w:val="nil"/>
              <w:left w:val="nil"/>
              <w:bottom w:val="nil"/>
              <w:right w:val="nil"/>
            </w:tcBorders>
            <w:shd w:val="clear" w:color="auto" w:fill="auto"/>
            <w:noWrap/>
            <w:vAlign w:val="center"/>
          </w:tcPr>
          <w:p>
            <w:pPr>
              <w:jc w:val="center"/>
              <w:rPr>
                <w:rFonts w:ascii="宋体" w:hAnsi="宋体" w:eastAsia="宋体" w:cs="宋体"/>
                <w:b/>
                <w:bCs/>
                <w:color w:val="000000"/>
                <w:sz w:val="40"/>
                <w:szCs w:val="40"/>
              </w:rPr>
            </w:pPr>
          </w:p>
        </w:tc>
        <w:tc>
          <w:tcPr>
            <w:tcW w:w="0" w:type="auto"/>
            <w:tcBorders>
              <w:top w:val="nil"/>
              <w:left w:val="nil"/>
              <w:bottom w:val="nil"/>
              <w:right w:val="nil"/>
            </w:tcBorders>
            <w:shd w:val="clear" w:color="auto" w:fill="auto"/>
            <w:noWrap/>
            <w:vAlign w:val="center"/>
          </w:tcPr>
          <w:p>
            <w:pPr>
              <w:jc w:val="center"/>
              <w:rPr>
                <w:rFonts w:ascii="宋体" w:hAnsi="宋体" w:eastAsia="宋体" w:cs="宋体"/>
                <w:b/>
                <w:bCs/>
                <w:color w:val="000000"/>
                <w:sz w:val="40"/>
                <w:szCs w:val="40"/>
              </w:rPr>
            </w:pPr>
          </w:p>
        </w:tc>
        <w:tc>
          <w:tcPr>
            <w:tcW w:w="0" w:type="auto"/>
            <w:tcBorders>
              <w:top w:val="nil"/>
              <w:left w:val="nil"/>
              <w:bottom w:val="nil"/>
              <w:right w:val="nil"/>
            </w:tcBorders>
            <w:shd w:val="clear" w:color="auto" w:fill="auto"/>
            <w:noWrap/>
            <w:vAlign w:val="center"/>
          </w:tcPr>
          <w:p>
            <w:pPr>
              <w:jc w:val="center"/>
              <w:rPr>
                <w:rFonts w:ascii="宋体" w:hAnsi="宋体" w:eastAsia="宋体" w:cs="宋体"/>
                <w:b/>
                <w:bCs/>
                <w:color w:val="000000"/>
                <w:sz w:val="40"/>
                <w:szCs w:val="40"/>
              </w:rPr>
            </w:pPr>
          </w:p>
        </w:tc>
        <w:tc>
          <w:tcPr>
            <w:tcW w:w="0" w:type="auto"/>
            <w:tcBorders>
              <w:top w:val="nil"/>
              <w:left w:val="nil"/>
              <w:bottom w:val="nil"/>
              <w:right w:val="nil"/>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单位：元</w:t>
            </w:r>
          </w:p>
        </w:tc>
      </w:tr>
      <w:tr>
        <w:tblPrEx>
          <w:tblCellMar>
            <w:top w:w="0" w:type="dxa"/>
            <w:left w:w="108" w:type="dxa"/>
            <w:bottom w:w="0" w:type="dxa"/>
            <w:right w:w="108" w:type="dxa"/>
          </w:tblCellMar>
        </w:tblPrEx>
        <w:trPr>
          <w:trHeight w:val="1200" w:hRule="atLeast"/>
          <w:jc w:val="center"/>
        </w:trPr>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乡镇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上报面积（亩）</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每亩兑现金额（元）</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补2019年应兑现金额</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补2020年应兑现金额</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补2021年应兑现金额</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补2022年应兑现金额</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2023年应兑现金额</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2023年共计兑现金额</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芦花镇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397.5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39750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39750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39750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39750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39750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198750</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红岩乡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328.7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32870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32870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32870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32870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32870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164350</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晴朗乡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96240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96240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96240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96240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96240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481200</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慈坝乡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36240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36240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36240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36240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36240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181200</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卡龙镇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918.92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91892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91892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91892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91892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91892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459460</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洛多乡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259.59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25959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25959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25959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25959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25959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129795</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木苏乡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173.3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17330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17330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17330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17330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17330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86650</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龙坝乡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465.19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46519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46519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46519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46519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46519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232595</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维古乡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1304.6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130460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130460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130460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130460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130460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652300</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麻窝乡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1289.1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128910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128910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128910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128910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128910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644550</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沙石多乡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1413.41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141341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141341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141341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141341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141341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706705</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知木林乡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999.49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99949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99949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99949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99949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99949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499745</w:t>
            </w:r>
          </w:p>
        </w:tc>
      </w:tr>
      <w:tr>
        <w:tblPrEx>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石碉楼乡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725.4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72540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72540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72540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72540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72540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362700</w:t>
            </w:r>
          </w:p>
        </w:tc>
      </w:tr>
      <w:tr>
        <w:tblPrEx>
          <w:tblCellMar>
            <w:top w:w="0" w:type="dxa"/>
            <w:left w:w="108" w:type="dxa"/>
            <w:bottom w:w="0" w:type="dxa"/>
            <w:right w:w="108" w:type="dxa"/>
          </w:tblCellMar>
        </w:tblPrEx>
        <w:trPr>
          <w:trHeight w:val="6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全县合计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960000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960000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960000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960000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960000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4800000</w:t>
            </w:r>
          </w:p>
        </w:tc>
      </w:tr>
    </w:tbl>
    <w:p>
      <w:pPr>
        <w:pStyle w:val="2"/>
        <w:spacing w:before="0" w:beforeAutospacing="0" w:after="0" w:afterAutospacing="0" w:line="560" w:lineRule="exact"/>
        <w:rPr>
          <w:rFonts w:ascii="黑体" w:hAnsi="黑体" w:eastAsia="黑体" w:cs="黑体"/>
          <w:sz w:val="32"/>
          <w:szCs w:val="32"/>
        </w:rPr>
      </w:pPr>
      <w:r>
        <w:rPr>
          <w:rFonts w:hint="eastAsia" w:ascii="黑体" w:hAnsi="黑体" w:eastAsia="黑体" w:cs="黑体"/>
          <w:sz w:val="32"/>
          <w:szCs w:val="32"/>
        </w:rPr>
        <w:t>附件1-2</w:t>
      </w:r>
    </w:p>
    <w:tbl>
      <w:tblPr>
        <w:tblStyle w:val="9"/>
        <w:tblW w:w="14250" w:type="dxa"/>
        <w:jc w:val="center"/>
        <w:tblLayout w:type="fixed"/>
        <w:tblCellMar>
          <w:top w:w="0" w:type="dxa"/>
          <w:left w:w="108" w:type="dxa"/>
          <w:bottom w:w="0" w:type="dxa"/>
          <w:right w:w="108" w:type="dxa"/>
        </w:tblCellMar>
      </w:tblPr>
      <w:tblGrid>
        <w:gridCol w:w="1696"/>
        <w:gridCol w:w="2489"/>
        <w:gridCol w:w="2460"/>
        <w:gridCol w:w="2595"/>
        <w:gridCol w:w="2490"/>
        <w:gridCol w:w="2520"/>
      </w:tblGrid>
      <w:tr>
        <w:tblPrEx>
          <w:tblCellMar>
            <w:top w:w="0" w:type="dxa"/>
            <w:left w:w="108" w:type="dxa"/>
            <w:bottom w:w="0" w:type="dxa"/>
            <w:right w:w="108" w:type="dxa"/>
          </w:tblCellMar>
        </w:tblPrEx>
        <w:trPr>
          <w:trHeight w:val="936" w:hRule="atLeast"/>
          <w:jc w:val="center"/>
        </w:trPr>
        <w:tc>
          <w:tcPr>
            <w:tcW w:w="14250" w:type="dxa"/>
            <w:gridSpan w:val="6"/>
            <w:vMerge w:val="restart"/>
            <w:tcBorders>
              <w:top w:val="nil"/>
              <w:left w:val="nil"/>
              <w:bottom w:val="nil"/>
              <w:right w:val="nil"/>
            </w:tcBorders>
            <w:shd w:val="clear" w:color="auto" w:fill="auto"/>
            <w:noWrap/>
            <w:vAlign w:val="center"/>
          </w:tcPr>
          <w:p>
            <w:pPr>
              <w:widowControl/>
              <w:jc w:val="center"/>
              <w:textAlignment w:val="center"/>
              <w:rPr>
                <w:rFonts w:ascii="方正小标宋_GBK" w:hAnsi="方正小标宋_GBK" w:eastAsia="方正小标宋_GBK" w:cs="方正小标宋_GBK"/>
                <w:color w:val="000000"/>
                <w:sz w:val="40"/>
                <w:szCs w:val="40"/>
              </w:rPr>
            </w:pPr>
            <w:r>
              <w:rPr>
                <w:rFonts w:hint="eastAsia" w:ascii="方正小标宋_GBK" w:hAnsi="方正小标宋_GBK" w:eastAsia="方正小标宋_GBK" w:cs="方正小标宋_GBK"/>
                <w:color w:val="000000"/>
                <w:kern w:val="0"/>
                <w:sz w:val="40"/>
                <w:szCs w:val="40"/>
              </w:rPr>
              <w:t>2023年兑现2017年新一轮退耕还林延长期补助一览表</w:t>
            </w:r>
          </w:p>
        </w:tc>
      </w:tr>
      <w:tr>
        <w:tblPrEx>
          <w:tblCellMar>
            <w:top w:w="0" w:type="dxa"/>
            <w:left w:w="108" w:type="dxa"/>
            <w:bottom w:w="0" w:type="dxa"/>
            <w:right w:w="108" w:type="dxa"/>
          </w:tblCellMar>
        </w:tblPrEx>
        <w:trPr>
          <w:trHeight w:val="936" w:hRule="atLeast"/>
          <w:jc w:val="center"/>
        </w:trPr>
        <w:tc>
          <w:tcPr>
            <w:tcW w:w="14250" w:type="dxa"/>
            <w:gridSpan w:val="6"/>
            <w:vMerge w:val="continue"/>
            <w:tcBorders>
              <w:top w:val="nil"/>
              <w:left w:val="nil"/>
              <w:bottom w:val="nil"/>
              <w:right w:val="nil"/>
            </w:tcBorders>
            <w:shd w:val="clear" w:color="auto" w:fill="auto"/>
            <w:noWrap/>
            <w:vAlign w:val="center"/>
          </w:tcPr>
          <w:p>
            <w:pPr>
              <w:jc w:val="center"/>
              <w:rPr>
                <w:rFonts w:ascii="方正小标宋_GBK" w:hAnsi="方正小标宋_GBK" w:eastAsia="方正小标宋_GBK" w:cs="方正小标宋_GBK"/>
                <w:color w:val="000000"/>
                <w:sz w:val="40"/>
                <w:szCs w:val="40"/>
              </w:rPr>
            </w:pPr>
          </w:p>
        </w:tc>
      </w:tr>
      <w:tr>
        <w:tblPrEx>
          <w:tblCellMar>
            <w:top w:w="0" w:type="dxa"/>
            <w:left w:w="108" w:type="dxa"/>
            <w:bottom w:w="0" w:type="dxa"/>
            <w:right w:w="108" w:type="dxa"/>
          </w:tblCellMar>
        </w:tblPrEx>
        <w:trPr>
          <w:trHeight w:val="480" w:hRule="atLeast"/>
          <w:jc w:val="center"/>
        </w:trPr>
        <w:tc>
          <w:tcPr>
            <w:tcW w:w="1696"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c>
          <w:tcPr>
            <w:tcW w:w="2489" w:type="dxa"/>
            <w:tcBorders>
              <w:top w:val="nil"/>
              <w:left w:val="nil"/>
              <w:bottom w:val="nil"/>
              <w:right w:val="nil"/>
            </w:tcBorders>
            <w:shd w:val="clear" w:color="auto" w:fill="auto"/>
            <w:noWrap/>
            <w:vAlign w:val="center"/>
          </w:tcPr>
          <w:p>
            <w:pPr>
              <w:jc w:val="center"/>
              <w:rPr>
                <w:rFonts w:ascii="宋体" w:hAnsi="宋体" w:eastAsia="宋体" w:cs="宋体"/>
                <w:b/>
                <w:bCs/>
                <w:color w:val="000000"/>
                <w:sz w:val="40"/>
                <w:szCs w:val="40"/>
              </w:rPr>
            </w:pPr>
          </w:p>
        </w:tc>
        <w:tc>
          <w:tcPr>
            <w:tcW w:w="2460" w:type="dxa"/>
            <w:tcBorders>
              <w:top w:val="nil"/>
              <w:left w:val="nil"/>
              <w:bottom w:val="nil"/>
              <w:right w:val="nil"/>
            </w:tcBorders>
            <w:shd w:val="clear" w:color="auto" w:fill="auto"/>
            <w:noWrap/>
            <w:vAlign w:val="center"/>
          </w:tcPr>
          <w:p>
            <w:pPr>
              <w:jc w:val="center"/>
              <w:rPr>
                <w:rFonts w:ascii="宋体" w:hAnsi="宋体" w:eastAsia="宋体" w:cs="宋体"/>
                <w:b/>
                <w:bCs/>
                <w:color w:val="000000"/>
                <w:sz w:val="40"/>
                <w:szCs w:val="40"/>
              </w:rPr>
            </w:pPr>
          </w:p>
        </w:tc>
        <w:tc>
          <w:tcPr>
            <w:tcW w:w="2595" w:type="dxa"/>
            <w:tcBorders>
              <w:top w:val="nil"/>
              <w:left w:val="nil"/>
              <w:bottom w:val="nil"/>
              <w:right w:val="nil"/>
            </w:tcBorders>
            <w:shd w:val="clear" w:color="auto" w:fill="auto"/>
            <w:noWrap/>
            <w:vAlign w:val="center"/>
          </w:tcPr>
          <w:p>
            <w:pPr>
              <w:jc w:val="center"/>
              <w:rPr>
                <w:rFonts w:ascii="宋体" w:hAnsi="宋体" w:eastAsia="宋体" w:cs="宋体"/>
                <w:b/>
                <w:bCs/>
                <w:color w:val="000000"/>
                <w:sz w:val="40"/>
                <w:szCs w:val="40"/>
              </w:rPr>
            </w:pPr>
          </w:p>
        </w:tc>
        <w:tc>
          <w:tcPr>
            <w:tcW w:w="2490" w:type="dxa"/>
            <w:tcBorders>
              <w:top w:val="nil"/>
              <w:left w:val="nil"/>
              <w:bottom w:val="nil"/>
              <w:right w:val="nil"/>
            </w:tcBorders>
            <w:shd w:val="clear" w:color="auto" w:fill="auto"/>
            <w:noWrap/>
            <w:vAlign w:val="center"/>
          </w:tcPr>
          <w:p>
            <w:pPr>
              <w:jc w:val="center"/>
              <w:rPr>
                <w:rFonts w:ascii="宋体" w:hAnsi="宋体" w:eastAsia="宋体" w:cs="宋体"/>
                <w:b/>
                <w:bCs/>
                <w:color w:val="000000"/>
                <w:sz w:val="40"/>
                <w:szCs w:val="40"/>
              </w:rPr>
            </w:pPr>
          </w:p>
        </w:tc>
        <w:tc>
          <w:tcPr>
            <w:tcW w:w="2520" w:type="dxa"/>
            <w:tcBorders>
              <w:top w:val="nil"/>
              <w:left w:val="nil"/>
              <w:bottom w:val="nil"/>
              <w:right w:val="nil"/>
            </w:tcBorders>
            <w:shd w:val="clear" w:color="auto" w:fill="auto"/>
            <w:noWrap/>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单位：元</w:t>
            </w:r>
          </w:p>
        </w:tc>
      </w:tr>
      <w:tr>
        <w:tblPrEx>
          <w:tblCellMar>
            <w:top w:w="0" w:type="dxa"/>
            <w:left w:w="108" w:type="dxa"/>
            <w:bottom w:w="0" w:type="dxa"/>
            <w:right w:w="108" w:type="dxa"/>
          </w:tblCellMar>
        </w:tblPrEx>
        <w:trPr>
          <w:trHeight w:val="855" w:hRule="atLeast"/>
          <w:jc w:val="center"/>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乡（镇）</w:t>
            </w:r>
          </w:p>
        </w:tc>
        <w:tc>
          <w:tcPr>
            <w:tcW w:w="24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上报面积（亩）</w:t>
            </w: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补助标准（元）</w:t>
            </w:r>
          </w:p>
        </w:tc>
        <w:tc>
          <w:tcPr>
            <w:tcW w:w="25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补2022年应兑现金额</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2023年应兑现金额</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color w:val="000000"/>
                <w:sz w:val="24"/>
              </w:rPr>
            </w:pPr>
            <w:r>
              <w:rPr>
                <w:rFonts w:hint="eastAsia" w:ascii="黑体" w:hAnsi="宋体" w:eastAsia="黑体" w:cs="黑体"/>
                <w:color w:val="000000"/>
                <w:kern w:val="0"/>
                <w:sz w:val="24"/>
              </w:rPr>
              <w:t>2023年共计兑现金额</w:t>
            </w:r>
          </w:p>
        </w:tc>
      </w:tr>
      <w:tr>
        <w:tblPrEx>
          <w:tblCellMar>
            <w:top w:w="0" w:type="dxa"/>
            <w:left w:w="108" w:type="dxa"/>
            <w:bottom w:w="0" w:type="dxa"/>
            <w:right w:w="108" w:type="dxa"/>
          </w:tblCellMar>
        </w:tblPrEx>
        <w:trPr>
          <w:trHeight w:val="480" w:hRule="atLeast"/>
          <w:jc w:val="center"/>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慈坝乡</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207.7</w:t>
            </w:r>
          </w:p>
        </w:tc>
        <w:tc>
          <w:tcPr>
            <w:tcW w:w="2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100</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20770</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20770</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41540</w:t>
            </w:r>
          </w:p>
        </w:tc>
      </w:tr>
      <w:tr>
        <w:tblPrEx>
          <w:tblCellMar>
            <w:top w:w="0" w:type="dxa"/>
            <w:left w:w="108" w:type="dxa"/>
            <w:bottom w:w="0" w:type="dxa"/>
            <w:right w:w="108" w:type="dxa"/>
          </w:tblCellMar>
        </w:tblPrEx>
        <w:trPr>
          <w:trHeight w:val="480" w:hRule="atLeast"/>
          <w:jc w:val="center"/>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卡龙镇</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1359.7</w:t>
            </w:r>
          </w:p>
        </w:tc>
        <w:tc>
          <w:tcPr>
            <w:tcW w:w="2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100</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135970</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135970</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271940</w:t>
            </w:r>
          </w:p>
        </w:tc>
      </w:tr>
      <w:tr>
        <w:tblPrEx>
          <w:tblCellMar>
            <w:top w:w="0" w:type="dxa"/>
            <w:left w:w="108" w:type="dxa"/>
            <w:bottom w:w="0" w:type="dxa"/>
            <w:right w:w="108" w:type="dxa"/>
          </w:tblCellMar>
        </w:tblPrEx>
        <w:trPr>
          <w:trHeight w:val="480" w:hRule="atLeast"/>
          <w:jc w:val="center"/>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洛多乡</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1517.08</w:t>
            </w:r>
          </w:p>
        </w:tc>
        <w:tc>
          <w:tcPr>
            <w:tcW w:w="2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100</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151708</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151708</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303416</w:t>
            </w:r>
          </w:p>
        </w:tc>
      </w:tr>
      <w:tr>
        <w:tblPrEx>
          <w:tblCellMar>
            <w:top w:w="0" w:type="dxa"/>
            <w:left w:w="108" w:type="dxa"/>
            <w:bottom w:w="0" w:type="dxa"/>
            <w:right w:w="108" w:type="dxa"/>
          </w:tblCellMar>
        </w:tblPrEx>
        <w:trPr>
          <w:trHeight w:val="480" w:hRule="atLeast"/>
          <w:jc w:val="center"/>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色尔古</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1071.71</w:t>
            </w:r>
          </w:p>
        </w:tc>
        <w:tc>
          <w:tcPr>
            <w:tcW w:w="2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100</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107171</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107171</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214342</w:t>
            </w:r>
          </w:p>
        </w:tc>
      </w:tr>
      <w:tr>
        <w:tblPrEx>
          <w:tblCellMar>
            <w:top w:w="0" w:type="dxa"/>
            <w:left w:w="108" w:type="dxa"/>
            <w:bottom w:w="0" w:type="dxa"/>
            <w:right w:w="108" w:type="dxa"/>
          </w:tblCellMar>
        </w:tblPrEx>
        <w:trPr>
          <w:trHeight w:val="480" w:hRule="atLeast"/>
          <w:jc w:val="center"/>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晴朗乡</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259.05</w:t>
            </w:r>
          </w:p>
        </w:tc>
        <w:tc>
          <w:tcPr>
            <w:tcW w:w="2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100</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25905</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25905</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51810</w:t>
            </w:r>
          </w:p>
        </w:tc>
      </w:tr>
      <w:tr>
        <w:tblPrEx>
          <w:tblCellMar>
            <w:top w:w="0" w:type="dxa"/>
            <w:left w:w="108" w:type="dxa"/>
            <w:bottom w:w="0" w:type="dxa"/>
            <w:right w:w="108" w:type="dxa"/>
          </w:tblCellMar>
        </w:tblPrEx>
        <w:trPr>
          <w:trHeight w:val="480" w:hRule="atLeast"/>
          <w:jc w:val="center"/>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沙石多乡</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302.5</w:t>
            </w:r>
          </w:p>
        </w:tc>
        <w:tc>
          <w:tcPr>
            <w:tcW w:w="2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100</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30250</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30250</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60500</w:t>
            </w:r>
          </w:p>
        </w:tc>
      </w:tr>
      <w:tr>
        <w:tblPrEx>
          <w:tblCellMar>
            <w:top w:w="0" w:type="dxa"/>
            <w:left w:w="108" w:type="dxa"/>
            <w:bottom w:w="0" w:type="dxa"/>
            <w:right w:w="108" w:type="dxa"/>
          </w:tblCellMar>
        </w:tblPrEx>
        <w:trPr>
          <w:trHeight w:val="480" w:hRule="atLeast"/>
          <w:jc w:val="center"/>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石碉楼乡</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269.1</w:t>
            </w:r>
          </w:p>
        </w:tc>
        <w:tc>
          <w:tcPr>
            <w:tcW w:w="2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100</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26910</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26910</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53820</w:t>
            </w:r>
          </w:p>
        </w:tc>
      </w:tr>
      <w:tr>
        <w:tblPrEx>
          <w:tblCellMar>
            <w:top w:w="0" w:type="dxa"/>
            <w:left w:w="108" w:type="dxa"/>
            <w:bottom w:w="0" w:type="dxa"/>
            <w:right w:w="108" w:type="dxa"/>
          </w:tblCellMar>
        </w:tblPrEx>
        <w:trPr>
          <w:trHeight w:val="480" w:hRule="atLeast"/>
          <w:jc w:val="center"/>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瓦钵乡</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460.34</w:t>
            </w:r>
          </w:p>
        </w:tc>
        <w:tc>
          <w:tcPr>
            <w:tcW w:w="2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100</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46034</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46034</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92068</w:t>
            </w:r>
          </w:p>
        </w:tc>
      </w:tr>
      <w:tr>
        <w:tblPrEx>
          <w:tblCellMar>
            <w:top w:w="0" w:type="dxa"/>
            <w:left w:w="108" w:type="dxa"/>
            <w:bottom w:w="0" w:type="dxa"/>
            <w:right w:w="108" w:type="dxa"/>
          </w:tblCellMar>
        </w:tblPrEx>
        <w:trPr>
          <w:trHeight w:val="480" w:hRule="atLeast"/>
          <w:jc w:val="center"/>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知木林乡</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552.82</w:t>
            </w:r>
          </w:p>
        </w:tc>
        <w:tc>
          <w:tcPr>
            <w:tcW w:w="2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100</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55282</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55282</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110564</w:t>
            </w:r>
          </w:p>
        </w:tc>
      </w:tr>
      <w:tr>
        <w:tblPrEx>
          <w:tblCellMar>
            <w:top w:w="0" w:type="dxa"/>
            <w:left w:w="108" w:type="dxa"/>
            <w:bottom w:w="0" w:type="dxa"/>
            <w:right w:w="108" w:type="dxa"/>
          </w:tblCellMar>
        </w:tblPrEx>
        <w:trPr>
          <w:trHeight w:val="480" w:hRule="atLeast"/>
          <w:jc w:val="center"/>
        </w:trPr>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b/>
                <w:bCs/>
                <w:kern w:val="0"/>
                <w:sz w:val="24"/>
              </w:rPr>
              <w:t>全县合计</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6000</w:t>
            </w:r>
          </w:p>
        </w:tc>
        <w:tc>
          <w:tcPr>
            <w:tcW w:w="2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sz w:val="24"/>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600000</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600000</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1200000</w:t>
            </w:r>
          </w:p>
        </w:tc>
      </w:tr>
    </w:tbl>
    <w:p>
      <w:pPr>
        <w:pStyle w:val="2"/>
        <w:sectPr>
          <w:pgSz w:w="16838" w:h="11906" w:orient="landscape"/>
          <w:pgMar w:top="1587" w:right="2098" w:bottom="1474" w:left="1984" w:header="851" w:footer="992" w:gutter="0"/>
          <w:cols w:space="425" w:num="1"/>
          <w:docGrid w:type="lines" w:linePitch="312" w:charSpace="0"/>
        </w:sectPr>
      </w:pPr>
    </w:p>
    <w:p>
      <w:pPr>
        <w:rPr>
          <w:rFonts w:hint="eastAsia" w:ascii="黑体" w:hAnsi="黑体" w:eastAsia="黑体" w:cs="黑体"/>
          <w:sz w:val="32"/>
          <w:szCs w:val="40"/>
          <w:lang w:val="en-US" w:eastAsia="zh-CN"/>
        </w:rPr>
      </w:pPr>
      <w:r>
        <w:rPr>
          <w:rFonts w:hint="eastAsia"/>
          <w:lang w:val="en-US" w:eastAsia="zh-CN"/>
        </w:rPr>
        <w:drawing>
          <wp:anchor distT="0" distB="0" distL="114300" distR="114300" simplePos="0" relativeHeight="251665408" behindDoc="0" locked="0" layoutInCell="1" allowOverlap="1">
            <wp:simplePos x="0" y="0"/>
            <wp:positionH relativeFrom="column">
              <wp:posOffset>119380</wp:posOffset>
            </wp:positionH>
            <wp:positionV relativeFrom="page">
              <wp:posOffset>1750060</wp:posOffset>
            </wp:positionV>
            <wp:extent cx="5610860" cy="7387590"/>
            <wp:effectExtent l="0" t="0" r="8890" b="3810"/>
            <wp:wrapTopAndBottom/>
            <wp:docPr id="9" name="图片 9" descr="2_自然资源部国家林草局国家发展改革委财政部农业农村部关于进一步完善政策措施巩固退耕还林还草成果的通知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_自然资源部国家林草局国家发展改革委财政部农业农村部关于进一步完善政策措施巩固退耕还林还草成果的通知_00"/>
                    <pic:cNvPicPr>
                      <a:picLocks noChangeAspect="1"/>
                    </pic:cNvPicPr>
                  </pic:nvPicPr>
                  <pic:blipFill>
                    <a:blip r:embed="rId5"/>
                    <a:stretch>
                      <a:fillRect/>
                    </a:stretch>
                  </pic:blipFill>
                  <pic:spPr>
                    <a:xfrm>
                      <a:off x="0" y="0"/>
                      <a:ext cx="5610860" cy="7387590"/>
                    </a:xfrm>
                    <a:prstGeom prst="rect">
                      <a:avLst/>
                    </a:prstGeom>
                  </pic:spPr>
                </pic:pic>
              </a:graphicData>
            </a:graphic>
          </wp:anchor>
        </w:drawing>
      </w:r>
      <w:r>
        <w:rPr>
          <w:rFonts w:hint="eastAsia" w:ascii="黑体" w:hAnsi="黑体" w:eastAsia="黑体" w:cs="黑体"/>
          <w:sz w:val="32"/>
          <w:szCs w:val="40"/>
        </w:rPr>
        <w:t>附件</w:t>
      </w:r>
      <w:r>
        <w:rPr>
          <w:rFonts w:hint="eastAsia" w:ascii="黑体" w:hAnsi="黑体" w:eastAsia="黑体" w:cs="黑体"/>
          <w:sz w:val="32"/>
          <w:szCs w:val="40"/>
          <w:lang w:val="en-US" w:eastAsia="zh-CN"/>
        </w:rPr>
        <w:t>2</w:t>
      </w:r>
    </w:p>
    <w:p>
      <w:pPr>
        <w:pStyle w:val="2"/>
        <w:rPr>
          <w:rFonts w:hint="eastAsia" w:ascii="黑体" w:hAnsi="黑体" w:eastAsia="黑体" w:cs="黑体"/>
          <w:sz w:val="32"/>
          <w:szCs w:val="40"/>
          <w:lang w:val="en-US" w:eastAsia="zh-CN"/>
        </w:rPr>
      </w:pPr>
      <w:r>
        <w:rPr>
          <w:rFonts w:hint="eastAsia"/>
          <w:lang w:val="en-US" w:eastAsia="zh-CN"/>
        </w:rPr>
        <w:drawing>
          <wp:anchor distT="0" distB="0" distL="114300" distR="114300" simplePos="0" relativeHeight="251666432" behindDoc="0" locked="0" layoutInCell="1" allowOverlap="1">
            <wp:simplePos x="0" y="0"/>
            <wp:positionH relativeFrom="column">
              <wp:posOffset>-635</wp:posOffset>
            </wp:positionH>
            <wp:positionV relativeFrom="page">
              <wp:posOffset>1421765</wp:posOffset>
            </wp:positionV>
            <wp:extent cx="5610860" cy="7816850"/>
            <wp:effectExtent l="0" t="0" r="8890" b="12700"/>
            <wp:wrapTopAndBottom/>
            <wp:docPr id="10" name="图片 10" descr="2_自然资源部国家林草局国家发展改革委财政部农业农村部关于进一步完善政策措施巩固退耕还林还草成果的通知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_自然资源部国家林草局国家发展改革委财政部农业农村部关于进一步完善政策措施巩固退耕还林还草成果的通知_01"/>
                    <pic:cNvPicPr>
                      <a:picLocks noChangeAspect="1"/>
                    </pic:cNvPicPr>
                  </pic:nvPicPr>
                  <pic:blipFill>
                    <a:blip r:embed="rId6"/>
                    <a:stretch>
                      <a:fillRect/>
                    </a:stretch>
                  </pic:blipFill>
                  <pic:spPr>
                    <a:xfrm>
                      <a:off x="0" y="0"/>
                      <a:ext cx="5610860" cy="7816850"/>
                    </a:xfrm>
                    <a:prstGeom prst="rect">
                      <a:avLst/>
                    </a:prstGeom>
                  </pic:spPr>
                </pic:pic>
              </a:graphicData>
            </a:graphic>
          </wp:anchor>
        </w:drawing>
      </w:r>
    </w:p>
    <w:p>
      <w:pPr>
        <w:rPr>
          <w:rFonts w:hint="eastAsia"/>
          <w:lang w:val="en-US" w:eastAsia="zh-CN"/>
        </w:rPr>
        <w:sectPr>
          <w:pgSz w:w="11906" w:h="16838"/>
          <w:pgMar w:top="2098" w:right="1474" w:bottom="1984" w:left="1587" w:header="851" w:footer="992" w:gutter="0"/>
          <w:cols w:space="425" w:num="1"/>
          <w:docGrid w:type="lines" w:linePitch="312" w:charSpace="0"/>
        </w:sectPr>
      </w:pPr>
    </w:p>
    <w:p>
      <w:pPr>
        <w:rPr>
          <w:rFonts w:hint="eastAsia" w:ascii="黑体" w:hAnsi="黑体" w:eastAsia="黑体" w:cs="黑体"/>
          <w:sz w:val="32"/>
          <w:szCs w:val="40"/>
          <w:lang w:eastAsia="zh-CN"/>
        </w:rPr>
      </w:pPr>
      <w:r>
        <w:rPr>
          <w:rFonts w:hint="eastAsia" w:ascii="黑体" w:hAnsi="黑体" w:eastAsia="黑体" w:cs="黑体"/>
          <w:sz w:val="32"/>
          <w:szCs w:val="40"/>
          <w:lang w:eastAsia="zh-CN"/>
        </w:rPr>
        <w:drawing>
          <wp:anchor distT="0" distB="0" distL="114300" distR="114300" simplePos="0" relativeHeight="251667456" behindDoc="0" locked="0" layoutInCell="1" allowOverlap="1">
            <wp:simplePos x="0" y="0"/>
            <wp:positionH relativeFrom="column">
              <wp:posOffset>0</wp:posOffset>
            </wp:positionH>
            <wp:positionV relativeFrom="page">
              <wp:posOffset>1421765</wp:posOffset>
            </wp:positionV>
            <wp:extent cx="5610860" cy="7792085"/>
            <wp:effectExtent l="0" t="0" r="8890" b="18415"/>
            <wp:wrapTopAndBottom/>
            <wp:docPr id="11" name="图片 11" descr="2_自然资源部国家林草局国家发展改革委财政部农业农村部关于进一步完善政策措施巩固退耕还林还草成果的通知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_自然资源部国家林草局国家发展改革委财政部农业农村部关于进一步完善政策措施巩固退耕还林还草成果的通知_02"/>
                    <pic:cNvPicPr>
                      <a:picLocks noChangeAspect="1"/>
                    </pic:cNvPicPr>
                  </pic:nvPicPr>
                  <pic:blipFill>
                    <a:blip r:embed="rId7"/>
                    <a:stretch>
                      <a:fillRect/>
                    </a:stretch>
                  </pic:blipFill>
                  <pic:spPr>
                    <a:xfrm>
                      <a:off x="0" y="0"/>
                      <a:ext cx="5610860" cy="7792085"/>
                    </a:xfrm>
                    <a:prstGeom prst="rect">
                      <a:avLst/>
                    </a:prstGeom>
                  </pic:spPr>
                </pic:pic>
              </a:graphicData>
            </a:graphic>
          </wp:anchor>
        </w:drawing>
      </w:r>
    </w:p>
    <w:p>
      <w:pPr>
        <w:rPr>
          <w:rFonts w:hint="eastAsia" w:ascii="黑体" w:hAnsi="黑体" w:eastAsia="黑体" w:cs="黑体"/>
          <w:sz w:val="32"/>
          <w:szCs w:val="40"/>
        </w:rPr>
      </w:pPr>
      <w:r>
        <w:rPr>
          <w:rFonts w:hint="eastAsia" w:ascii="黑体" w:hAnsi="黑体" w:eastAsia="黑体" w:cs="黑体"/>
          <w:sz w:val="32"/>
          <w:szCs w:val="40"/>
          <w:lang w:eastAsia="zh-CN"/>
        </w:rPr>
        <w:drawing>
          <wp:anchor distT="0" distB="0" distL="114300" distR="114300" simplePos="0" relativeHeight="251668480" behindDoc="0" locked="0" layoutInCell="1" allowOverlap="1">
            <wp:simplePos x="0" y="0"/>
            <wp:positionH relativeFrom="column">
              <wp:posOffset>24130</wp:posOffset>
            </wp:positionH>
            <wp:positionV relativeFrom="page">
              <wp:posOffset>1438275</wp:posOffset>
            </wp:positionV>
            <wp:extent cx="5610860" cy="7816215"/>
            <wp:effectExtent l="0" t="0" r="8890" b="13335"/>
            <wp:wrapTopAndBottom/>
            <wp:docPr id="12" name="图片 12" descr="2_自然资源部国家林草局国家发展改革委财政部农业农村部关于进一步完善政策措施巩固退耕还林还草成果的通知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_自然资源部国家林草局国家发展改革委财政部农业农村部关于进一步完善政策措施巩固退耕还林还草成果的通知_03"/>
                    <pic:cNvPicPr>
                      <a:picLocks noChangeAspect="1"/>
                    </pic:cNvPicPr>
                  </pic:nvPicPr>
                  <pic:blipFill>
                    <a:blip r:embed="rId8"/>
                    <a:stretch>
                      <a:fillRect/>
                    </a:stretch>
                  </pic:blipFill>
                  <pic:spPr>
                    <a:xfrm>
                      <a:off x="0" y="0"/>
                      <a:ext cx="5610860" cy="7816215"/>
                    </a:xfrm>
                    <a:prstGeom prst="rect">
                      <a:avLst/>
                    </a:prstGeom>
                  </pic:spPr>
                </pic:pic>
              </a:graphicData>
            </a:graphic>
          </wp:anchor>
        </w:drawing>
      </w:r>
    </w:p>
    <w:p>
      <w:pPr>
        <w:rPr>
          <w:rFonts w:hint="eastAsia" w:eastAsia="黑体"/>
          <w:lang w:val="en-US" w:eastAsia="zh-CN"/>
        </w:rPr>
        <w:sectPr>
          <w:pgSz w:w="11906" w:h="16838"/>
          <w:pgMar w:top="2098" w:right="1474" w:bottom="1984" w:left="1587" w:header="851" w:footer="992" w:gutter="0"/>
          <w:cols w:space="425" w:num="1"/>
          <w:docGrid w:type="lines" w:linePitch="312" w:charSpace="0"/>
        </w:sectPr>
      </w:pPr>
      <w:r>
        <w:rPr>
          <w:rFonts w:hint="eastAsia"/>
        </w:rPr>
        <w:drawing>
          <wp:anchor distT="0" distB="0" distL="114300" distR="114300" simplePos="0" relativeHeight="251659264" behindDoc="0" locked="0" layoutInCell="1" allowOverlap="1">
            <wp:simplePos x="0" y="0"/>
            <wp:positionH relativeFrom="column">
              <wp:posOffset>40640</wp:posOffset>
            </wp:positionH>
            <wp:positionV relativeFrom="paragraph">
              <wp:posOffset>470535</wp:posOffset>
            </wp:positionV>
            <wp:extent cx="5610860" cy="7585075"/>
            <wp:effectExtent l="0" t="0" r="8890" b="15875"/>
            <wp:wrapSquare wrapText="bothSides"/>
            <wp:docPr id="1" name="图片 1" descr="省自然资源厅 林草局 发展改革委 财政厅 农业农村厅关于贯彻落实《自然资源部等五部委（局）关于进一步完善政策措施 巩固退耕还林还草成果的通知》的意见（川自然资发〔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省自然资源厅 林草局 发展改革委 财政厅 农业农村厅关于贯彻落实《自然资源部等五部委（局）关于进一步完善政策措施 巩固退耕还林还草成果的通知》的意见（川自然资发〔_00"/>
                    <pic:cNvPicPr>
                      <a:picLocks noChangeAspect="1"/>
                    </pic:cNvPicPr>
                  </pic:nvPicPr>
                  <pic:blipFill>
                    <a:blip r:embed="rId9" cstate="print"/>
                    <a:stretch>
                      <a:fillRect/>
                    </a:stretch>
                  </pic:blipFill>
                  <pic:spPr>
                    <a:xfrm>
                      <a:off x="0" y="0"/>
                      <a:ext cx="5610860" cy="7585075"/>
                    </a:xfrm>
                    <a:prstGeom prst="rect">
                      <a:avLst/>
                    </a:prstGeom>
                  </pic:spPr>
                </pic:pic>
              </a:graphicData>
            </a:graphic>
          </wp:anchor>
        </w:drawing>
      </w:r>
      <w:r>
        <w:rPr>
          <w:rFonts w:hint="eastAsia" w:ascii="黑体" w:hAnsi="黑体" w:eastAsia="黑体" w:cs="黑体"/>
          <w:sz w:val="32"/>
          <w:szCs w:val="40"/>
        </w:rPr>
        <w:t>附件</w:t>
      </w:r>
      <w:r>
        <w:rPr>
          <w:rFonts w:hint="eastAsia" w:ascii="黑体" w:hAnsi="黑体" w:eastAsia="黑体" w:cs="黑体"/>
          <w:sz w:val="32"/>
          <w:szCs w:val="40"/>
          <w:lang w:val="en-US" w:eastAsia="zh-CN"/>
        </w:rPr>
        <w:t>3</w:t>
      </w:r>
    </w:p>
    <w:p>
      <w:pPr>
        <w:pStyle w:val="2"/>
        <w:sectPr>
          <w:pgSz w:w="11906" w:h="16838"/>
          <w:pgMar w:top="2098" w:right="1474" w:bottom="1984" w:left="1587" w:header="851" w:footer="992" w:gutter="0"/>
          <w:cols w:space="425" w:num="1"/>
          <w:docGrid w:type="lines" w:linePitch="312" w:charSpace="0"/>
        </w:sectPr>
      </w:pPr>
      <w:r>
        <w:rPr>
          <w:rFonts w:hint="eastAsia"/>
        </w:rPr>
        <w:drawing>
          <wp:anchor distT="0" distB="0" distL="114300" distR="114300" simplePos="0" relativeHeight="251660288" behindDoc="0" locked="0" layoutInCell="1" allowOverlap="1">
            <wp:simplePos x="0" y="0"/>
            <wp:positionH relativeFrom="column">
              <wp:posOffset>0</wp:posOffset>
            </wp:positionH>
            <wp:positionV relativeFrom="page">
              <wp:posOffset>1421765</wp:posOffset>
            </wp:positionV>
            <wp:extent cx="5610860" cy="7938135"/>
            <wp:effectExtent l="0" t="0" r="8890" b="5715"/>
            <wp:wrapSquare wrapText="bothSides"/>
            <wp:docPr id="2" name="图片 2" descr="省自然资源厅 林草局 发展改革委 财政厅 农业农村厅关于贯彻落实《自然资源部等五部委（局）关于进一步完善政策措施 巩固退耕还林还草成果的通知》的意见（川自然资发〔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省自然资源厅 林草局 发展改革委 财政厅 农业农村厅关于贯彻落实《自然资源部等五部委（局）关于进一步完善政策措施 巩固退耕还林还草成果的通知》的意见（川自然资发〔_01"/>
                    <pic:cNvPicPr>
                      <a:picLocks noChangeAspect="1"/>
                    </pic:cNvPicPr>
                  </pic:nvPicPr>
                  <pic:blipFill>
                    <a:blip r:embed="rId10" cstate="print"/>
                    <a:stretch>
                      <a:fillRect/>
                    </a:stretch>
                  </pic:blipFill>
                  <pic:spPr>
                    <a:xfrm>
                      <a:off x="0" y="0"/>
                      <a:ext cx="5610860" cy="7938135"/>
                    </a:xfrm>
                    <a:prstGeom prst="rect">
                      <a:avLst/>
                    </a:prstGeom>
                  </pic:spPr>
                </pic:pic>
              </a:graphicData>
            </a:graphic>
          </wp:anchor>
        </w:drawing>
      </w:r>
    </w:p>
    <w:p>
      <w:r>
        <w:rPr>
          <w:rFonts w:hint="eastAsia"/>
        </w:rPr>
        <w:drawing>
          <wp:anchor distT="0" distB="0" distL="114300" distR="114300" simplePos="0" relativeHeight="251661312" behindDoc="0" locked="0" layoutInCell="1" allowOverlap="1">
            <wp:simplePos x="0" y="0"/>
            <wp:positionH relativeFrom="column">
              <wp:posOffset>0</wp:posOffset>
            </wp:positionH>
            <wp:positionV relativeFrom="page">
              <wp:posOffset>1421765</wp:posOffset>
            </wp:positionV>
            <wp:extent cx="5610860" cy="7938135"/>
            <wp:effectExtent l="0" t="0" r="8890" b="5715"/>
            <wp:wrapSquare wrapText="bothSides"/>
            <wp:docPr id="4" name="图片 4" descr="省自然资源厅 林草局 发展改革委 财政厅 农业农村厅关于贯彻落实《自然资源部等五部委（局）关于进一步完善政策措施 巩固退耕还林还草成果的通知》的意见（川自然资发〔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省自然资源厅 林草局 发展改革委 财政厅 农业农村厅关于贯彻落实《自然资源部等五部委（局）关于进一步完善政策措施 巩固退耕还林还草成果的通知》的意见（川自然资发〔_02"/>
                    <pic:cNvPicPr>
                      <a:picLocks noChangeAspect="1"/>
                    </pic:cNvPicPr>
                  </pic:nvPicPr>
                  <pic:blipFill>
                    <a:blip r:embed="rId11" cstate="print"/>
                    <a:stretch>
                      <a:fillRect/>
                    </a:stretch>
                  </pic:blipFill>
                  <pic:spPr>
                    <a:xfrm>
                      <a:off x="0" y="0"/>
                      <a:ext cx="5610860" cy="7938135"/>
                    </a:xfrm>
                    <a:prstGeom prst="rect">
                      <a:avLst/>
                    </a:prstGeom>
                  </pic:spPr>
                </pic:pic>
              </a:graphicData>
            </a:graphic>
          </wp:anchor>
        </w:drawing>
      </w:r>
    </w:p>
    <w:p>
      <w:pPr>
        <w:pStyle w:val="2"/>
      </w:pPr>
      <w:r>
        <w:rPr>
          <w:rFonts w:hint="eastAsia"/>
        </w:rPr>
        <w:drawing>
          <wp:inline distT="0" distB="0" distL="114300" distR="114300">
            <wp:extent cx="5610860" cy="7938135"/>
            <wp:effectExtent l="0" t="0" r="8890" b="5715"/>
            <wp:docPr id="5" name="图片 5" descr="省自然资源厅 林草局 发展改革委 财政厅 农业农村厅关于贯彻落实《自然资源部等五部委（局）关于进一步完善政策措施 巩固退耕还林还草成果的通知》的意见（川自然资发〔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省自然资源厅 林草局 发展改革委 财政厅 农业农村厅关于贯彻落实《自然资源部等五部委（局）关于进一步完善政策措施 巩固退耕还林还草成果的通知》的意见（川自然资发〔_03"/>
                    <pic:cNvPicPr>
                      <a:picLocks noChangeAspect="1"/>
                    </pic:cNvPicPr>
                  </pic:nvPicPr>
                  <pic:blipFill>
                    <a:blip r:embed="rId12" cstate="print"/>
                    <a:stretch>
                      <a:fillRect/>
                    </a:stretch>
                  </pic:blipFill>
                  <pic:spPr>
                    <a:xfrm>
                      <a:off x="0" y="0"/>
                      <a:ext cx="5610860" cy="7938135"/>
                    </a:xfrm>
                    <a:prstGeom prst="rect">
                      <a:avLst/>
                    </a:prstGeom>
                  </pic:spPr>
                </pic:pic>
              </a:graphicData>
            </a:graphic>
          </wp:inline>
        </w:drawing>
      </w:r>
    </w:p>
    <w:p>
      <w:r>
        <w:rPr>
          <w:rFonts w:hint="eastAsia"/>
        </w:rPr>
        <w:drawing>
          <wp:anchor distT="0" distB="0" distL="114300" distR="114300" simplePos="0" relativeHeight="251662336" behindDoc="0" locked="0" layoutInCell="1" allowOverlap="1">
            <wp:simplePos x="0" y="0"/>
            <wp:positionH relativeFrom="column">
              <wp:posOffset>0</wp:posOffset>
            </wp:positionH>
            <wp:positionV relativeFrom="page">
              <wp:posOffset>1421765</wp:posOffset>
            </wp:positionV>
            <wp:extent cx="5610860" cy="7938135"/>
            <wp:effectExtent l="0" t="0" r="8890" b="5715"/>
            <wp:wrapSquare wrapText="bothSides"/>
            <wp:docPr id="6" name="图片 6" descr="省自然资源厅 林草局 发展改革委 财政厅 农业农村厅关于贯彻落实《自然资源部等五部委（局）关于进一步完善政策措施 巩固退耕还林还草成果的通知》的意见（川自然资发〔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省自然资源厅 林草局 发展改革委 财政厅 农业农村厅关于贯彻落实《自然资源部等五部委（局）关于进一步完善政策措施 巩固退耕还林还草成果的通知》的意见（川自然资发〔_04"/>
                    <pic:cNvPicPr>
                      <a:picLocks noChangeAspect="1"/>
                    </pic:cNvPicPr>
                  </pic:nvPicPr>
                  <pic:blipFill>
                    <a:blip r:embed="rId13" cstate="print"/>
                    <a:stretch>
                      <a:fillRect/>
                    </a:stretch>
                  </pic:blipFill>
                  <pic:spPr>
                    <a:xfrm>
                      <a:off x="0" y="0"/>
                      <a:ext cx="5610860" cy="7938135"/>
                    </a:xfrm>
                    <a:prstGeom prst="rect">
                      <a:avLst/>
                    </a:prstGeom>
                  </pic:spPr>
                </pic:pic>
              </a:graphicData>
            </a:graphic>
          </wp:anchor>
        </w:drawing>
      </w:r>
    </w:p>
    <w:p>
      <w:pPr>
        <w:pStyle w:val="2"/>
      </w:pPr>
      <w:r>
        <w:rPr>
          <w:rFonts w:hint="eastAsia"/>
        </w:rPr>
        <w:drawing>
          <wp:anchor distT="0" distB="0" distL="114300" distR="114300" simplePos="0" relativeHeight="251663360" behindDoc="0" locked="0" layoutInCell="1" allowOverlap="1">
            <wp:simplePos x="0" y="0"/>
            <wp:positionH relativeFrom="column">
              <wp:posOffset>0</wp:posOffset>
            </wp:positionH>
            <wp:positionV relativeFrom="page">
              <wp:posOffset>1421765</wp:posOffset>
            </wp:positionV>
            <wp:extent cx="5610860" cy="7938135"/>
            <wp:effectExtent l="0" t="0" r="8890" b="5715"/>
            <wp:wrapSquare wrapText="bothSides"/>
            <wp:docPr id="7" name="图片 7" descr="省自然资源厅 林草局 发展改革委 财政厅 农业农村厅关于贯彻落实《自然资源部等五部委（局）关于进一步完善政策措施 巩固退耕还林还草成果的通知》的意见（川自然资发〔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省自然资源厅 林草局 发展改革委 财政厅 农业农村厅关于贯彻落实《自然资源部等五部委（局）关于进一步完善政策措施 巩固退耕还林还草成果的通知》的意见（川自然资发〔_05"/>
                    <pic:cNvPicPr>
                      <a:picLocks noChangeAspect="1"/>
                    </pic:cNvPicPr>
                  </pic:nvPicPr>
                  <pic:blipFill>
                    <a:blip r:embed="rId14" cstate="print"/>
                    <a:stretch>
                      <a:fillRect/>
                    </a:stretch>
                  </pic:blipFill>
                  <pic:spPr>
                    <a:xfrm>
                      <a:off x="0" y="0"/>
                      <a:ext cx="5610860" cy="7938135"/>
                    </a:xfrm>
                    <a:prstGeom prst="rect">
                      <a:avLst/>
                    </a:prstGeom>
                  </pic:spPr>
                </pic:pic>
              </a:graphicData>
            </a:graphic>
          </wp:anchor>
        </w:drawing>
      </w:r>
    </w:p>
    <w:p>
      <w:pPr>
        <w:spacing w:line="500" w:lineRule="exact"/>
        <w:rPr>
          <w:rFonts w:hint="eastAsia" w:ascii="黑体" w:hAnsi="黑体" w:eastAsia="黑体" w:cs="黑体"/>
          <w:kern w:val="0"/>
          <w:sz w:val="32"/>
          <w:szCs w:val="32"/>
        </w:rPr>
      </w:pPr>
      <w:r>
        <w:rPr>
          <w:rFonts w:hint="eastAsia"/>
        </w:rPr>
        <w:drawing>
          <wp:anchor distT="0" distB="0" distL="114300" distR="114300" simplePos="0" relativeHeight="251664384" behindDoc="0" locked="0" layoutInCell="1" allowOverlap="1">
            <wp:simplePos x="0" y="0"/>
            <wp:positionH relativeFrom="column">
              <wp:posOffset>111125</wp:posOffset>
            </wp:positionH>
            <wp:positionV relativeFrom="page">
              <wp:posOffset>1514475</wp:posOffset>
            </wp:positionV>
            <wp:extent cx="5610860" cy="7202805"/>
            <wp:effectExtent l="0" t="0" r="8890" b="17145"/>
            <wp:wrapTopAndBottom/>
            <wp:docPr id="8" name="图片 8" descr="省自然资源厅 林草局 发展改革委 财政厅 农业农村厅关于贯彻落实《自然资源部等五部委（局）关于进一步完善政策措施 巩固退耕还林还草成果的通知》的意见（川自然资发〔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省自然资源厅 林草局 发展改革委 财政厅 农业农村厅关于贯彻落实《自然资源部等五部委（局）关于进一步完善政策措施 巩固退耕还林还草成果的通知》的意见（川自然资发〔_06"/>
                    <pic:cNvPicPr>
                      <a:picLocks noChangeAspect="1"/>
                    </pic:cNvPicPr>
                  </pic:nvPicPr>
                  <pic:blipFill>
                    <a:blip r:embed="rId15" cstate="print"/>
                    <a:stretch>
                      <a:fillRect/>
                    </a:stretch>
                  </pic:blipFill>
                  <pic:spPr>
                    <a:xfrm>
                      <a:off x="0" y="0"/>
                      <a:ext cx="5610860" cy="7202805"/>
                    </a:xfrm>
                    <a:prstGeom prst="rect">
                      <a:avLst/>
                    </a:prstGeom>
                  </pic:spPr>
                </pic:pic>
              </a:graphicData>
            </a:graphic>
          </wp:anchor>
        </w:drawing>
      </w:r>
    </w:p>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BA"/>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0.5pt"/>
          <v:imagedata o:title=""/>
          <o:lock v:ext="edit" aspectratio="f"/>
          <v:textbox inset="0mm,0mm,0mm,0mm" style="mso-fit-shape-to-text:t;">
            <w:txbxContent>
              <w:p>
                <w:pPr>
                  <w:pStyle w:val="6"/>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kzNGVjNGI3MzhjZDkxMDc4ZjEzOTc2ZDNhZDQyYmEifQ=="/>
  </w:docVars>
  <w:rsids>
    <w:rsidRoot w:val="00FE77F9"/>
    <w:rsid w:val="00187243"/>
    <w:rsid w:val="00297EBB"/>
    <w:rsid w:val="00302C56"/>
    <w:rsid w:val="004747C0"/>
    <w:rsid w:val="00480D46"/>
    <w:rsid w:val="006F1C92"/>
    <w:rsid w:val="00BC54AA"/>
    <w:rsid w:val="00CD5659"/>
    <w:rsid w:val="00F036C9"/>
    <w:rsid w:val="00FD0F5D"/>
    <w:rsid w:val="00FE77F9"/>
    <w:rsid w:val="01493BE2"/>
    <w:rsid w:val="01633ADA"/>
    <w:rsid w:val="0167398B"/>
    <w:rsid w:val="018502B5"/>
    <w:rsid w:val="019B1886"/>
    <w:rsid w:val="01F12967"/>
    <w:rsid w:val="02567F10"/>
    <w:rsid w:val="037D56E7"/>
    <w:rsid w:val="03DE5A5A"/>
    <w:rsid w:val="04B14F1D"/>
    <w:rsid w:val="05445D91"/>
    <w:rsid w:val="05852631"/>
    <w:rsid w:val="05CB7E52"/>
    <w:rsid w:val="06581AF4"/>
    <w:rsid w:val="068428E9"/>
    <w:rsid w:val="0858402D"/>
    <w:rsid w:val="08E12275"/>
    <w:rsid w:val="096F5AD2"/>
    <w:rsid w:val="0B7F2650"/>
    <w:rsid w:val="0C651D55"/>
    <w:rsid w:val="0D6C40D7"/>
    <w:rsid w:val="0E157188"/>
    <w:rsid w:val="0EE57475"/>
    <w:rsid w:val="0F44355D"/>
    <w:rsid w:val="0F8C6CB2"/>
    <w:rsid w:val="10291B58"/>
    <w:rsid w:val="10E87F18"/>
    <w:rsid w:val="10FF1EB7"/>
    <w:rsid w:val="12395554"/>
    <w:rsid w:val="13767449"/>
    <w:rsid w:val="150D43F1"/>
    <w:rsid w:val="172F064F"/>
    <w:rsid w:val="198D78AF"/>
    <w:rsid w:val="1A9609A7"/>
    <w:rsid w:val="1A974E89"/>
    <w:rsid w:val="1B724A8D"/>
    <w:rsid w:val="1BE10EA6"/>
    <w:rsid w:val="1C996314"/>
    <w:rsid w:val="1F4377A5"/>
    <w:rsid w:val="1F6C076A"/>
    <w:rsid w:val="1F707A57"/>
    <w:rsid w:val="1FF00B97"/>
    <w:rsid w:val="21CD554D"/>
    <w:rsid w:val="250F273F"/>
    <w:rsid w:val="264B6B28"/>
    <w:rsid w:val="2664231C"/>
    <w:rsid w:val="26DE174A"/>
    <w:rsid w:val="26EF3957"/>
    <w:rsid w:val="27365354"/>
    <w:rsid w:val="274A6239"/>
    <w:rsid w:val="278C4F9F"/>
    <w:rsid w:val="2B457FE9"/>
    <w:rsid w:val="2C1339D0"/>
    <w:rsid w:val="2C97274A"/>
    <w:rsid w:val="30554BB5"/>
    <w:rsid w:val="32DE2D20"/>
    <w:rsid w:val="331A61FF"/>
    <w:rsid w:val="37B06CB9"/>
    <w:rsid w:val="37B44C11"/>
    <w:rsid w:val="40B50CF4"/>
    <w:rsid w:val="41153E28"/>
    <w:rsid w:val="42C13927"/>
    <w:rsid w:val="42E24939"/>
    <w:rsid w:val="45B3171E"/>
    <w:rsid w:val="4B995A1B"/>
    <w:rsid w:val="4BCF3BD3"/>
    <w:rsid w:val="4C520360"/>
    <w:rsid w:val="4CC839C3"/>
    <w:rsid w:val="4CE51C59"/>
    <w:rsid w:val="4D5679DC"/>
    <w:rsid w:val="4D680F31"/>
    <w:rsid w:val="4D8B55C5"/>
    <w:rsid w:val="4E1965F4"/>
    <w:rsid w:val="4ED65279"/>
    <w:rsid w:val="4FC41575"/>
    <w:rsid w:val="4FE6773D"/>
    <w:rsid w:val="51851EB1"/>
    <w:rsid w:val="51BF7ECE"/>
    <w:rsid w:val="52344790"/>
    <w:rsid w:val="52F91162"/>
    <w:rsid w:val="53EB4D46"/>
    <w:rsid w:val="541C372E"/>
    <w:rsid w:val="54907C78"/>
    <w:rsid w:val="56663B7F"/>
    <w:rsid w:val="573E4215"/>
    <w:rsid w:val="5A272E2C"/>
    <w:rsid w:val="5A8E4C59"/>
    <w:rsid w:val="5C761E49"/>
    <w:rsid w:val="5D2418A5"/>
    <w:rsid w:val="5E2E5C2A"/>
    <w:rsid w:val="5E996241"/>
    <w:rsid w:val="5FFB4B3F"/>
    <w:rsid w:val="60021518"/>
    <w:rsid w:val="60430294"/>
    <w:rsid w:val="606F1089"/>
    <w:rsid w:val="64CC2606"/>
    <w:rsid w:val="671365DD"/>
    <w:rsid w:val="67EB30ED"/>
    <w:rsid w:val="6B73185A"/>
    <w:rsid w:val="702A7BED"/>
    <w:rsid w:val="718814E9"/>
    <w:rsid w:val="72C81FD6"/>
    <w:rsid w:val="747D391D"/>
    <w:rsid w:val="74E0368E"/>
    <w:rsid w:val="757F1917"/>
    <w:rsid w:val="75F145C2"/>
    <w:rsid w:val="76342701"/>
    <w:rsid w:val="7734794E"/>
    <w:rsid w:val="7AC2652D"/>
    <w:rsid w:val="7D0F0BF8"/>
    <w:rsid w:val="7D8950E1"/>
    <w:rsid w:val="7FBA5A25"/>
    <w:rsid w:val="FF9A5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widowControl/>
      <w:spacing w:before="100" w:beforeAutospacing="1" w:after="100" w:afterAutospacing="1"/>
      <w:jc w:val="left"/>
    </w:pPr>
    <w:rPr>
      <w:rFonts w:ascii="宋体" w:hAnsi="宋体" w:cs="宋体"/>
      <w:kern w:val="0"/>
      <w:sz w:val="24"/>
    </w:rPr>
  </w:style>
  <w:style w:type="paragraph" w:styleId="3">
    <w:name w:val="Body Text"/>
    <w:basedOn w:val="1"/>
    <w:qFormat/>
    <w:uiPriority w:val="0"/>
    <w:rPr>
      <w:rFonts w:ascii="Times New Roman" w:hAnsi="Times New Roman"/>
      <w:sz w:val="32"/>
    </w:rPr>
  </w:style>
  <w:style w:type="paragraph" w:styleId="4">
    <w:name w:val="Body Text Indent"/>
    <w:basedOn w:val="1"/>
    <w:next w:val="5"/>
    <w:qFormat/>
    <w:uiPriority w:val="0"/>
    <w:pPr>
      <w:spacing w:line="400" w:lineRule="exact"/>
      <w:ind w:firstLine="630"/>
    </w:pPr>
    <w:rPr>
      <w:rFonts w:ascii="仿宋_GB2312" w:eastAsia="仿宋_GB2312"/>
      <w:color w:val="0000FF"/>
      <w:sz w:val="32"/>
    </w:rPr>
  </w:style>
  <w:style w:type="paragraph" w:styleId="5">
    <w:name w:val="Body Text First Indent 2"/>
    <w:basedOn w:val="4"/>
    <w:next w:val="1"/>
    <w:qFormat/>
    <w:uiPriority w:val="99"/>
    <w:pPr>
      <w:ind w:firstLine="420" w:firstLine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First Indent"/>
    <w:basedOn w:val="3"/>
    <w:qFormat/>
    <w:uiPriority w:val="0"/>
    <w:pPr>
      <w:ind w:firstLine="420" w:firstLineChars="100"/>
    </w:pPr>
  </w:style>
  <w:style w:type="character" w:styleId="11">
    <w:name w:val="Hyperlink"/>
    <w:basedOn w:val="10"/>
    <w:qFormat/>
    <w:uiPriority w:val="0"/>
    <w:rPr>
      <w:color w:val="0000FF"/>
      <w:u w:val="single"/>
    </w:rPr>
  </w:style>
  <w:style w:type="paragraph" w:customStyle="1" w:styleId="12">
    <w:name w:val="文档正文"/>
    <w:basedOn w:val="1"/>
    <w:qFormat/>
    <w:uiPriority w:val="0"/>
    <w:pPr>
      <w:adjustRightInd w:val="0"/>
      <w:spacing w:line="480" w:lineRule="atLeast"/>
      <w:textAlignment w:val="baseline"/>
    </w:pPr>
    <w:rPr>
      <w:rFonts w:ascii="Arial" w:hAnsi="Arial"/>
      <w:kern w:val="0"/>
    </w:rPr>
  </w:style>
  <w:style w:type="paragraph" w:customStyle="1" w:styleId="13">
    <w:name w:val="UserStyle_0"/>
    <w:basedOn w:val="1"/>
    <w:qFormat/>
    <w:uiPriority w:val="0"/>
    <w:pPr>
      <w:tabs>
        <w:tab w:val="right" w:leader="dot" w:pos="8949"/>
      </w:tabs>
      <w:spacing w:line="360" w:lineRule="auto"/>
      <w:jc w:val="left"/>
    </w:pPr>
    <w:rPr>
      <w:rFonts w:ascii="Times New Roman" w:hAnsi="Times New Roman" w:eastAsia="宋体" w:cs="Times New Roman"/>
      <w:sz w:val="3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微软用户</Company>
  <Pages>17</Pages>
  <Words>694</Words>
  <Characters>3961</Characters>
  <Lines>33</Lines>
  <Paragraphs>9</Paragraphs>
  <TotalTime>9</TotalTime>
  <ScaleCrop>false</ScaleCrop>
  <LinksUpToDate>false</LinksUpToDate>
  <CharactersWithSpaces>4646</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2023-08-15T09:38:00Z</dcterms:created>
  <dc:creator>Administrator</dc:creator>
  <cp:lastModifiedBy>user</cp:lastModifiedBy>
  <cp:lastPrinted>2023-09-14T16:31:00Z</cp:lastPrinted>
  <dcterms:modified xsi:type="dcterms:W3CDTF">2023-09-14T17:51:37Z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4F4051E8FDE6448CAB2543D2B247EFC3_13</vt:lpwstr>
  </property>
</Properties>
</file>