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heme="minorEastAsia"/>
          <w:color w:val="000000" w:themeColor="text1"/>
          <w:sz w:val="36"/>
          <w:szCs w:val="36"/>
          <w14:textFill>
            <w14:solidFill>
              <w14:schemeClr w14:val="tx1"/>
            </w14:solidFill>
          </w14:textFill>
        </w:rPr>
      </w:pPr>
      <w:bookmarkStart w:id="0" w:name="_Hlk57883707"/>
      <w:r>
        <w:rPr>
          <w:rFonts w:eastAsiaTheme="minorEastAsia"/>
          <w:color w:val="000000" w:themeColor="text1"/>
          <w:sz w:val="36"/>
          <w:szCs w:val="36"/>
          <w14:textFill>
            <w14:solidFill>
              <w14:schemeClr w14:val="tx1"/>
            </w14:solidFill>
          </w14:textFill>
        </w:rPr>
        <w:t xml:space="preserve"> </w:t>
      </w:r>
    </w:p>
    <w:bookmarkEnd w:id="0"/>
    <w:p>
      <w:pPr>
        <w:adjustRightInd w:val="0"/>
        <w:snapToGrid w:val="0"/>
        <w:ind w:firstLine="0" w:firstLineChars="0"/>
        <w:jc w:val="center"/>
        <w:outlineLvl w:val="0"/>
        <w:rPr>
          <w:rFonts w:eastAsiaTheme="minorEastAsia"/>
          <w:b/>
          <w:bCs/>
          <w:color w:val="000000" w:themeColor="text1"/>
          <w:sz w:val="52"/>
          <w:szCs w:val="52"/>
          <w14:textFill>
            <w14:solidFill>
              <w14:schemeClr w14:val="tx1"/>
            </w14:solidFill>
          </w14:textFill>
        </w:rPr>
      </w:pPr>
      <w:bookmarkStart w:id="1" w:name="_Toc151978988"/>
      <w:bookmarkStart w:id="2" w:name="_Toc152687679"/>
      <w:bookmarkStart w:id="3" w:name="_Toc155338876"/>
      <w:bookmarkStart w:id="4" w:name="_Toc151047317"/>
      <w:r>
        <w:rPr>
          <w:rFonts w:eastAsiaTheme="minorEastAsia"/>
          <w:b/>
          <w:bCs/>
          <w:color w:val="000000" w:themeColor="text1"/>
          <w:sz w:val="52"/>
          <w:szCs w:val="52"/>
          <w14:textFill>
            <w14:solidFill>
              <w14:schemeClr w14:val="tx1"/>
            </w14:solidFill>
          </w14:textFill>
        </w:rPr>
        <w:t>建设项目生态环境影响报告表</w:t>
      </w:r>
      <w:bookmarkEnd w:id="1"/>
      <w:bookmarkEnd w:id="2"/>
      <w:bookmarkEnd w:id="3"/>
      <w:bookmarkEnd w:id="4"/>
    </w:p>
    <w:p>
      <w:pPr>
        <w:adjustRightInd w:val="0"/>
        <w:snapToGrid w:val="0"/>
        <w:spacing w:before="192" w:beforeLines="80"/>
        <w:ind w:firstLine="0" w:firstLineChars="0"/>
        <w:jc w:val="center"/>
        <w:rPr>
          <w:rFonts w:eastAsiaTheme="minorEastAsia"/>
          <w:b/>
          <w:bCs/>
          <w:color w:val="000000" w:themeColor="text1"/>
          <w:sz w:val="44"/>
          <w:szCs w:val="44"/>
          <w14:textFill>
            <w14:solidFill>
              <w14:schemeClr w14:val="tx1"/>
            </w14:solidFill>
          </w14:textFill>
        </w:rPr>
      </w:pPr>
      <w:r>
        <w:rPr>
          <w:rFonts w:eastAsiaTheme="minorEastAsia"/>
          <w:b/>
          <w:bCs/>
          <w:color w:val="000000" w:themeColor="text1"/>
          <w:sz w:val="44"/>
          <w:szCs w:val="44"/>
          <w14:textFill>
            <w14:solidFill>
              <w14:schemeClr w14:val="tx1"/>
            </w14:solidFill>
          </w14:textFill>
        </w:rPr>
        <w:t>（生态影响类）</w:t>
      </w:r>
    </w:p>
    <w:p>
      <w:pPr>
        <w:pStyle w:val="98"/>
        <w:spacing w:before="120"/>
        <w:rPr>
          <w:color w:val="000000" w:themeColor="text1"/>
          <w:sz w:val="44"/>
          <w:szCs w:val="44"/>
          <w14:textFill>
            <w14:solidFill>
              <w14:schemeClr w14:val="tx1"/>
            </w14:solidFill>
          </w14:textFill>
        </w:rPr>
      </w:pPr>
      <w:bookmarkStart w:id="5" w:name="_Hlk57883728"/>
      <w:r>
        <w:rPr>
          <w:color w:val="000000" w:themeColor="text1"/>
          <w:sz w:val="44"/>
          <w:szCs w:val="44"/>
          <w14:textFill>
            <w14:solidFill>
              <w14:schemeClr w14:val="tx1"/>
            </w14:solidFill>
          </w14:textFill>
        </w:rPr>
        <w:t>（送审本）</w:t>
      </w:r>
    </w:p>
    <w:p>
      <w:pPr>
        <w:ind w:firstLine="0" w:firstLineChars="0"/>
        <w:jc w:val="center"/>
        <w:rPr>
          <w:rFonts w:eastAsiaTheme="minorEastAsia"/>
          <w:color w:val="000000" w:themeColor="text1"/>
          <w:sz w:val="44"/>
          <w:szCs w:val="44"/>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ind w:firstLine="0" w:firstLineChars="0"/>
        <w:rPr>
          <w:rFonts w:eastAsiaTheme="minorEastAsia"/>
          <w:color w:val="000000" w:themeColor="text1"/>
          <w:sz w:val="32"/>
          <w:szCs w:val="32"/>
          <w14:textFill>
            <w14:solidFill>
              <w14:schemeClr w14:val="tx1"/>
            </w14:solidFill>
          </w14:textFill>
        </w:rPr>
      </w:pPr>
    </w:p>
    <w:bookmarkEnd w:id="5"/>
    <w:p>
      <w:pPr>
        <w:adjustRightInd w:val="0"/>
        <w:snapToGrid w:val="0"/>
        <w:spacing w:line="288" w:lineRule="auto"/>
        <w:ind w:firstLine="0" w:firstLineChars="0"/>
        <w:rPr>
          <w:rFonts w:eastAsiaTheme="minorEastAsia"/>
          <w:color w:val="000000" w:themeColor="text1"/>
          <w:kern w:val="0"/>
          <w:sz w:val="32"/>
          <w:szCs w:val="32"/>
          <w:u w:val="single"/>
          <w14:textFill>
            <w14:solidFill>
              <w14:schemeClr w14:val="tx1"/>
            </w14:solidFill>
          </w14:textFill>
        </w:rPr>
      </w:pPr>
      <w:r>
        <w:rPr>
          <w:rFonts w:eastAsiaTheme="minorEastAsia"/>
          <w:color w:val="000000" w:themeColor="text1"/>
          <w:sz w:val="32"/>
          <w:szCs w:val="32"/>
          <w14:textFill>
            <w14:solidFill>
              <w14:schemeClr w14:val="tx1"/>
            </w14:solidFill>
          </w14:textFill>
        </w:rPr>
        <w:t>项目名称：</w:t>
      </w:r>
      <w:r>
        <w:rPr>
          <w:rFonts w:eastAsiaTheme="minorEastAsia"/>
          <w:color w:val="000000" w:themeColor="text1"/>
          <w:sz w:val="32"/>
          <w:szCs w:val="32"/>
          <w:u w:val="single"/>
          <w14:textFill>
            <w14:solidFill>
              <w14:schemeClr w14:val="tx1"/>
            </w14:solidFill>
          </w14:textFill>
        </w:rPr>
        <w:t xml:space="preserve">  黑水县卡龙镇才盖村基础设施提升建设项目  </w:t>
      </w:r>
    </w:p>
    <w:p>
      <w:pPr>
        <w:adjustRightInd w:val="0"/>
        <w:snapToGrid w:val="0"/>
        <w:spacing w:line="288" w:lineRule="auto"/>
        <w:ind w:firstLine="0" w:firstLineChars="0"/>
        <w:rPr>
          <w:rFonts w:eastAsiaTheme="minorEastAsia"/>
          <w:color w:val="000000" w:themeColor="text1"/>
          <w:sz w:val="32"/>
          <w:szCs w:val="32"/>
          <w:highlight w:val="yellow"/>
          <w:u w:val="single"/>
          <w14:textFill>
            <w14:solidFill>
              <w14:schemeClr w14:val="tx1"/>
            </w14:solidFill>
          </w14:textFill>
        </w:rPr>
      </w:pPr>
      <w:r>
        <w:rPr>
          <w:rFonts w:eastAsiaTheme="minorEastAsia"/>
          <w:color w:val="000000" w:themeColor="text1"/>
          <w:sz w:val="32"/>
          <w:szCs w:val="32"/>
          <w14:textFill>
            <w14:solidFill>
              <w14:schemeClr w14:val="tx1"/>
            </w14:solidFill>
          </w14:textFill>
        </w:rPr>
        <w:t>建设单位（盖章）：</w:t>
      </w:r>
      <w:r>
        <w:rPr>
          <w:rFonts w:eastAsiaTheme="minorEastAsia"/>
          <w:color w:val="000000" w:themeColor="text1"/>
          <w:sz w:val="32"/>
          <w:szCs w:val="32"/>
          <w:u w:val="single"/>
          <w14:textFill>
            <w14:solidFill>
              <w14:schemeClr w14:val="tx1"/>
            </w14:solidFill>
          </w14:textFill>
        </w:rPr>
        <w:t xml:space="preserve"> </w:t>
      </w:r>
      <w:bookmarkStart w:id="6" w:name="OLE_LINK7"/>
      <w:bookmarkStart w:id="7" w:name="OLE_LINK9"/>
      <w:r>
        <w:rPr>
          <w:rFonts w:eastAsiaTheme="minorEastAsia"/>
          <w:color w:val="000000" w:themeColor="text1"/>
          <w:sz w:val="32"/>
          <w:szCs w:val="32"/>
          <w:u w:val="single"/>
          <w14:textFill>
            <w14:solidFill>
              <w14:schemeClr w14:val="tx1"/>
            </w14:solidFill>
          </w14:textFill>
        </w:rPr>
        <w:t xml:space="preserve"> </w:t>
      </w:r>
      <w:bookmarkEnd w:id="6"/>
      <w:bookmarkEnd w:id="7"/>
      <w:r>
        <w:rPr>
          <w:rFonts w:eastAsiaTheme="minorEastAsia"/>
          <w:color w:val="000000" w:themeColor="text1"/>
          <w:sz w:val="32"/>
          <w:szCs w:val="32"/>
          <w:u w:val="single"/>
          <w14:textFill>
            <w14:solidFill>
              <w14:schemeClr w14:val="tx1"/>
            </w14:solidFill>
          </w14:textFill>
        </w:rPr>
        <w:t xml:space="preserve">黑水县住房和城乡建设局       </w:t>
      </w:r>
    </w:p>
    <w:p>
      <w:pPr>
        <w:adjustRightInd w:val="0"/>
        <w:snapToGrid w:val="0"/>
        <w:spacing w:line="288" w:lineRule="auto"/>
        <w:ind w:firstLine="0" w:firstLineChars="0"/>
        <w:rPr>
          <w:rFonts w:eastAsiaTheme="minorEastAsia"/>
          <w:color w:val="000000" w:themeColor="text1"/>
          <w:sz w:val="32"/>
          <w:szCs w:val="32"/>
          <w:u w:val="single"/>
          <w14:textFill>
            <w14:solidFill>
              <w14:schemeClr w14:val="tx1"/>
            </w14:solidFill>
          </w14:textFill>
        </w:rPr>
      </w:pPr>
      <w:r>
        <w:rPr>
          <w:rFonts w:eastAsiaTheme="minorEastAsia"/>
          <w:color w:val="000000" w:themeColor="text1"/>
          <w:sz w:val="32"/>
          <w:szCs w:val="32"/>
          <w14:textFill>
            <w14:solidFill>
              <w14:schemeClr w14:val="tx1"/>
            </w14:solidFill>
          </w14:textFill>
        </w:rPr>
        <w:t>编制日期：</w:t>
      </w:r>
      <w:r>
        <w:rPr>
          <w:rFonts w:eastAsiaTheme="minorEastAsia"/>
          <w:color w:val="000000" w:themeColor="text1"/>
          <w:sz w:val="32"/>
          <w:szCs w:val="32"/>
          <w:u w:val="single"/>
          <w14:textFill>
            <w14:solidFill>
              <w14:schemeClr w14:val="tx1"/>
            </w14:solidFill>
          </w14:textFill>
        </w:rPr>
        <w:t xml:space="preserve">            2026年9月                 </w:t>
      </w:r>
    </w:p>
    <w:p>
      <w:pPr>
        <w:adjustRightInd w:val="0"/>
        <w:snapToGrid w:val="0"/>
        <w:spacing w:line="288" w:lineRule="auto"/>
        <w:ind w:firstLine="640"/>
        <w:jc w:val="center"/>
        <w:rPr>
          <w:rFonts w:eastAsiaTheme="minorEastAsia"/>
          <w:color w:val="000000" w:themeColor="text1"/>
          <w:sz w:val="32"/>
          <w:szCs w:val="32"/>
          <w14:textFill>
            <w14:solidFill>
              <w14:schemeClr w14:val="tx1"/>
            </w14:solidFill>
          </w14:textFill>
        </w:rPr>
      </w:pPr>
    </w:p>
    <w:p>
      <w:pPr>
        <w:adjustRightInd w:val="0"/>
        <w:snapToGrid w:val="0"/>
        <w:spacing w:line="288" w:lineRule="auto"/>
        <w:ind w:firstLine="0" w:firstLineChars="0"/>
        <w:jc w:val="center"/>
        <w:rPr>
          <w:rFonts w:eastAsiaTheme="minorEastAsia"/>
          <w:color w:val="000000" w:themeColor="text1"/>
          <w:sz w:val="32"/>
          <w:szCs w:val="32"/>
          <w14:textFill>
            <w14:solidFill>
              <w14:schemeClr w14:val="tx1"/>
            </w14:solidFill>
          </w14:textFill>
        </w:rPr>
      </w:pPr>
      <w:r>
        <w:rPr>
          <w:rFonts w:eastAsiaTheme="minorEastAsia"/>
          <w:color w:val="000000" w:themeColor="text1"/>
          <w:sz w:val="32"/>
          <w:szCs w:val="32"/>
          <w14:textFill>
            <w14:solidFill>
              <w14:schemeClr w14:val="tx1"/>
            </w14:solidFill>
          </w14:textFill>
        </w:rPr>
        <w:t>中华人民共和国生态环境部制</w:t>
      </w:r>
    </w:p>
    <w:p>
      <w:pPr>
        <w:pStyle w:val="14"/>
        <w:numPr>
          <w:ilvl w:val="0"/>
          <w:numId w:val="0"/>
        </w:numPr>
        <w:ind w:left="2040" w:hanging="360"/>
        <w:rPr>
          <w:rFonts w:eastAsiaTheme="minorEastAsia"/>
          <w:color w:val="000000" w:themeColor="text1"/>
          <w:sz w:val="32"/>
          <w:szCs w:val="32"/>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701" w:left="1531" w:header="851" w:footer="1077" w:gutter="0"/>
          <w:pgNumType w:start="21"/>
          <w:cols w:space="720" w:num="1"/>
          <w:docGrid w:linePitch="312" w:charSpace="0"/>
        </w:sect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br w:type="page"/>
      </w:r>
    </w:p>
    <w:p>
      <w:pPr>
        <w:pStyle w:val="78"/>
        <w:ind w:firstLine="560"/>
        <w:jc w:val="center"/>
        <w:rPr>
          <w:rFonts w:hAnsi="Times New Roman" w:eastAsiaTheme="minorEastAsia"/>
          <w:color w:val="000000" w:themeColor="text1"/>
          <w:sz w:val="28"/>
          <w:szCs w:val="28"/>
          <w14:textFill>
            <w14:solidFill>
              <w14:schemeClr w14:val="tx1"/>
            </w14:solidFill>
          </w14:textFill>
        </w:rPr>
      </w:pPr>
    </w:p>
    <w:p>
      <w:pPr>
        <w:pStyle w:val="78"/>
        <w:ind w:firstLine="562"/>
        <w:jc w:val="center"/>
        <w:rPr>
          <w:rFonts w:hAnsi="Times New Roman" w:eastAsiaTheme="minorEastAsia"/>
          <w:b/>
          <w:color w:val="000000" w:themeColor="text1"/>
          <w:sz w:val="28"/>
          <w:szCs w:val="28"/>
          <w14:textFill>
            <w14:solidFill>
              <w14:schemeClr w14:val="tx1"/>
            </w14:solidFill>
          </w14:textFill>
        </w:rPr>
      </w:pPr>
      <w:r>
        <w:rPr>
          <w:rFonts w:hAnsi="Times New Roman" w:eastAsiaTheme="minorEastAsia"/>
          <w:b/>
          <w:color w:val="000000" w:themeColor="text1"/>
          <w:sz w:val="28"/>
          <w:szCs w:val="28"/>
          <w14:textFill>
            <w14:solidFill>
              <w14:schemeClr w14:val="tx1"/>
            </w14:solidFill>
          </w14:textFill>
        </w:rPr>
        <w:t>目录</w:t>
      </w:r>
    </w:p>
    <w:p>
      <w:pPr>
        <w:pStyle w:val="24"/>
        <w:tabs>
          <w:tab w:val="right" w:leader="dot" w:pos="8834"/>
        </w:tabs>
        <w:ind w:firstLine="480"/>
        <w:rPr>
          <w:rFonts w:eastAsiaTheme="minorEastAsia"/>
          <w:color w:val="000000" w:themeColor="text1"/>
          <w:sz w:val="21"/>
          <w:szCs w:val="22"/>
          <w14:textFill>
            <w14:solidFill>
              <w14:schemeClr w14:val="tx1"/>
            </w14:solidFill>
          </w14:textFill>
        </w:rPr>
      </w:pPr>
      <w:r>
        <w:rPr>
          <w:rFonts w:eastAsiaTheme="minorEastAsia"/>
          <w:color w:val="000000" w:themeColor="text1"/>
          <w14:textFill>
            <w14:solidFill>
              <w14:schemeClr w14:val="tx1"/>
            </w14:solidFill>
          </w14:textFill>
        </w:rPr>
        <w:fldChar w:fldCharType="begin"/>
      </w:r>
      <w:r>
        <w:rPr>
          <w:rFonts w:eastAsiaTheme="minorEastAsia"/>
          <w:color w:val="000000" w:themeColor="text1"/>
          <w14:textFill>
            <w14:solidFill>
              <w14:schemeClr w14:val="tx1"/>
            </w14:solidFill>
          </w14:textFill>
        </w:rPr>
        <w:instrText xml:space="preserve"> TOC \o "1-1" \h \z \u </w:instrText>
      </w:r>
      <w:r>
        <w:rPr>
          <w:rFonts w:eastAsiaTheme="minorEastAsia"/>
          <w:color w:val="000000" w:themeColor="text1"/>
          <w14:textFill>
            <w14:solidFill>
              <w14:schemeClr w14:val="tx1"/>
            </w14:solidFill>
          </w14:textFill>
        </w:rPr>
        <w:fldChar w:fldCharType="separate"/>
      </w:r>
      <w:r>
        <w:fldChar w:fldCharType="begin"/>
      </w:r>
      <w:r>
        <w:instrText xml:space="preserve"> HYPERLINK \l "_Toc155338877" </w:instrText>
      </w:r>
      <w:r>
        <w:fldChar w:fldCharType="separate"/>
      </w:r>
      <w:r>
        <w:rPr>
          <w:rStyle w:val="35"/>
          <w:rFonts w:eastAsiaTheme="minorEastAsia"/>
          <w:b/>
          <w:snapToGrid w:val="0"/>
          <w:color w:val="000000" w:themeColor="text1"/>
          <w14:textFill>
            <w14:solidFill>
              <w14:schemeClr w14:val="tx1"/>
            </w14:solidFill>
          </w14:textFill>
        </w:rPr>
        <w:t>一、建设项目基本情况</w:t>
      </w:r>
      <w:r>
        <w:rPr>
          <w:rFonts w:eastAsiaTheme="minorEastAsia"/>
          <w:color w:val="000000" w:themeColor="text1"/>
          <w14:textFill>
            <w14:solidFill>
              <w14:schemeClr w14:val="tx1"/>
            </w14:solidFill>
          </w14:textFill>
        </w:rPr>
        <w:tab/>
      </w:r>
      <w:r>
        <w:rPr>
          <w:rFonts w:eastAsiaTheme="minorEastAsia"/>
          <w:color w:val="000000" w:themeColor="text1"/>
          <w14:textFill>
            <w14:solidFill>
              <w14:schemeClr w14:val="tx1"/>
            </w14:solidFill>
          </w14:textFill>
        </w:rPr>
        <w:fldChar w:fldCharType="begin"/>
      </w:r>
      <w:r>
        <w:rPr>
          <w:rFonts w:eastAsiaTheme="minorEastAsia"/>
          <w:color w:val="000000" w:themeColor="text1"/>
          <w14:textFill>
            <w14:solidFill>
              <w14:schemeClr w14:val="tx1"/>
            </w14:solidFill>
          </w14:textFill>
        </w:rPr>
        <w:instrText xml:space="preserve"> PAGEREF _Toc155338877 \h </w:instrText>
      </w:r>
      <w:r>
        <w:rPr>
          <w:rFonts w:eastAsiaTheme="minorEastAsia"/>
          <w:color w:val="000000" w:themeColor="text1"/>
          <w14:textFill>
            <w14:solidFill>
              <w14:schemeClr w14:val="tx1"/>
            </w14:solidFill>
          </w14:textFill>
        </w:rPr>
        <w:fldChar w:fldCharType="separate"/>
      </w:r>
      <w:r>
        <w:rPr>
          <w:rFonts w:eastAsiaTheme="minorEastAsia"/>
          <w:color w:val="000000" w:themeColor="text1"/>
          <w14:textFill>
            <w14:solidFill>
              <w14:schemeClr w14:val="tx1"/>
            </w14:solidFill>
          </w14:textFill>
        </w:rPr>
        <w:t>1</w:t>
      </w:r>
      <w:r>
        <w:rPr>
          <w:rFonts w:eastAsiaTheme="minorEastAsia"/>
          <w:color w:val="000000" w:themeColor="text1"/>
          <w14:textFill>
            <w14:solidFill>
              <w14:schemeClr w14:val="tx1"/>
            </w14:solidFill>
          </w14:textFill>
        </w:rPr>
        <w:fldChar w:fldCharType="end"/>
      </w:r>
      <w:r>
        <w:rPr>
          <w:rFonts w:eastAsiaTheme="minorEastAsia"/>
          <w:color w:val="000000" w:themeColor="text1"/>
          <w14:textFill>
            <w14:solidFill>
              <w14:schemeClr w14:val="tx1"/>
            </w14:solidFill>
          </w14:textFill>
        </w:rPr>
        <w:fldChar w:fldCharType="end"/>
      </w:r>
    </w:p>
    <w:p>
      <w:pPr>
        <w:pStyle w:val="24"/>
        <w:tabs>
          <w:tab w:val="right" w:leader="dot" w:pos="8834"/>
        </w:tabs>
        <w:ind w:firstLine="480"/>
        <w:rPr>
          <w:rFonts w:eastAsiaTheme="minorEastAsia"/>
          <w:color w:val="000000" w:themeColor="text1"/>
          <w:sz w:val="21"/>
          <w:szCs w:val="22"/>
          <w14:textFill>
            <w14:solidFill>
              <w14:schemeClr w14:val="tx1"/>
            </w14:solidFill>
          </w14:textFill>
        </w:rPr>
      </w:pPr>
      <w:r>
        <w:fldChar w:fldCharType="begin"/>
      </w:r>
      <w:r>
        <w:instrText xml:space="preserve"> HYPERLINK \l "_Toc155338878" </w:instrText>
      </w:r>
      <w:r>
        <w:fldChar w:fldCharType="separate"/>
      </w:r>
      <w:r>
        <w:rPr>
          <w:rStyle w:val="35"/>
          <w:rFonts w:eastAsiaTheme="minorEastAsia"/>
          <w:b/>
          <w:snapToGrid w:val="0"/>
          <w:color w:val="000000" w:themeColor="text1"/>
          <w14:textFill>
            <w14:solidFill>
              <w14:schemeClr w14:val="tx1"/>
            </w14:solidFill>
          </w14:textFill>
        </w:rPr>
        <w:t>二、建设内容</w:t>
      </w:r>
      <w:r>
        <w:rPr>
          <w:rFonts w:eastAsiaTheme="minorEastAsia"/>
          <w:color w:val="000000" w:themeColor="text1"/>
          <w14:textFill>
            <w14:solidFill>
              <w14:schemeClr w14:val="tx1"/>
            </w14:solidFill>
          </w14:textFill>
        </w:rPr>
        <w:tab/>
      </w:r>
      <w:r>
        <w:rPr>
          <w:rFonts w:eastAsiaTheme="minorEastAsia"/>
          <w:color w:val="000000" w:themeColor="text1"/>
          <w14:textFill>
            <w14:solidFill>
              <w14:schemeClr w14:val="tx1"/>
            </w14:solidFill>
          </w14:textFill>
        </w:rPr>
        <w:fldChar w:fldCharType="begin"/>
      </w:r>
      <w:r>
        <w:rPr>
          <w:rFonts w:eastAsiaTheme="minorEastAsia"/>
          <w:color w:val="000000" w:themeColor="text1"/>
          <w14:textFill>
            <w14:solidFill>
              <w14:schemeClr w14:val="tx1"/>
            </w14:solidFill>
          </w14:textFill>
        </w:rPr>
        <w:instrText xml:space="preserve"> PAGEREF _Toc155338878 \h </w:instrText>
      </w:r>
      <w:r>
        <w:rPr>
          <w:rFonts w:eastAsiaTheme="minorEastAsia"/>
          <w:color w:val="000000" w:themeColor="text1"/>
          <w14:textFill>
            <w14:solidFill>
              <w14:schemeClr w14:val="tx1"/>
            </w14:solidFill>
          </w14:textFill>
        </w:rPr>
        <w:fldChar w:fldCharType="separate"/>
      </w:r>
      <w:r>
        <w:rPr>
          <w:rFonts w:eastAsiaTheme="minorEastAsia"/>
          <w:color w:val="000000" w:themeColor="text1"/>
          <w14:textFill>
            <w14:solidFill>
              <w14:schemeClr w14:val="tx1"/>
            </w14:solidFill>
          </w14:textFill>
        </w:rPr>
        <w:t>47</w:t>
      </w:r>
      <w:r>
        <w:rPr>
          <w:rFonts w:eastAsiaTheme="minorEastAsia"/>
          <w:color w:val="000000" w:themeColor="text1"/>
          <w14:textFill>
            <w14:solidFill>
              <w14:schemeClr w14:val="tx1"/>
            </w14:solidFill>
          </w14:textFill>
        </w:rPr>
        <w:fldChar w:fldCharType="end"/>
      </w:r>
      <w:r>
        <w:rPr>
          <w:rFonts w:eastAsiaTheme="minorEastAsia"/>
          <w:color w:val="000000" w:themeColor="text1"/>
          <w14:textFill>
            <w14:solidFill>
              <w14:schemeClr w14:val="tx1"/>
            </w14:solidFill>
          </w14:textFill>
        </w:rPr>
        <w:fldChar w:fldCharType="end"/>
      </w:r>
    </w:p>
    <w:p>
      <w:pPr>
        <w:pStyle w:val="24"/>
        <w:tabs>
          <w:tab w:val="right" w:leader="dot" w:pos="8834"/>
        </w:tabs>
        <w:ind w:firstLine="480"/>
        <w:rPr>
          <w:rFonts w:eastAsiaTheme="minorEastAsia"/>
          <w:color w:val="000000" w:themeColor="text1"/>
          <w:sz w:val="21"/>
          <w:szCs w:val="22"/>
          <w14:textFill>
            <w14:solidFill>
              <w14:schemeClr w14:val="tx1"/>
            </w14:solidFill>
          </w14:textFill>
        </w:rPr>
      </w:pPr>
      <w:r>
        <w:fldChar w:fldCharType="begin"/>
      </w:r>
      <w:r>
        <w:instrText xml:space="preserve"> HYPERLINK \l "_Toc155338879" </w:instrText>
      </w:r>
      <w:r>
        <w:fldChar w:fldCharType="separate"/>
      </w:r>
      <w:r>
        <w:rPr>
          <w:rStyle w:val="35"/>
          <w:rFonts w:eastAsiaTheme="minorEastAsia"/>
          <w:b/>
          <w:snapToGrid w:val="0"/>
          <w:color w:val="000000" w:themeColor="text1"/>
          <w14:textFill>
            <w14:solidFill>
              <w14:schemeClr w14:val="tx1"/>
            </w14:solidFill>
          </w14:textFill>
        </w:rPr>
        <w:t>三、生态环境现状、保护目标及评价标准</w:t>
      </w:r>
      <w:r>
        <w:rPr>
          <w:rFonts w:eastAsiaTheme="minorEastAsia"/>
          <w:color w:val="000000" w:themeColor="text1"/>
          <w14:textFill>
            <w14:solidFill>
              <w14:schemeClr w14:val="tx1"/>
            </w14:solidFill>
          </w14:textFill>
        </w:rPr>
        <w:tab/>
      </w:r>
      <w:r>
        <w:rPr>
          <w:rFonts w:eastAsiaTheme="minorEastAsia"/>
          <w:color w:val="000000" w:themeColor="text1"/>
          <w14:textFill>
            <w14:solidFill>
              <w14:schemeClr w14:val="tx1"/>
            </w14:solidFill>
          </w14:textFill>
        </w:rPr>
        <w:fldChar w:fldCharType="begin"/>
      </w:r>
      <w:r>
        <w:rPr>
          <w:rFonts w:eastAsiaTheme="minorEastAsia"/>
          <w:color w:val="000000" w:themeColor="text1"/>
          <w14:textFill>
            <w14:solidFill>
              <w14:schemeClr w14:val="tx1"/>
            </w14:solidFill>
          </w14:textFill>
        </w:rPr>
        <w:instrText xml:space="preserve"> PAGEREF _Toc155338879 \h </w:instrText>
      </w:r>
      <w:r>
        <w:rPr>
          <w:rFonts w:eastAsiaTheme="minorEastAsia"/>
          <w:color w:val="000000" w:themeColor="text1"/>
          <w14:textFill>
            <w14:solidFill>
              <w14:schemeClr w14:val="tx1"/>
            </w14:solidFill>
          </w14:textFill>
        </w:rPr>
        <w:fldChar w:fldCharType="separate"/>
      </w:r>
      <w:r>
        <w:rPr>
          <w:rFonts w:eastAsiaTheme="minorEastAsia"/>
          <w:color w:val="000000" w:themeColor="text1"/>
          <w14:textFill>
            <w14:solidFill>
              <w14:schemeClr w14:val="tx1"/>
            </w14:solidFill>
          </w14:textFill>
        </w:rPr>
        <w:t>60</w:t>
      </w:r>
      <w:r>
        <w:rPr>
          <w:rFonts w:eastAsiaTheme="minorEastAsia"/>
          <w:color w:val="000000" w:themeColor="text1"/>
          <w14:textFill>
            <w14:solidFill>
              <w14:schemeClr w14:val="tx1"/>
            </w14:solidFill>
          </w14:textFill>
        </w:rPr>
        <w:fldChar w:fldCharType="end"/>
      </w:r>
      <w:r>
        <w:rPr>
          <w:rFonts w:eastAsiaTheme="minorEastAsia"/>
          <w:color w:val="000000" w:themeColor="text1"/>
          <w14:textFill>
            <w14:solidFill>
              <w14:schemeClr w14:val="tx1"/>
            </w14:solidFill>
          </w14:textFill>
        </w:rPr>
        <w:fldChar w:fldCharType="end"/>
      </w:r>
    </w:p>
    <w:p>
      <w:pPr>
        <w:pStyle w:val="24"/>
        <w:tabs>
          <w:tab w:val="right" w:leader="dot" w:pos="8834"/>
        </w:tabs>
        <w:ind w:firstLine="480"/>
        <w:rPr>
          <w:rFonts w:eastAsiaTheme="minorEastAsia"/>
          <w:color w:val="000000" w:themeColor="text1"/>
          <w:sz w:val="21"/>
          <w:szCs w:val="22"/>
          <w14:textFill>
            <w14:solidFill>
              <w14:schemeClr w14:val="tx1"/>
            </w14:solidFill>
          </w14:textFill>
        </w:rPr>
      </w:pPr>
      <w:r>
        <w:fldChar w:fldCharType="begin"/>
      </w:r>
      <w:r>
        <w:instrText xml:space="preserve"> HYPERLINK \l "_Toc155338880" </w:instrText>
      </w:r>
      <w:r>
        <w:fldChar w:fldCharType="separate"/>
      </w:r>
      <w:r>
        <w:rPr>
          <w:rStyle w:val="35"/>
          <w:rFonts w:eastAsiaTheme="minorEastAsia"/>
          <w:b/>
          <w:snapToGrid w:val="0"/>
          <w:color w:val="000000" w:themeColor="text1"/>
          <w14:textFill>
            <w14:solidFill>
              <w14:schemeClr w14:val="tx1"/>
            </w14:solidFill>
          </w14:textFill>
        </w:rPr>
        <w:t>四、生态环境影响分析</w:t>
      </w:r>
      <w:r>
        <w:rPr>
          <w:rFonts w:eastAsiaTheme="minorEastAsia"/>
          <w:color w:val="000000" w:themeColor="text1"/>
          <w14:textFill>
            <w14:solidFill>
              <w14:schemeClr w14:val="tx1"/>
            </w14:solidFill>
          </w14:textFill>
        </w:rPr>
        <w:tab/>
      </w:r>
      <w:r>
        <w:rPr>
          <w:rFonts w:eastAsiaTheme="minorEastAsia"/>
          <w:color w:val="000000" w:themeColor="text1"/>
          <w14:textFill>
            <w14:solidFill>
              <w14:schemeClr w14:val="tx1"/>
            </w14:solidFill>
          </w14:textFill>
        </w:rPr>
        <w:fldChar w:fldCharType="begin"/>
      </w:r>
      <w:r>
        <w:rPr>
          <w:rFonts w:eastAsiaTheme="minorEastAsia"/>
          <w:color w:val="000000" w:themeColor="text1"/>
          <w14:textFill>
            <w14:solidFill>
              <w14:schemeClr w14:val="tx1"/>
            </w14:solidFill>
          </w14:textFill>
        </w:rPr>
        <w:instrText xml:space="preserve"> PAGEREF _Toc155338880 \h </w:instrText>
      </w:r>
      <w:r>
        <w:rPr>
          <w:rFonts w:eastAsiaTheme="minorEastAsia"/>
          <w:color w:val="000000" w:themeColor="text1"/>
          <w14:textFill>
            <w14:solidFill>
              <w14:schemeClr w14:val="tx1"/>
            </w14:solidFill>
          </w14:textFill>
        </w:rPr>
        <w:fldChar w:fldCharType="separate"/>
      </w:r>
      <w:r>
        <w:rPr>
          <w:rFonts w:eastAsiaTheme="minorEastAsia"/>
          <w:color w:val="000000" w:themeColor="text1"/>
          <w14:textFill>
            <w14:solidFill>
              <w14:schemeClr w14:val="tx1"/>
            </w14:solidFill>
          </w14:textFill>
        </w:rPr>
        <w:t>82</w:t>
      </w:r>
      <w:r>
        <w:rPr>
          <w:rFonts w:eastAsiaTheme="minorEastAsia"/>
          <w:color w:val="000000" w:themeColor="text1"/>
          <w14:textFill>
            <w14:solidFill>
              <w14:schemeClr w14:val="tx1"/>
            </w14:solidFill>
          </w14:textFill>
        </w:rPr>
        <w:fldChar w:fldCharType="end"/>
      </w:r>
      <w:r>
        <w:rPr>
          <w:rFonts w:eastAsiaTheme="minorEastAsia"/>
          <w:color w:val="000000" w:themeColor="text1"/>
          <w14:textFill>
            <w14:solidFill>
              <w14:schemeClr w14:val="tx1"/>
            </w14:solidFill>
          </w14:textFill>
        </w:rPr>
        <w:fldChar w:fldCharType="end"/>
      </w:r>
    </w:p>
    <w:p>
      <w:pPr>
        <w:pStyle w:val="24"/>
        <w:tabs>
          <w:tab w:val="right" w:leader="dot" w:pos="8834"/>
        </w:tabs>
        <w:ind w:firstLine="480"/>
        <w:rPr>
          <w:rFonts w:eastAsiaTheme="minorEastAsia"/>
          <w:color w:val="000000" w:themeColor="text1"/>
          <w:sz w:val="21"/>
          <w:szCs w:val="22"/>
          <w14:textFill>
            <w14:solidFill>
              <w14:schemeClr w14:val="tx1"/>
            </w14:solidFill>
          </w14:textFill>
        </w:rPr>
      </w:pPr>
      <w:r>
        <w:fldChar w:fldCharType="begin"/>
      </w:r>
      <w:r>
        <w:instrText xml:space="preserve"> HYPERLINK \l "_Toc155338881" </w:instrText>
      </w:r>
      <w:r>
        <w:fldChar w:fldCharType="separate"/>
      </w:r>
      <w:r>
        <w:rPr>
          <w:rStyle w:val="35"/>
          <w:rFonts w:eastAsiaTheme="minorEastAsia"/>
          <w:b/>
          <w:snapToGrid w:val="0"/>
          <w:color w:val="000000" w:themeColor="text1"/>
          <w14:textFill>
            <w14:solidFill>
              <w14:schemeClr w14:val="tx1"/>
            </w14:solidFill>
          </w14:textFill>
        </w:rPr>
        <w:t>五、主要生态环境保护措施</w:t>
      </w:r>
      <w:r>
        <w:rPr>
          <w:rFonts w:eastAsiaTheme="minorEastAsia"/>
          <w:color w:val="000000" w:themeColor="text1"/>
          <w14:textFill>
            <w14:solidFill>
              <w14:schemeClr w14:val="tx1"/>
            </w14:solidFill>
          </w14:textFill>
        </w:rPr>
        <w:tab/>
      </w:r>
      <w:r>
        <w:rPr>
          <w:rFonts w:eastAsiaTheme="minorEastAsia"/>
          <w:color w:val="000000" w:themeColor="text1"/>
          <w14:textFill>
            <w14:solidFill>
              <w14:schemeClr w14:val="tx1"/>
            </w14:solidFill>
          </w14:textFill>
        </w:rPr>
        <w:fldChar w:fldCharType="begin"/>
      </w:r>
      <w:r>
        <w:rPr>
          <w:rFonts w:eastAsiaTheme="minorEastAsia"/>
          <w:color w:val="000000" w:themeColor="text1"/>
          <w14:textFill>
            <w14:solidFill>
              <w14:schemeClr w14:val="tx1"/>
            </w14:solidFill>
          </w14:textFill>
        </w:rPr>
        <w:instrText xml:space="preserve"> PAGEREF _Toc155338881 \h </w:instrText>
      </w:r>
      <w:r>
        <w:rPr>
          <w:rFonts w:eastAsiaTheme="minorEastAsia"/>
          <w:color w:val="000000" w:themeColor="text1"/>
          <w14:textFill>
            <w14:solidFill>
              <w14:schemeClr w14:val="tx1"/>
            </w14:solidFill>
          </w14:textFill>
        </w:rPr>
        <w:fldChar w:fldCharType="separate"/>
      </w:r>
      <w:r>
        <w:rPr>
          <w:rFonts w:eastAsiaTheme="minorEastAsia"/>
          <w:color w:val="000000" w:themeColor="text1"/>
          <w14:textFill>
            <w14:solidFill>
              <w14:schemeClr w14:val="tx1"/>
            </w14:solidFill>
          </w14:textFill>
        </w:rPr>
        <w:t>100</w:t>
      </w:r>
      <w:r>
        <w:rPr>
          <w:rFonts w:eastAsiaTheme="minorEastAsia"/>
          <w:color w:val="000000" w:themeColor="text1"/>
          <w14:textFill>
            <w14:solidFill>
              <w14:schemeClr w14:val="tx1"/>
            </w14:solidFill>
          </w14:textFill>
        </w:rPr>
        <w:fldChar w:fldCharType="end"/>
      </w:r>
      <w:r>
        <w:rPr>
          <w:rFonts w:eastAsiaTheme="minorEastAsia"/>
          <w:color w:val="000000" w:themeColor="text1"/>
          <w14:textFill>
            <w14:solidFill>
              <w14:schemeClr w14:val="tx1"/>
            </w14:solidFill>
          </w14:textFill>
        </w:rPr>
        <w:fldChar w:fldCharType="end"/>
      </w:r>
    </w:p>
    <w:p>
      <w:pPr>
        <w:pStyle w:val="24"/>
        <w:tabs>
          <w:tab w:val="right" w:leader="dot" w:pos="8834"/>
        </w:tabs>
        <w:ind w:firstLine="480"/>
        <w:rPr>
          <w:rFonts w:eastAsiaTheme="minorEastAsia"/>
          <w:color w:val="000000" w:themeColor="text1"/>
          <w:sz w:val="21"/>
          <w:szCs w:val="22"/>
          <w14:textFill>
            <w14:solidFill>
              <w14:schemeClr w14:val="tx1"/>
            </w14:solidFill>
          </w14:textFill>
        </w:rPr>
      </w:pPr>
      <w:r>
        <w:fldChar w:fldCharType="begin"/>
      </w:r>
      <w:r>
        <w:instrText xml:space="preserve"> HYPERLINK \l "_Toc155338882" </w:instrText>
      </w:r>
      <w:r>
        <w:fldChar w:fldCharType="separate"/>
      </w:r>
      <w:r>
        <w:rPr>
          <w:rStyle w:val="35"/>
          <w:rFonts w:eastAsiaTheme="minorEastAsia"/>
          <w:b/>
          <w:snapToGrid w:val="0"/>
          <w:color w:val="000000" w:themeColor="text1"/>
          <w14:textFill>
            <w14:solidFill>
              <w14:schemeClr w14:val="tx1"/>
            </w14:solidFill>
          </w14:textFill>
        </w:rPr>
        <w:t>六、生态环境保护措施监督检查清单</w:t>
      </w:r>
      <w:r>
        <w:rPr>
          <w:rFonts w:eastAsiaTheme="minorEastAsia"/>
          <w:color w:val="000000" w:themeColor="text1"/>
          <w14:textFill>
            <w14:solidFill>
              <w14:schemeClr w14:val="tx1"/>
            </w14:solidFill>
          </w14:textFill>
        </w:rPr>
        <w:tab/>
      </w:r>
      <w:r>
        <w:rPr>
          <w:rFonts w:eastAsiaTheme="minorEastAsia"/>
          <w:color w:val="000000" w:themeColor="text1"/>
          <w14:textFill>
            <w14:solidFill>
              <w14:schemeClr w14:val="tx1"/>
            </w14:solidFill>
          </w14:textFill>
        </w:rPr>
        <w:fldChar w:fldCharType="begin"/>
      </w:r>
      <w:r>
        <w:rPr>
          <w:rFonts w:eastAsiaTheme="minorEastAsia"/>
          <w:color w:val="000000" w:themeColor="text1"/>
          <w14:textFill>
            <w14:solidFill>
              <w14:schemeClr w14:val="tx1"/>
            </w14:solidFill>
          </w14:textFill>
        </w:rPr>
        <w:instrText xml:space="preserve"> PAGEREF _Toc155338882 \h </w:instrText>
      </w:r>
      <w:r>
        <w:rPr>
          <w:rFonts w:eastAsiaTheme="minorEastAsia"/>
          <w:color w:val="000000" w:themeColor="text1"/>
          <w14:textFill>
            <w14:solidFill>
              <w14:schemeClr w14:val="tx1"/>
            </w14:solidFill>
          </w14:textFill>
        </w:rPr>
        <w:fldChar w:fldCharType="separate"/>
      </w:r>
      <w:r>
        <w:rPr>
          <w:rFonts w:eastAsiaTheme="minorEastAsia"/>
          <w:color w:val="000000" w:themeColor="text1"/>
          <w14:textFill>
            <w14:solidFill>
              <w14:schemeClr w14:val="tx1"/>
            </w14:solidFill>
          </w14:textFill>
        </w:rPr>
        <w:t>117</w:t>
      </w:r>
      <w:r>
        <w:rPr>
          <w:rFonts w:eastAsiaTheme="minorEastAsia"/>
          <w:color w:val="000000" w:themeColor="text1"/>
          <w14:textFill>
            <w14:solidFill>
              <w14:schemeClr w14:val="tx1"/>
            </w14:solidFill>
          </w14:textFill>
        </w:rPr>
        <w:fldChar w:fldCharType="end"/>
      </w:r>
      <w:r>
        <w:rPr>
          <w:rFonts w:eastAsiaTheme="minorEastAsia"/>
          <w:color w:val="000000" w:themeColor="text1"/>
          <w14:textFill>
            <w14:solidFill>
              <w14:schemeClr w14:val="tx1"/>
            </w14:solidFill>
          </w14:textFill>
        </w:rPr>
        <w:fldChar w:fldCharType="end"/>
      </w:r>
    </w:p>
    <w:p>
      <w:pPr>
        <w:pStyle w:val="24"/>
        <w:tabs>
          <w:tab w:val="right" w:leader="dot" w:pos="8834"/>
        </w:tabs>
        <w:ind w:firstLine="480"/>
        <w:rPr>
          <w:rFonts w:eastAsiaTheme="minorEastAsia"/>
          <w:color w:val="000000" w:themeColor="text1"/>
          <w:sz w:val="21"/>
          <w:szCs w:val="22"/>
          <w14:textFill>
            <w14:solidFill>
              <w14:schemeClr w14:val="tx1"/>
            </w14:solidFill>
          </w14:textFill>
        </w:rPr>
      </w:pPr>
      <w:r>
        <w:fldChar w:fldCharType="begin"/>
      </w:r>
      <w:r>
        <w:instrText xml:space="preserve"> HYPERLINK \l "_Toc155338891" </w:instrText>
      </w:r>
      <w:r>
        <w:fldChar w:fldCharType="separate"/>
      </w:r>
      <w:r>
        <w:rPr>
          <w:rStyle w:val="35"/>
          <w:rFonts w:eastAsiaTheme="minorEastAsia"/>
          <w:b/>
          <w:snapToGrid w:val="0"/>
          <w:color w:val="000000" w:themeColor="text1"/>
          <w14:textFill>
            <w14:solidFill>
              <w14:schemeClr w14:val="tx1"/>
            </w14:solidFill>
          </w14:textFill>
        </w:rPr>
        <w:t>七、结论</w:t>
      </w:r>
      <w:r>
        <w:rPr>
          <w:rFonts w:eastAsiaTheme="minorEastAsia"/>
          <w:color w:val="000000" w:themeColor="text1"/>
          <w14:textFill>
            <w14:solidFill>
              <w14:schemeClr w14:val="tx1"/>
            </w14:solidFill>
          </w14:textFill>
        </w:rPr>
        <w:tab/>
      </w:r>
      <w:r>
        <w:rPr>
          <w:rFonts w:eastAsiaTheme="minorEastAsia"/>
          <w:color w:val="000000" w:themeColor="text1"/>
          <w14:textFill>
            <w14:solidFill>
              <w14:schemeClr w14:val="tx1"/>
            </w14:solidFill>
          </w14:textFill>
        </w:rPr>
        <w:fldChar w:fldCharType="begin"/>
      </w:r>
      <w:r>
        <w:rPr>
          <w:rFonts w:eastAsiaTheme="minorEastAsia"/>
          <w:color w:val="000000" w:themeColor="text1"/>
          <w14:textFill>
            <w14:solidFill>
              <w14:schemeClr w14:val="tx1"/>
            </w14:solidFill>
          </w14:textFill>
        </w:rPr>
        <w:instrText xml:space="preserve"> PAGEREF _Toc155338891 \h </w:instrText>
      </w:r>
      <w:r>
        <w:rPr>
          <w:rFonts w:eastAsiaTheme="minorEastAsia"/>
          <w:color w:val="000000" w:themeColor="text1"/>
          <w14:textFill>
            <w14:solidFill>
              <w14:schemeClr w14:val="tx1"/>
            </w14:solidFill>
          </w14:textFill>
        </w:rPr>
        <w:fldChar w:fldCharType="separate"/>
      </w:r>
      <w:r>
        <w:rPr>
          <w:rFonts w:eastAsiaTheme="minorEastAsia"/>
          <w:color w:val="000000" w:themeColor="text1"/>
          <w14:textFill>
            <w14:solidFill>
              <w14:schemeClr w14:val="tx1"/>
            </w14:solidFill>
          </w14:textFill>
        </w:rPr>
        <w:t>119</w:t>
      </w:r>
      <w:r>
        <w:rPr>
          <w:rFonts w:eastAsiaTheme="minorEastAsia"/>
          <w:color w:val="000000" w:themeColor="text1"/>
          <w14:textFill>
            <w14:solidFill>
              <w14:schemeClr w14:val="tx1"/>
            </w14:solidFill>
          </w14:textFill>
        </w:rPr>
        <w:fldChar w:fldCharType="end"/>
      </w:r>
      <w:r>
        <w:rPr>
          <w:rFonts w:eastAsiaTheme="minorEastAsia"/>
          <w:color w:val="000000" w:themeColor="text1"/>
          <w14:textFill>
            <w14:solidFill>
              <w14:schemeClr w14:val="tx1"/>
            </w14:solidFill>
          </w14:textFill>
        </w:rPr>
        <w:fldChar w:fldCharType="end"/>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fldChar w:fldCharType="end"/>
      </w: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sectPr>
          <w:pgSz w:w="11906" w:h="16838"/>
          <w:pgMar w:top="1701" w:right="1531" w:bottom="1701" w:left="1531" w:header="851" w:footer="1077" w:gutter="0"/>
          <w:pgNumType w:start="21"/>
          <w:cols w:space="720" w:num="1"/>
          <w:docGrid w:linePitch="312" w:charSpace="0"/>
        </w:sectPr>
      </w:pP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附图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附图1  项目地理位置及水系图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附图2  项目平面布置图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附图3  项目施工导流平面布置图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附图4  项目外环境关系及监测布点图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附图5  项目与重要生态区域关系图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附图6  项目与达古冰川-卡龙沟风景名胜区关系图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附图7  项目土地利用现状图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附图8  项目生态</w:t>
      </w:r>
      <w:r>
        <w:rPr>
          <w:rFonts w:hint="eastAsia" w:hAnsi="Times New Roman" w:eastAsiaTheme="minorEastAsia"/>
          <w:color w:val="000000" w:themeColor="text1"/>
          <w14:textFill>
            <w14:solidFill>
              <w14:schemeClr w14:val="tx1"/>
            </w14:solidFill>
          </w14:textFill>
        </w:rPr>
        <w:t>环境</w:t>
      </w:r>
      <w:r>
        <w:rPr>
          <w:rFonts w:hAnsi="Times New Roman" w:eastAsiaTheme="minorEastAsia"/>
          <w:color w:val="000000" w:themeColor="text1"/>
          <w14:textFill>
            <w14:solidFill>
              <w14:schemeClr w14:val="tx1"/>
            </w14:solidFill>
          </w14:textFill>
        </w:rPr>
        <w:t>保护措施</w:t>
      </w:r>
      <w:r>
        <w:rPr>
          <w:rFonts w:hint="eastAsia" w:hAnsi="Times New Roman" w:eastAsiaTheme="minorEastAsia"/>
          <w:color w:val="000000" w:themeColor="text1"/>
          <w14:textFill>
            <w14:solidFill>
              <w14:schemeClr w14:val="tx1"/>
            </w14:solidFill>
          </w14:textFill>
        </w:rPr>
        <w:t>设计</w:t>
      </w:r>
      <w:r>
        <w:rPr>
          <w:rFonts w:hAnsi="Times New Roman" w:eastAsiaTheme="minorEastAsia"/>
          <w:color w:val="000000" w:themeColor="text1"/>
          <w14:textFill>
            <w14:solidFill>
              <w14:schemeClr w14:val="tx1"/>
            </w14:solidFill>
          </w14:textFill>
        </w:rPr>
        <w:t>图</w:t>
      </w:r>
    </w:p>
    <w:p>
      <w:pPr>
        <w:pStyle w:val="78"/>
        <w:ind w:firstLine="480"/>
        <w:rPr>
          <w:rFonts w:hAnsi="Times New Roman" w:eastAsiaTheme="minorEastAsia"/>
          <w:color w:val="000000" w:themeColor="text1"/>
          <w14:textFill>
            <w14:solidFill>
              <w14:schemeClr w14:val="tx1"/>
            </w14:solidFill>
          </w14:textFill>
        </w:rPr>
      </w:pP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附件</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附件1  项目委托书</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附件2  情况说明</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附件3  项目可研批复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附件4  项目初设批复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附件5  项目用地预审及选址意见的复函</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附件6  项目是否涉及敏感区的证明文件</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附件7  项目是否涉及饮用水水源保护区的复函</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附件8  项目是否涉及生态保护红线的复函</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附件9  达古冰山－卡龙沟风景名胜区影响论证报告审查意见</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附件10  地表水引用数据监测报告</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附件11  噪声现状监测报告</w:t>
      </w:r>
    </w:p>
    <w:p>
      <w:pPr>
        <w:pStyle w:val="78"/>
        <w:ind w:firstLine="0" w:firstLineChars="0"/>
        <w:rPr>
          <w:rFonts w:hAnsi="Times New Roman" w:eastAsiaTheme="minorEastAsia"/>
          <w:color w:val="000000" w:themeColor="text1"/>
          <w14:textFill>
            <w14:solidFill>
              <w14:schemeClr w14:val="tx1"/>
            </w14:solidFill>
          </w14:textFill>
        </w:rPr>
      </w:pPr>
    </w:p>
    <w:p>
      <w:pPr>
        <w:pStyle w:val="78"/>
        <w:ind w:firstLine="0" w:firstLineChars="0"/>
        <w:rPr>
          <w:rFonts w:hAnsi="Times New Roman" w:eastAsiaTheme="minorEastAsia"/>
          <w:color w:val="000000" w:themeColor="text1"/>
          <w14:textFill>
            <w14:solidFill>
              <w14:schemeClr w14:val="tx1"/>
            </w14:solidFill>
          </w14:textFill>
        </w:rPr>
      </w:pPr>
    </w:p>
    <w:p>
      <w:pPr>
        <w:pStyle w:val="78"/>
        <w:ind w:firstLine="0" w:firstLineChars="0"/>
        <w:rPr>
          <w:rFonts w:hAnsi="Times New Roman" w:eastAsiaTheme="minorEastAsia"/>
          <w:color w:val="000000" w:themeColor="text1"/>
          <w14:textFill>
            <w14:solidFill>
              <w14:schemeClr w14:val="tx1"/>
            </w14:solidFill>
          </w14:textFill>
        </w:rPr>
      </w:pPr>
    </w:p>
    <w:p>
      <w:pPr>
        <w:pStyle w:val="78"/>
        <w:ind w:firstLine="0" w:firstLineChars="0"/>
        <w:rPr>
          <w:rFonts w:hAnsi="Times New Roman" w:eastAsiaTheme="minorEastAsia"/>
          <w:color w:val="000000" w:themeColor="text1"/>
          <w14:textFill>
            <w14:solidFill>
              <w14:schemeClr w14:val="tx1"/>
            </w14:solidFill>
          </w14:textFill>
        </w:rPr>
      </w:pPr>
    </w:p>
    <w:p>
      <w:pPr>
        <w:pStyle w:val="78"/>
        <w:ind w:firstLine="0" w:firstLineChars="0"/>
        <w:rPr>
          <w:rFonts w:hAnsi="Times New Roman" w:eastAsiaTheme="minorEastAsia"/>
          <w:color w:val="000000" w:themeColor="text1"/>
          <w14:textFill>
            <w14:solidFill>
              <w14:schemeClr w14:val="tx1"/>
            </w14:solidFill>
          </w14:textFill>
        </w:rPr>
        <w:sectPr>
          <w:pgSz w:w="11906" w:h="16838"/>
          <w:pgMar w:top="1701" w:right="1531" w:bottom="1701" w:left="1531" w:header="851" w:footer="1077" w:gutter="0"/>
          <w:pgNumType w:start="21"/>
          <w:cols w:space="720" w:num="1"/>
          <w:docGrid w:linePitch="312" w:charSpace="0"/>
        </w:sectPr>
      </w:pPr>
    </w:p>
    <w:p>
      <w:pPr>
        <w:pStyle w:val="26"/>
        <w:spacing w:line="240" w:lineRule="auto"/>
        <w:ind w:firstLine="0" w:firstLineChars="0"/>
        <w:jc w:val="center"/>
        <w:outlineLvl w:val="0"/>
        <w:rPr>
          <w:rFonts w:ascii="Times New Roman" w:hAnsi="Times New Roman" w:eastAsiaTheme="minorEastAsia"/>
          <w:b/>
          <w:snapToGrid w:val="0"/>
          <w:color w:val="000000" w:themeColor="text1"/>
          <w:sz w:val="30"/>
          <w:szCs w:val="30"/>
          <w14:textFill>
            <w14:solidFill>
              <w14:schemeClr w14:val="tx1"/>
            </w14:solidFill>
          </w14:textFill>
        </w:rPr>
      </w:pPr>
      <w:bookmarkStart w:id="8" w:name="_Toc155338877"/>
      <w:r>
        <w:rPr>
          <w:rFonts w:ascii="Times New Roman" w:hAnsi="Times New Roman" w:eastAsiaTheme="minorEastAsia"/>
          <w:b/>
          <w:snapToGrid w:val="0"/>
          <w:color w:val="000000" w:themeColor="text1"/>
          <w:sz w:val="30"/>
          <w:szCs w:val="30"/>
          <w14:textFill>
            <w14:solidFill>
              <w14:schemeClr w14:val="tx1"/>
            </w14:solidFill>
          </w14:textFill>
        </w:rPr>
        <w:t>一、建设项目基本情况</w:t>
      </w:r>
      <w:bookmarkEnd w:id="8"/>
    </w:p>
    <w:tbl>
      <w:tblPr>
        <w:tblStyle w:val="30"/>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1481"/>
        <w:gridCol w:w="1848"/>
        <w:gridCol w:w="2595"/>
        <w:gridCol w:w="29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2"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建设项目</w:t>
            </w:r>
          </w:p>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名称</w:t>
            </w:r>
          </w:p>
        </w:tc>
        <w:tc>
          <w:tcPr>
            <w:tcW w:w="4169" w:type="pct"/>
            <w:gridSpan w:val="3"/>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黑水县卡龙镇才盖村基础设施提升建设项目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55"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项目代码</w:t>
            </w:r>
          </w:p>
        </w:tc>
        <w:tc>
          <w:tcPr>
            <w:tcW w:w="4169" w:type="pct"/>
            <w:gridSpan w:val="3"/>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2502-513228-04-01-558632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2"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建设单位联系人</w:t>
            </w:r>
          </w:p>
        </w:tc>
        <w:tc>
          <w:tcPr>
            <w:tcW w:w="1036" w:type="pct"/>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谢晓艳</w:t>
            </w:r>
          </w:p>
        </w:tc>
        <w:tc>
          <w:tcPr>
            <w:tcW w:w="1455" w:type="pct"/>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联系方式</w:t>
            </w:r>
          </w:p>
        </w:tc>
        <w:tc>
          <w:tcPr>
            <w:tcW w:w="1677" w:type="pct"/>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kern w:val="0"/>
                <w14:textFill>
                  <w14:solidFill>
                    <w14:schemeClr w14:val="tx1"/>
                  </w14:solidFill>
                </w14:textFill>
              </w:rPr>
              <w:t>15196200103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2"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建设地点</w:t>
            </w:r>
          </w:p>
        </w:tc>
        <w:tc>
          <w:tcPr>
            <w:tcW w:w="4169" w:type="pct"/>
            <w:gridSpan w:val="3"/>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黑水县卡龙镇才盖村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55"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地理坐标</w:t>
            </w:r>
          </w:p>
        </w:tc>
        <w:tc>
          <w:tcPr>
            <w:tcW w:w="4169" w:type="pct"/>
            <w:gridSpan w:val="3"/>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起点：东经103°18′17.710″，北纬32°24′31.002″；</w:t>
            </w:r>
          </w:p>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终点：东经103°18′11.146″，北纬32°24′18.330″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15" w:hRule="atLeast"/>
        </w:trPr>
        <w:tc>
          <w:tcPr>
            <w:tcW w:w="831" w:type="pct"/>
            <w:tcMar>
              <w:top w:w="16" w:type="dxa"/>
              <w:left w:w="16" w:type="dxa"/>
              <w:right w:w="16" w:type="dxa"/>
            </w:tcMar>
            <w:vAlign w:val="center"/>
          </w:tcPr>
          <w:p>
            <w:pPr>
              <w:adjustRightInd w:val="0"/>
              <w:snapToGri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建设项目</w:t>
            </w:r>
          </w:p>
          <w:p>
            <w:pPr>
              <w:adjustRightInd w:val="0"/>
              <w:snapToGri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行业类别</w:t>
            </w:r>
          </w:p>
        </w:tc>
        <w:tc>
          <w:tcPr>
            <w:tcW w:w="1036"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127防洪除涝工程</w:t>
            </w:r>
          </w:p>
        </w:tc>
        <w:tc>
          <w:tcPr>
            <w:tcW w:w="1455"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用地面积（m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w:t>
            </w:r>
          </w:p>
        </w:tc>
        <w:tc>
          <w:tcPr>
            <w:tcW w:w="1677" w:type="pct"/>
            <w:vAlign w:val="center"/>
          </w:tcPr>
          <w:p>
            <w:pPr>
              <w:adjustRightInd w:val="0"/>
              <w:snapToGrid w:val="0"/>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2311m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（其中永久占地811m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，临时占地1500m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4" w:hRule="atLeast"/>
        </w:trPr>
        <w:tc>
          <w:tcPr>
            <w:tcW w:w="831" w:type="pct"/>
            <w:tcMar>
              <w:top w:w="16" w:type="dxa"/>
              <w:left w:w="16" w:type="dxa"/>
              <w:right w:w="16" w:type="dxa"/>
            </w:tcMar>
            <w:vAlign w:val="center"/>
          </w:tcPr>
          <w:p>
            <w:pPr>
              <w:adjustRightInd w:val="0"/>
              <w:snapToGrid w:val="0"/>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建设性质</w:t>
            </w:r>
          </w:p>
        </w:tc>
        <w:tc>
          <w:tcPr>
            <w:tcW w:w="1036" w:type="pct"/>
            <w:vAlign w:val="center"/>
          </w:tcPr>
          <w:p>
            <w:pPr>
              <w:adjustRightInd w:val="0"/>
              <w:snapToGrid w:val="0"/>
              <w:spacing w:line="240" w:lineRule="auto"/>
              <w:ind w:firstLine="0" w:firstLineChars="0"/>
              <w:jc w:val="left"/>
              <w:rPr>
                <w:rFonts w:eastAsiaTheme="minorEastAsia"/>
                <w:color w:val="000000" w:themeColor="text1"/>
                <w14:textFill>
                  <w14:solidFill>
                    <w14:schemeClr w14:val="tx1"/>
                  </w14:solidFill>
                </w14:textFill>
              </w:rPr>
            </w:pPr>
            <w:r>
              <w:rPr>
                <w:rFonts w:ascii="Segoe UI Symbol" w:hAnsi="Segoe UI Symbol" w:cs="Segoe UI Symbol"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新建（迁建）</w:t>
            </w:r>
          </w:p>
          <w:p>
            <w:pPr>
              <w:adjustRightInd w:val="0"/>
              <w:snapToGrid w:val="0"/>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□改建</w:t>
            </w:r>
          </w:p>
          <w:p>
            <w:pPr>
              <w:adjustRightInd w:val="0"/>
              <w:snapToGrid w:val="0"/>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□扩建</w:t>
            </w:r>
          </w:p>
          <w:p>
            <w:pPr>
              <w:adjustRightInd w:val="0"/>
              <w:snapToGrid w:val="0"/>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□技术改造</w:t>
            </w:r>
          </w:p>
        </w:tc>
        <w:tc>
          <w:tcPr>
            <w:tcW w:w="1455"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建设项目</w:t>
            </w:r>
          </w:p>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申报情形</w:t>
            </w:r>
          </w:p>
        </w:tc>
        <w:tc>
          <w:tcPr>
            <w:tcW w:w="1677" w:type="pct"/>
            <w:vAlign w:val="center"/>
          </w:tcPr>
          <w:p>
            <w:pPr>
              <w:adjustRightInd w:val="0"/>
              <w:snapToGrid w:val="0"/>
              <w:spacing w:line="240" w:lineRule="auto"/>
              <w:ind w:firstLine="0" w:firstLineChars="0"/>
              <w:jc w:val="left"/>
              <w:rPr>
                <w:rFonts w:eastAsiaTheme="minorEastAsia"/>
                <w:color w:val="000000" w:themeColor="text1"/>
                <w14:textFill>
                  <w14:solidFill>
                    <w14:schemeClr w14:val="tx1"/>
                  </w14:solidFill>
                </w14:textFill>
              </w:rPr>
            </w:pPr>
            <w:r>
              <w:rPr>
                <w:rFonts w:ascii="Segoe UI Symbol" w:hAnsi="Segoe UI Symbol" w:cs="Segoe UI Symbol"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首次申报项目</w:t>
            </w:r>
          </w:p>
          <w:p>
            <w:pPr>
              <w:adjustRightInd w:val="0"/>
              <w:snapToGrid w:val="0"/>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□不予批准后再次申报项目</w:t>
            </w:r>
          </w:p>
          <w:p>
            <w:pPr>
              <w:adjustRightInd w:val="0"/>
              <w:snapToGrid w:val="0"/>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□超五年重新审核项目</w:t>
            </w:r>
          </w:p>
          <w:p>
            <w:pPr>
              <w:adjustRightInd w:val="0"/>
              <w:snapToGrid w:val="0"/>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831" w:type="pct"/>
            <w:tcMar>
              <w:top w:w="16" w:type="dxa"/>
              <w:left w:w="16" w:type="dxa"/>
              <w:right w:w="16" w:type="dxa"/>
            </w:tcMar>
            <w:vAlign w:val="center"/>
          </w:tcPr>
          <w:p>
            <w:pPr>
              <w:adjustRightInd w:val="0"/>
              <w:snapToGri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项目审批（核准/备案）部门（选填）</w:t>
            </w:r>
          </w:p>
        </w:tc>
        <w:tc>
          <w:tcPr>
            <w:tcW w:w="1036" w:type="pct"/>
            <w:vAlign w:val="center"/>
          </w:tcPr>
          <w:p>
            <w:pPr>
              <w:adjustRightInd w:val="0"/>
              <w:snapToGrid w:val="0"/>
              <w:ind w:firstLine="0" w:firstLineChars="0"/>
              <w:jc w:val="center"/>
              <w:textAlignment w:val="center"/>
              <w:rPr>
                <w:rFonts w:eastAsiaTheme="minorEastAsia"/>
                <w:color w:val="000000" w:themeColor="text1"/>
                <w:highlight w:val="yellow"/>
                <w14:textFill>
                  <w14:solidFill>
                    <w14:schemeClr w14:val="tx1"/>
                  </w14:solidFill>
                </w14:textFill>
              </w:rPr>
            </w:pPr>
            <w:r>
              <w:rPr>
                <w:rFonts w:eastAsiaTheme="minorEastAsia"/>
                <w:color w:val="000000" w:themeColor="text1"/>
                <w14:textFill>
                  <w14:solidFill>
                    <w14:schemeClr w14:val="tx1"/>
                  </w14:solidFill>
                </w14:textFill>
              </w:rPr>
              <w:t>黑水县发展改革和经信商务局</w:t>
            </w:r>
          </w:p>
        </w:tc>
        <w:tc>
          <w:tcPr>
            <w:tcW w:w="1455" w:type="pct"/>
            <w:vAlign w:val="center"/>
          </w:tcPr>
          <w:p>
            <w:pPr>
              <w:adjustRightInd w:val="0"/>
              <w:snapToGri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项目审批（核准/备案）文号（选填）</w:t>
            </w:r>
          </w:p>
        </w:tc>
        <w:tc>
          <w:tcPr>
            <w:tcW w:w="1677" w:type="pct"/>
            <w:vAlign w:val="center"/>
          </w:tcPr>
          <w:p>
            <w:pPr>
              <w:adjustRightInd w:val="0"/>
              <w:snapToGri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黑发经商行审[2025]7号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55"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总投资</w:t>
            </w:r>
          </w:p>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（万元）</w:t>
            </w:r>
          </w:p>
        </w:tc>
        <w:tc>
          <w:tcPr>
            <w:tcW w:w="1036" w:type="pct"/>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350</w:t>
            </w:r>
          </w:p>
        </w:tc>
        <w:tc>
          <w:tcPr>
            <w:tcW w:w="1455"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环保投资</w:t>
            </w:r>
          </w:p>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（万元）</w:t>
            </w:r>
          </w:p>
        </w:tc>
        <w:tc>
          <w:tcPr>
            <w:tcW w:w="1677" w:type="pct"/>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4"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环保投资占比（%）</w:t>
            </w:r>
          </w:p>
        </w:tc>
        <w:tc>
          <w:tcPr>
            <w:tcW w:w="1036" w:type="pct"/>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11.71</w:t>
            </w:r>
          </w:p>
        </w:tc>
        <w:tc>
          <w:tcPr>
            <w:tcW w:w="1455"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施工工期</w:t>
            </w:r>
          </w:p>
        </w:tc>
        <w:tc>
          <w:tcPr>
            <w:tcW w:w="1677" w:type="pct"/>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7个月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69"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是否开工建设</w:t>
            </w:r>
          </w:p>
        </w:tc>
        <w:tc>
          <w:tcPr>
            <w:tcW w:w="4169" w:type="pct"/>
            <w:gridSpan w:val="3"/>
            <w:vAlign w:val="center"/>
          </w:tcPr>
          <w:p>
            <w:pPr>
              <w:adjustRightInd w:val="0"/>
              <w:ind w:firstLine="0" w:firstLineChars="0"/>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sym w:font="Wingdings" w:char="F0FE"/>
            </w:r>
            <w:r>
              <w:rPr>
                <w:rFonts w:eastAsiaTheme="minorEastAsia"/>
                <w:color w:val="000000" w:themeColor="text1"/>
                <w14:textFill>
                  <w14:solidFill>
                    <w14:schemeClr w14:val="tx1"/>
                  </w14:solidFill>
                </w14:textFill>
              </w:rPr>
              <w:t>否</w:t>
            </w:r>
          </w:p>
          <w:p>
            <w:pPr>
              <w:adjustRightInd w:val="0"/>
              <w:ind w:firstLine="0" w:firstLineChars="0"/>
              <w:textAlignment w:val="center"/>
              <w:rPr>
                <w:rFonts w:eastAsiaTheme="minorEastAsia"/>
                <w:color w:val="000000" w:themeColor="text1"/>
                <w:highlight w:val="yellow"/>
                <w:u w:val="single"/>
                <w14:textFill>
                  <w14:solidFill>
                    <w14:schemeClr w14:val="tx1"/>
                  </w14:solidFill>
                </w14:textFill>
              </w:rPr>
            </w:pPr>
            <w:r>
              <w:rPr>
                <w:rFonts w:eastAsiaTheme="minorEastAsia"/>
                <w:color w:val="000000" w:themeColor="text1"/>
                <w14:textFill>
                  <w14:solidFill>
                    <w14:schemeClr w14:val="tx1"/>
                  </w14:solidFill>
                </w14:textFill>
              </w:rPr>
              <w:sym w:font="Wingdings" w:char="F0A8"/>
            </w:r>
            <w:r>
              <w:rPr>
                <w:rFonts w:eastAsiaTheme="minorEastAsia"/>
                <w:color w:val="000000" w:themeColor="text1"/>
                <w14:textFill>
                  <w14:solidFill>
                    <w14:schemeClr w14:val="tx1"/>
                  </w14:solidFill>
                </w14:textFill>
              </w:rPr>
              <w:t>是：</w:t>
            </w:r>
            <w:r>
              <w:rPr>
                <w:rFonts w:eastAsiaTheme="minorEastAsia"/>
                <w:color w:val="000000" w:themeColor="text1"/>
                <w:u w:val="single"/>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48"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专项评价设置情况</w:t>
            </w:r>
          </w:p>
        </w:tc>
        <w:tc>
          <w:tcPr>
            <w:tcW w:w="4169" w:type="pct"/>
            <w:gridSpan w:val="3"/>
            <w:tcMar>
              <w:top w:w="16" w:type="dxa"/>
              <w:left w:w="16" w:type="dxa"/>
              <w:right w:w="16" w:type="dxa"/>
            </w:tcMar>
            <w:vAlign w:val="center"/>
          </w:tcPr>
          <w:p>
            <w:pPr>
              <w:widowControl/>
              <w:ind w:firstLine="480"/>
              <w:jc w:val="left"/>
              <w:rPr>
                <w:rFonts w:eastAsiaTheme="minorEastAsia"/>
                <w:color w:val="000000" w:themeColor="text1"/>
                <w:kern w:val="0"/>
                <w:lang w:bidi="ar"/>
                <w14:textFill>
                  <w14:solidFill>
                    <w14:schemeClr w14:val="tx1"/>
                  </w14:solidFill>
                </w14:textFill>
              </w:rPr>
            </w:pPr>
            <w:r>
              <w:rPr>
                <w:rFonts w:eastAsiaTheme="minorEastAsia"/>
                <w:color w:val="000000" w:themeColor="text1"/>
                <w:kern w:val="0"/>
                <w:lang w:bidi="ar"/>
                <w14:textFill>
                  <w14:solidFill>
                    <w14:schemeClr w14:val="tx1"/>
                  </w14:solidFill>
                </w14:textFill>
              </w:rPr>
              <w:t>本项目与建设项目生态环境影响报告表编制技术指南（生态影响类）（试行）专项评价设置情况对比见表1-1。</w:t>
            </w:r>
          </w:p>
          <w:p>
            <w:pPr>
              <w:widowControl/>
              <w:ind w:firstLine="480"/>
              <w:jc w:val="left"/>
              <w:rPr>
                <w:rFonts w:eastAsiaTheme="minorEastAsia"/>
                <w:color w:val="000000" w:themeColor="text1"/>
                <w:kern w:val="0"/>
                <w:lang w:bidi="ar"/>
                <w14:textFill>
                  <w14:solidFill>
                    <w14:schemeClr w14:val="tx1"/>
                  </w14:solidFill>
                </w14:textFill>
              </w:rPr>
            </w:pPr>
          </w:p>
          <w:p>
            <w:pPr>
              <w:pStyle w:val="80"/>
              <w:spacing w:before="159"/>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表1-1 专项评价设置原则表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
              <w:gridCol w:w="3301"/>
              <w:gridCol w:w="2387"/>
              <w:gridCol w:w="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617" w:type="pct"/>
                  <w:vAlign w:val="center"/>
                </w:tcPr>
                <w:p>
                  <w:pPr>
                    <w:widowControl/>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kern w:val="0"/>
                      <w:sz w:val="21"/>
                      <w:szCs w:val="21"/>
                      <w:lang w:bidi="ar"/>
                      <w14:textFill>
                        <w14:solidFill>
                          <w14:schemeClr w14:val="tx1"/>
                        </w14:solidFill>
                      </w14:textFill>
                    </w:rPr>
                    <w:t>专项评价的类别</w:t>
                  </w:r>
                </w:p>
              </w:tc>
              <w:tc>
                <w:tcPr>
                  <w:tcW w:w="2232" w:type="pct"/>
                  <w:vAlign w:val="center"/>
                </w:tcPr>
                <w:p>
                  <w:pPr>
                    <w:widowControl/>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kern w:val="0"/>
                      <w:sz w:val="21"/>
                      <w:szCs w:val="21"/>
                      <w:lang w:bidi="ar"/>
                      <w14:textFill>
                        <w14:solidFill>
                          <w14:schemeClr w14:val="tx1"/>
                        </w14:solidFill>
                      </w14:textFill>
                    </w:rPr>
                    <w:t>涉及项目类别</w:t>
                  </w:r>
                </w:p>
              </w:tc>
              <w:tc>
                <w:tcPr>
                  <w:tcW w:w="1614" w:type="pct"/>
                  <w:vAlign w:val="center"/>
                </w:tcPr>
                <w:p>
                  <w:pPr>
                    <w:widowControl/>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本项目</w:t>
                  </w:r>
                </w:p>
              </w:tc>
              <w:tc>
                <w:tcPr>
                  <w:tcW w:w="538" w:type="pct"/>
                  <w:vAlign w:val="center"/>
                </w:tcPr>
                <w:p>
                  <w:pPr>
                    <w:widowControl/>
                    <w:spacing w:line="240" w:lineRule="auto"/>
                    <w:ind w:firstLine="0" w:firstLineChars="0"/>
                    <w:jc w:val="center"/>
                    <w:rPr>
                      <w:rFonts w:eastAsiaTheme="minorEastAsia"/>
                      <w:b/>
                      <w:color w:val="000000" w:themeColor="text1"/>
                      <w:kern w:val="0"/>
                      <w:sz w:val="21"/>
                      <w:szCs w:val="21"/>
                      <w:lang w:bidi="ar"/>
                      <w14:textFill>
                        <w14:solidFill>
                          <w14:schemeClr w14:val="tx1"/>
                        </w14:solidFill>
                      </w14:textFill>
                    </w:rPr>
                  </w:pPr>
                  <w:r>
                    <w:rPr>
                      <w:rFonts w:eastAsiaTheme="minorEastAsia"/>
                      <w:b/>
                      <w:color w:val="000000" w:themeColor="text1"/>
                      <w:kern w:val="0"/>
                      <w:sz w:val="21"/>
                      <w:szCs w:val="21"/>
                      <w:lang w:bidi="ar"/>
                      <w14:textFill>
                        <w14:solidFill>
                          <w14:schemeClr w14:val="tx1"/>
                        </w14:solidFill>
                      </w14:textFill>
                    </w:rPr>
                    <w:t>是否设置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617"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地表水</w:t>
                  </w:r>
                </w:p>
              </w:tc>
              <w:tc>
                <w:tcPr>
                  <w:tcW w:w="2232" w:type="pct"/>
                  <w:vAlign w:val="center"/>
                </w:tcPr>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水力发电：引水式发电、涉及调峰发电的项目；</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人工湖、人工湿地：全部；</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水库：全部；</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引水工程：全部（配套的管线工程等除外）；</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防洪除涝工程：包含水库的项目；</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河湖整治：涉及清淤且底泥存在重金属污染的项目</w:t>
                  </w:r>
                </w:p>
              </w:tc>
              <w:tc>
                <w:tcPr>
                  <w:tcW w:w="1614" w:type="pct"/>
                  <w:vAlign w:val="center"/>
                </w:tcPr>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项目为127防洪除涝工程，新建河堤268米，修复水毁河堤56米。</w:t>
                  </w:r>
                  <w:r>
                    <w:rPr>
                      <w:rFonts w:eastAsiaTheme="minorEastAsia"/>
                      <w:b/>
                      <w:color w:val="000000" w:themeColor="text1"/>
                      <w:sz w:val="21"/>
                      <w:szCs w:val="21"/>
                      <w14:textFill>
                        <w14:solidFill>
                          <w14:schemeClr w14:val="tx1"/>
                        </w14:solidFill>
                      </w14:textFill>
                    </w:rPr>
                    <w:t>不涉及清淤。</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本项目不涉及水库，故无须设置地表水专项评价。</w:t>
                  </w:r>
                </w:p>
              </w:tc>
              <w:tc>
                <w:tcPr>
                  <w:tcW w:w="538"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617"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地下水</w:t>
                  </w:r>
                </w:p>
              </w:tc>
              <w:tc>
                <w:tcPr>
                  <w:tcW w:w="2232" w:type="pct"/>
                  <w:vAlign w:val="center"/>
                </w:tcPr>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陆地石油和天然气开采：全部；</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地下水（含矿泉水）开采：全部；</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水利、水电、交通等：含穿越可溶岩地层隧道的项目</w:t>
                  </w:r>
                </w:p>
              </w:tc>
              <w:tc>
                <w:tcPr>
                  <w:tcW w:w="1614"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不涉及</w:t>
                  </w:r>
                </w:p>
              </w:tc>
              <w:tc>
                <w:tcPr>
                  <w:tcW w:w="538"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617"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生态</w:t>
                  </w:r>
                </w:p>
              </w:tc>
              <w:tc>
                <w:tcPr>
                  <w:tcW w:w="2232" w:type="pct"/>
                  <w:vAlign w:val="center"/>
                </w:tcPr>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涉及环境敏感区（不包括饮用水水源保护区，以居住、医疗卫生、文化教育、科研、行政办公为主要功能的区域，以及文物保护单位）的项目</w:t>
                  </w:r>
                </w:p>
              </w:tc>
              <w:tc>
                <w:tcPr>
                  <w:tcW w:w="1614" w:type="pct"/>
                  <w:vAlign w:val="center"/>
                </w:tcPr>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项目为防洪除涝工程，根据《建设项目分类管理名录（2021年版）》，防洪除涝工程未设置相关敏感区，故本项目无须设置生态专项评价。</w:t>
                  </w:r>
                </w:p>
              </w:tc>
              <w:tc>
                <w:tcPr>
                  <w:tcW w:w="538"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617"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大气</w:t>
                  </w:r>
                </w:p>
              </w:tc>
              <w:tc>
                <w:tcPr>
                  <w:tcW w:w="2232" w:type="pct"/>
                  <w:vAlign w:val="center"/>
                </w:tcPr>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油气、液体化工码头：全部；</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干散货（含煤炭、矿石）、件杂、多用途、通用码头：涉及粉尘、挥发性有</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机物排放的项目</w:t>
                  </w:r>
                </w:p>
              </w:tc>
              <w:tc>
                <w:tcPr>
                  <w:tcW w:w="1614"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不涉及</w:t>
                  </w:r>
                </w:p>
              </w:tc>
              <w:tc>
                <w:tcPr>
                  <w:tcW w:w="538"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617"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噪声</w:t>
                  </w:r>
                </w:p>
              </w:tc>
              <w:tc>
                <w:tcPr>
                  <w:tcW w:w="2232" w:type="pct"/>
                  <w:vAlign w:val="center"/>
                </w:tcPr>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公路、铁路、机场等交通运输业涉及环境敏感区（以居住、医疗卫生、文化教育、科研、行政办公为主要功能的区域）的项目；</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城市道路（不含维护，不含支路、人行天桥、人行地道）：全部</w:t>
                  </w:r>
                </w:p>
              </w:tc>
              <w:tc>
                <w:tcPr>
                  <w:tcW w:w="1614"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不涉及</w:t>
                  </w:r>
                </w:p>
              </w:tc>
              <w:tc>
                <w:tcPr>
                  <w:tcW w:w="538"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617"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环境风险</w:t>
                  </w:r>
                </w:p>
              </w:tc>
              <w:tc>
                <w:tcPr>
                  <w:tcW w:w="2232" w:type="pct"/>
                  <w:vAlign w:val="center"/>
                </w:tcPr>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石油和天然气开采：全部；</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油气、液体化工码头：全部；</w:t>
                  </w:r>
                </w:p>
                <w:p>
                  <w:pPr>
                    <w:spacing w:line="240" w:lineRule="auto"/>
                    <w:ind w:firstLine="0" w:firstLineChars="0"/>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原油、成品油、天然气管线（不含城镇天然气管线、企业厂区内管线），危险化学品输送管线（不含企业厂区内管线）：全部</w:t>
                  </w:r>
                </w:p>
              </w:tc>
              <w:tc>
                <w:tcPr>
                  <w:tcW w:w="1614"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不涉及</w:t>
                  </w:r>
                </w:p>
              </w:tc>
              <w:tc>
                <w:tcPr>
                  <w:tcW w:w="538" w:type="pct"/>
                  <w:vAlign w:val="center"/>
                </w:tcPr>
                <w:p>
                  <w:pPr>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否</w:t>
                  </w:r>
                </w:p>
              </w:tc>
            </w:tr>
          </w:tbl>
          <w:p>
            <w:pPr>
              <w:adjustRightInd w:val="0"/>
              <w:ind w:firstLine="0" w:firstLineChars="0"/>
              <w:jc w:val="center"/>
              <w:textAlignment w:val="center"/>
              <w:rPr>
                <w:rFonts w:eastAsiaTheme="minorEastAsia"/>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00"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规划情况</w:t>
            </w:r>
          </w:p>
        </w:tc>
        <w:tc>
          <w:tcPr>
            <w:tcW w:w="4169" w:type="pct"/>
            <w:gridSpan w:val="3"/>
            <w:tcMar>
              <w:top w:w="16" w:type="dxa"/>
              <w:left w:w="16" w:type="dxa"/>
              <w:right w:w="16" w:type="dxa"/>
            </w:tcMar>
            <w:vAlign w:val="center"/>
          </w:tcPr>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1、规划名称：《岷江流域综合规划》；</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审批机关：中华人民共和国水利部；</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审批文件：《水利部关于岷江流域综合规划的批复》（水规计﹝2021﹞287号）。</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2、规划名称：《阿坝藏族羌族自治州防洪规划》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00" w:hRule="atLeast"/>
        </w:trPr>
        <w:tc>
          <w:tcPr>
            <w:tcW w:w="831" w:type="pct"/>
            <w:tcMar>
              <w:top w:w="16" w:type="dxa"/>
              <w:left w:w="16" w:type="dxa"/>
              <w:right w:w="16" w:type="dxa"/>
            </w:tcMar>
            <w:vAlign w:val="center"/>
          </w:tcPr>
          <w:p>
            <w:pPr>
              <w:adjustRightInd w:val="0"/>
              <w:ind w:firstLine="0" w:firstLineChars="0"/>
              <w:jc w:val="center"/>
              <w:textAlignment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规划环境影响评价情况</w:t>
            </w:r>
          </w:p>
        </w:tc>
        <w:tc>
          <w:tcPr>
            <w:tcW w:w="4169" w:type="pct"/>
            <w:gridSpan w:val="3"/>
            <w:tcMar>
              <w:top w:w="16" w:type="dxa"/>
              <w:left w:w="16" w:type="dxa"/>
              <w:right w:w="16" w:type="dxa"/>
            </w:tcMar>
            <w:vAlign w:val="center"/>
          </w:tcPr>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1、规划环评名称：《岷江流域综合规划环境影响报告书》；</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审批机关：中华人民共和国生态环境部；</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审批文件：关于《岷江流域综合规划环境影响报告书》的审查意见（环审﹝2020﹞126号）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00" w:hRule="atLeast"/>
        </w:trPr>
        <w:tc>
          <w:tcPr>
            <w:tcW w:w="831" w:type="pct"/>
            <w:tcMar>
              <w:top w:w="16" w:type="dxa"/>
              <w:left w:w="16" w:type="dxa"/>
              <w:right w:w="16" w:type="dxa"/>
            </w:tcMar>
            <w:vAlign w:val="center"/>
          </w:tcPr>
          <w:p>
            <w:pPr>
              <w:adjustRightInd w:val="0"/>
              <w:snapToGrid w:val="0"/>
              <w:ind w:firstLine="0" w:firstLineChars="0"/>
              <w:jc w:val="center"/>
              <w:textAlignment w:val="center"/>
              <w:rPr>
                <w:rFonts w:eastAsiaTheme="minorEastAsia"/>
                <w:color w:val="000000" w:themeColor="text1"/>
                <w:kern w:val="0"/>
                <w:szCs w:val="21"/>
                <w14:textFill>
                  <w14:solidFill>
                    <w14:schemeClr w14:val="tx1"/>
                  </w14:solidFill>
                </w14:textFill>
              </w:rPr>
            </w:pPr>
            <w:r>
              <w:rPr>
                <w:rFonts w:eastAsiaTheme="minorEastAsia"/>
                <w:color w:val="000000" w:themeColor="text1"/>
                <w14:textFill>
                  <w14:solidFill>
                    <w14:schemeClr w14:val="tx1"/>
                  </w14:solidFill>
                </w14:textFill>
              </w:rPr>
              <w:t>规划及规划环境影响评价符合性分析</w:t>
            </w:r>
          </w:p>
        </w:tc>
        <w:tc>
          <w:tcPr>
            <w:tcW w:w="4169" w:type="pct"/>
            <w:gridSpan w:val="3"/>
            <w:tcMar>
              <w:top w:w="16" w:type="dxa"/>
              <w:left w:w="16" w:type="dxa"/>
              <w:right w:w="16" w:type="dxa"/>
            </w:tcMar>
            <w:vAlign w:val="center"/>
          </w:tcPr>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1、项目与《岷江流域综合规划》符合性分析</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岷江流域综合规划工作始于2009年。长江委于2013年10月和2015年2月分别提出《岷江流域综合规划报告（送审稿）》和“报告修订稿”。2015年7月，水利部水规总院对“报告修订稿”进行了复审，将规划现状基准年确定为2013年。其后，长江委对“岷流规”进行了多次修改和征求地方政府、国家部委意见后，提出《岷江流域综合规划》（以下简称“岷流规”）。2021年水利部以水规计〔2021〕287号文予以批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岷江流域综合规划报告》，岷江干流上游以护岸和稳固滑坡体为主；中游以已建的紫坪铺水库为骨干，加强金马河段堤防建设，通过合理调度紫坪铺水库、都江堰灌溉枢纽控制工程、金马河段控制闸工程等，提高防洪能力；下游加强河道整治和护岸工程；青衣江以护岸和堤防建设为主；大渡河以瀑布沟水库为骨干，其他水库配合，通过合理调度，减轻乐山市等城市防洪压力，并根据长流规划要求分担长江中下游防洪任务；加强整个流域山洪灾害防治、中小河流治理及防洪非工程措施建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次拟建工程位于卡龙镇，为小黑水河干流，小黑水河是黑水河右岸一级支流，岷江二级支流。根据《岷江流域综合规划》岷江干流上游以护岸和稳固滑坡体为主，本项目为防洪除涝工程，主要为新建防洪堤，与《岷江流域综合规划》相符。</w:t>
            </w:r>
          </w:p>
          <w:p>
            <w:pPr>
              <w:pStyle w:val="78"/>
              <w:ind w:firstLine="482"/>
              <w:rPr>
                <w:rFonts w:hAnsi="Times New Roman" w:eastAsiaTheme="minorEastAsia"/>
                <w:b/>
                <w:bCs/>
                <w:color w:val="000000" w:themeColor="text1"/>
                <w14:textFill>
                  <w14:solidFill>
                    <w14:schemeClr w14:val="tx1"/>
                  </w14:solidFill>
                </w14:textFill>
              </w:rPr>
            </w:pPr>
            <w:r>
              <w:rPr>
                <w:rFonts w:hAnsi="Times New Roman" w:eastAsiaTheme="minorEastAsia"/>
                <w:b/>
                <w:bCs/>
                <w:color w:val="000000" w:themeColor="text1"/>
                <w14:textFill>
                  <w14:solidFill>
                    <w14:schemeClr w14:val="tx1"/>
                  </w14:solidFill>
                </w14:textFill>
              </w:rPr>
              <w:t>2、项目与《岷江流域综合规划环境影响报告书》的符合性分析</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2020年9月，生态环境部以“环审〔2020〕126号”文印发了《岷江流域综合规划环境影响报告书》审查意见。工程与规划环评审查意见总体要求的符合性见下表。</w:t>
            </w:r>
          </w:p>
          <w:p>
            <w:pPr>
              <w:pStyle w:val="81"/>
              <w:spacing w:before="159"/>
              <w:ind w:firstLine="4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表1-2 工程与岷江流域综合规划环评审查意见的符合性</w:t>
            </w:r>
          </w:p>
          <w:tbl>
            <w:tblPr>
              <w:tblStyle w:val="30"/>
              <w:tblW w:w="730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3459"/>
              <w:gridCol w:w="2682"/>
              <w:gridCol w:w="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序号</w:t>
                  </w:r>
                </w:p>
              </w:tc>
              <w:tc>
                <w:tcPr>
                  <w:tcW w:w="236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岷江流域规划环评审查意见要求</w:t>
                  </w:r>
                </w:p>
              </w:tc>
              <w:tc>
                <w:tcPr>
                  <w:tcW w:w="1837"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工程响应情况</w:t>
                  </w:r>
                </w:p>
              </w:tc>
              <w:tc>
                <w:tcPr>
                  <w:tcW w:w="51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2369"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坚持生态优先、绿色发展</w:t>
                  </w:r>
                  <w:r>
                    <w:rPr>
                      <w:rFonts w:eastAsiaTheme="minorEastAsia"/>
                      <w:color w:val="000000" w:themeColor="text1"/>
                      <w:sz w:val="21"/>
                      <w:szCs w:val="21"/>
                      <w14:textFill>
                        <w14:solidFill>
                          <w14:schemeClr w14:val="tx1"/>
                        </w14:solidFill>
                      </w14:textFill>
                    </w:rPr>
                    <w:t>的理念。加强流域整体性保护，充分与四川、青海“三线一单”成果相衔接，从维护流域生态安全屏障和生态功能、格局稳定角度，</w:t>
                  </w:r>
                  <w:r>
                    <w:rPr>
                      <w:rFonts w:hint="eastAsia" w:eastAsiaTheme="minorEastAsia"/>
                      <w:color w:val="000000" w:themeColor="text1"/>
                      <w:sz w:val="21"/>
                      <w:szCs w:val="21"/>
                      <w:lang w:eastAsia="zh-CN"/>
                      <w14:textFill>
                        <w14:solidFill>
                          <w14:schemeClr w14:val="tx1"/>
                        </w14:solidFill>
                      </w14:textFill>
                    </w:rPr>
                    <w:t>加强生态环境保护</w:t>
                  </w:r>
                  <w:r>
                    <w:rPr>
                      <w:rFonts w:eastAsiaTheme="minorEastAsia"/>
                      <w:color w:val="000000" w:themeColor="text1"/>
                      <w:sz w:val="21"/>
                      <w:szCs w:val="21"/>
                      <w14:textFill>
                        <w14:solidFill>
                          <w14:schemeClr w14:val="tx1"/>
                        </w14:solidFill>
                      </w14:textFill>
                    </w:rPr>
                    <w:t>，推进流域生态环境整体性修复，强化流域世界遗产地、珍稀特有鱼类栖息地等重要生态环境敏感区及文物保护单位的保护要求，将生态环境保护与修复作为《规划》的优先任务，作为《规划》实施的硬约束，纳入相关河湖长履职情况督察、考核重要内容</w:t>
                  </w:r>
                </w:p>
              </w:tc>
              <w:tc>
                <w:tcPr>
                  <w:tcW w:w="1837"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（1）工程建设符合四川省“生态环境分区管控”的管控要求；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（2）工程不涉及世界遗产地、珍稀特有鱼类栖息地等重要生态环境敏感区，项目建设完成后可有效提高黑水县卡龙镇才盖村段河道防洪能力，具有良好的生态正效益</w:t>
                  </w:r>
                </w:p>
              </w:tc>
              <w:tc>
                <w:tcPr>
                  <w:tcW w:w="51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w:t>
                  </w:r>
                </w:p>
              </w:tc>
              <w:tc>
                <w:tcPr>
                  <w:tcW w:w="2369"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加强流域干支流生态环境保护与修复，严守生态保护红线、严控流域及重点河段污染物总量，严格生态环境准入要求，优化规划各开发任务，切实维护流域生物多样性保护、水源涵养等重要功能，确保流域生态安全</w:t>
                  </w:r>
                </w:p>
              </w:tc>
              <w:tc>
                <w:tcPr>
                  <w:tcW w:w="1837"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（1）工程不涉及四川省生态保护红线；</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（2）项目为防洪除涝工程，运营期无污染物产生及排放；</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（3）工程对流域生物多样性、水源涵养等重要生态功能不会产生明显不利影响，且项目建设完成后对改善当地水环境呈正效应</w:t>
                  </w:r>
                </w:p>
              </w:tc>
              <w:tc>
                <w:tcPr>
                  <w:tcW w:w="51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2369"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严格限制流域开发强度，优化开发方案。深入论证供水、灌溉任务目标和规划开发方案的合理性，合理设置供水、灌溉规划目标，系统优化供水、灌溉等重点工程的规模、布局</w:t>
                  </w:r>
                </w:p>
              </w:tc>
              <w:tc>
                <w:tcPr>
                  <w:tcW w:w="1837"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项目为防洪除涝工程，不涉及水资源的开发利用</w:t>
                  </w:r>
                </w:p>
              </w:tc>
              <w:tc>
                <w:tcPr>
                  <w:tcW w:w="51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w:t>
                  </w:r>
                </w:p>
              </w:tc>
              <w:tc>
                <w:tcPr>
                  <w:tcW w:w="2369"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加强流域生态保护和修复，进一步完善规划生态保护和修复内容。加强流域重要水利枢纽生态调度，保障重要控制断面生态流量和敏感期生态需水，以及内江平原水网区生态流量。加快实施流域小水电清理整顿工作。</w:t>
                  </w:r>
                </w:p>
              </w:tc>
              <w:tc>
                <w:tcPr>
                  <w:tcW w:w="1837"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项目为防洪除涝工程，不涉及水资源的开发利用，项目建设完成后对改善当地水环境呈正效应</w:t>
                  </w:r>
                </w:p>
              </w:tc>
              <w:tc>
                <w:tcPr>
                  <w:tcW w:w="51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w:t>
                  </w:r>
                </w:p>
              </w:tc>
              <w:tc>
                <w:tcPr>
                  <w:tcW w:w="2369"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强化流域水环境综合整治。加强岷江干支流水环境治理，强化流域污废水处理工程和管理措施，严格控制入河污染物排放总量。岷江中下游河段加强工业和生活污水治理，以及府河、南河、杨柳河、泥溪河、茫溪河、沐川河和龙溪河等支流水污染综合治理；污染较重河段禁止新建重污染型企业，制订饮用水水源地保护方案，确保饮用水水源保护区水质安全和流域水质改善</w:t>
                  </w:r>
                </w:p>
              </w:tc>
              <w:tc>
                <w:tcPr>
                  <w:tcW w:w="1837"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项目为防洪除涝工程，运营期无污染物产生及排放，项目建设不涉及饮用水水源地保护区</w:t>
                  </w:r>
                </w:p>
              </w:tc>
              <w:tc>
                <w:tcPr>
                  <w:tcW w:w="51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w:t>
                  </w:r>
                </w:p>
              </w:tc>
              <w:tc>
                <w:tcPr>
                  <w:tcW w:w="2369"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全面推进河湖长制，加强流域综合管理，健全长效机制。落实干支流</w:t>
                  </w:r>
                  <w:r>
                    <w:rPr>
                      <w:rFonts w:hint="eastAsia" w:eastAsiaTheme="minorEastAsia"/>
                      <w:color w:val="000000" w:themeColor="text1"/>
                      <w:sz w:val="21"/>
                      <w:szCs w:val="21"/>
                      <w:lang w:eastAsia="zh-CN"/>
                      <w14:textFill>
                        <w14:solidFill>
                          <w14:schemeClr w14:val="tx1"/>
                        </w14:solidFill>
                      </w14:textFill>
                    </w:rPr>
                    <w:t>生态保护</w:t>
                  </w:r>
                  <w:r>
                    <w:rPr>
                      <w:rFonts w:eastAsiaTheme="minorEastAsia"/>
                      <w:color w:val="000000" w:themeColor="text1"/>
                      <w:sz w:val="21"/>
                      <w:szCs w:val="21"/>
                      <w14:textFill>
                        <w14:solidFill>
                          <w14:schemeClr w14:val="tx1"/>
                        </w14:solidFill>
                      </w14:textFill>
                    </w:rPr>
                    <w:t>、污染治理任务，建立健全水文、水环境、生态流量、水陆生生态等监测体系，根据动态监测情况，落实和完善环境保护对策措施</w:t>
                  </w:r>
                </w:p>
              </w:tc>
              <w:tc>
                <w:tcPr>
                  <w:tcW w:w="1837"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项目为防洪除涝工程，运营期无污染物产生及排放，项目建设完成后对改善当地水环境呈正效应。</w:t>
                  </w:r>
                </w:p>
              </w:tc>
              <w:tc>
                <w:tcPr>
                  <w:tcW w:w="51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bl>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综上工程总体符合《岷江流域综合规划环境影响报告书》 及其审查意见。</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3、</w:t>
            </w:r>
            <w:r>
              <w:rPr>
                <w:rFonts w:eastAsiaTheme="minorEastAsia"/>
                <w:b/>
                <w:bCs/>
                <w:color w:val="000000" w:themeColor="text1"/>
                <w:szCs w:val="21"/>
                <w14:textFill>
                  <w14:solidFill>
                    <w14:schemeClr w14:val="tx1"/>
                  </w14:solidFill>
                </w14:textFill>
              </w:rPr>
              <w:t>项目与</w:t>
            </w:r>
            <w:bookmarkStart w:id="9" w:name="OLE_LINK13"/>
            <w:bookmarkStart w:id="10" w:name="OLE_LINK12"/>
            <w:r>
              <w:rPr>
                <w:rFonts w:eastAsiaTheme="minorEastAsia"/>
                <w:b/>
                <w:bCs/>
                <w:color w:val="000000" w:themeColor="text1"/>
                <w:szCs w:val="21"/>
                <w14:textFill>
                  <w14:solidFill>
                    <w14:schemeClr w14:val="tx1"/>
                  </w14:solidFill>
                </w14:textFill>
              </w:rPr>
              <w:t>《阿坝藏族羌族自治州</w:t>
            </w:r>
            <w:r>
              <w:rPr>
                <w:rFonts w:eastAsiaTheme="minorEastAsia"/>
                <w:b/>
                <w:color w:val="000000" w:themeColor="text1"/>
                <w14:textFill>
                  <w14:solidFill>
                    <w14:schemeClr w14:val="tx1"/>
                  </w14:solidFill>
                </w14:textFill>
              </w:rPr>
              <w:t>防洪规划</w:t>
            </w:r>
            <w:r>
              <w:rPr>
                <w:rFonts w:eastAsiaTheme="minorEastAsia"/>
                <w:b/>
                <w:bCs/>
                <w:color w:val="000000" w:themeColor="text1"/>
                <w:szCs w:val="21"/>
                <w14:textFill>
                  <w14:solidFill>
                    <w14:schemeClr w14:val="tx1"/>
                  </w14:solidFill>
                </w14:textFill>
              </w:rPr>
              <w:t>》</w:t>
            </w:r>
            <w:bookmarkEnd w:id="9"/>
            <w:bookmarkEnd w:id="10"/>
            <w:r>
              <w:rPr>
                <w:rFonts w:eastAsiaTheme="minorEastAsia"/>
                <w:b/>
                <w:bCs/>
                <w:color w:val="000000" w:themeColor="text1"/>
                <w:szCs w:val="21"/>
                <w14:textFill>
                  <w14:solidFill>
                    <w14:schemeClr w14:val="tx1"/>
                  </w14:solidFill>
                </w14:textFill>
              </w:rPr>
              <w:t>符合性分析</w:t>
            </w:r>
          </w:p>
          <w:p>
            <w:pPr>
              <w:ind w:firstLine="480"/>
              <w:rPr>
                <w:rFonts w:eastAsiaTheme="minorEastAsia"/>
                <w:color w:val="000000" w:themeColor="text1"/>
                <w14:textFill>
                  <w14:solidFill>
                    <w14:schemeClr w14:val="tx1"/>
                  </w14:solidFill>
                </w14:textFill>
              </w:rPr>
            </w:pPr>
            <w:r>
              <w:rPr>
                <w:rFonts w:eastAsiaTheme="minorEastAsia"/>
                <w:bCs/>
                <w:color w:val="000000" w:themeColor="text1"/>
                <w:szCs w:val="21"/>
                <w14:textFill>
                  <w14:solidFill>
                    <w14:schemeClr w14:val="tx1"/>
                  </w14:solidFill>
                </w14:textFill>
              </w:rPr>
              <w:t>根据《阿坝藏族羌族自治州</w:t>
            </w:r>
            <w:r>
              <w:rPr>
                <w:rFonts w:eastAsiaTheme="minorEastAsia"/>
                <w:color w:val="000000" w:themeColor="text1"/>
                <w14:textFill>
                  <w14:solidFill>
                    <w14:schemeClr w14:val="tx1"/>
                  </w14:solidFill>
                </w14:textFill>
              </w:rPr>
              <w:t>防洪规划</w:t>
            </w:r>
            <w:r>
              <w:rPr>
                <w:rFonts w:eastAsiaTheme="minorEastAsia"/>
                <w:bCs/>
                <w:color w:val="000000" w:themeColor="text1"/>
                <w:szCs w:val="21"/>
                <w14:textFill>
                  <w14:solidFill>
                    <w14:schemeClr w14:val="tx1"/>
                  </w14:solidFill>
                </w14:textFill>
              </w:rPr>
              <w:t>》，</w:t>
            </w:r>
            <w:r>
              <w:rPr>
                <w:rFonts w:eastAsiaTheme="minorEastAsia"/>
                <w:color w:val="000000" w:themeColor="text1"/>
                <w14:textFill>
                  <w14:solidFill>
                    <w14:schemeClr w14:val="tx1"/>
                  </w14:solidFill>
                </w14:textFill>
              </w:rPr>
              <w:t>岷江、大渡河、嘉陵江、涪江流域通过达标建设堤防、护岸工程，增强洪水归槽、防止侵蚀河岸的行洪能力，对在地震、泥石流和洪涝灾害中损毁的防洪工程进行修复，巩固行洪河道两岸堤防，疏通或扩大洪水出路，控制或降低洪水位，完善岷江、大渡河、嘉陵江、涪江四大流域单元洪水归槽入河、畅通行洪通道，逐步完善各县市的防洪工程建设，使其形成完整的防洪封闭圈，构建达标可靠的防洪安全体系；同时利用其他规划建设的水库和已建的电站水库，加强防洪联合调度，预留超标洪水防御弹性空间，完善长江流域综合防洪体系，确保下游重点防洪对象的安全；治理山洪沟，重点整治反复受灾或灾损严重的山洪沟，提高安全防范标准，通过采用现代化科技手段，进一步完善“预报、预警、预演、预案”四预措施，提升防灾减灾能力与水平。</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次拟建工程位于卡龙镇，为小黑水河干流，小黑水河是黑水河右岸一级支流，岷江二级支流。工程河段大多为天然河岸，防洪能力严重不足，汛期洪水对两岸居民的生命财产安全造成严重威胁。本工程的实施能有效提高工程河段的防洪减灾能力，完善当地防洪体系，保护沿线居民的生命财产安全，保障区域经济社会的可持续发展，与《阿坝藏族羌族自治州防洪规划》相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9" w:hRule="atLeast"/>
        </w:trPr>
        <w:tc>
          <w:tcPr>
            <w:tcW w:w="831" w:type="pct"/>
            <w:tcMar>
              <w:top w:w="16" w:type="dxa"/>
              <w:left w:w="16" w:type="dxa"/>
              <w:right w:w="16" w:type="dxa"/>
            </w:tcMar>
            <w:vAlign w:val="center"/>
          </w:tcPr>
          <w:p>
            <w:pPr>
              <w:autoSpaceDE w:val="0"/>
              <w:autoSpaceDN w:val="0"/>
              <w:adjustRightInd w:val="0"/>
              <w:snapToGrid w:val="0"/>
              <w:ind w:firstLine="0" w:firstLineChars="0"/>
              <w:jc w:val="center"/>
              <w:rPr>
                <w:rFonts w:eastAsiaTheme="minorEastAsia"/>
                <w:color w:val="000000" w:themeColor="text1"/>
                <w:kern w:val="0"/>
                <w:szCs w:val="21"/>
                <w14:textFill>
                  <w14:solidFill>
                    <w14:schemeClr w14:val="tx1"/>
                  </w14:solidFill>
                </w14:textFill>
              </w:rPr>
            </w:pPr>
            <w:bookmarkStart w:id="11" w:name="_Hlk56690880"/>
            <w:r>
              <w:rPr>
                <w:rFonts w:eastAsiaTheme="minorEastAsia"/>
                <w:color w:val="000000" w:themeColor="text1"/>
                <w14:textFill>
                  <w14:solidFill>
                    <w14:schemeClr w14:val="tx1"/>
                  </w14:solidFill>
                </w14:textFill>
              </w:rPr>
              <w:t>其他符合性分析</w:t>
            </w:r>
            <w:bookmarkEnd w:id="11"/>
          </w:p>
        </w:tc>
        <w:tc>
          <w:tcPr>
            <w:tcW w:w="4169" w:type="pct"/>
            <w:gridSpan w:val="3"/>
            <w:tcMar>
              <w:top w:w="16" w:type="dxa"/>
              <w:left w:w="16" w:type="dxa"/>
              <w:right w:w="16" w:type="dxa"/>
            </w:tcMar>
            <w:vAlign w:val="center"/>
          </w:tcPr>
          <w:p>
            <w:pPr>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1、项目产业政策符合性分析</w:t>
            </w:r>
          </w:p>
          <w:p>
            <w:pPr>
              <w:pStyle w:val="53"/>
              <w:numPr>
                <w:ilvl w:val="0"/>
                <w:numId w:val="2"/>
              </w:numPr>
              <w:adjustRightInd/>
              <w:snapToGrid/>
              <w:ind w:firstLine="480" w:firstLineChars="0"/>
              <w:rPr>
                <w:rFonts w:eastAsiaTheme="minorEastAsia"/>
                <w:color w:val="000000" w:themeColor="text1"/>
                <w:kern w:val="1"/>
                <w14:textFill>
                  <w14:solidFill>
                    <w14:schemeClr w14:val="tx1"/>
                  </w14:solidFill>
                </w14:textFill>
              </w:rPr>
            </w:pPr>
            <w:r>
              <w:rPr>
                <w:rFonts w:eastAsiaTheme="minorEastAsia"/>
                <w:color w:val="000000" w:themeColor="text1"/>
                <w14:textFill>
                  <w14:solidFill>
                    <w14:schemeClr w14:val="tx1"/>
                  </w14:solidFill>
                </w14:textFill>
              </w:rPr>
              <w:t>根据《国民经济行业分类》（GB/T 4754-2017），本项目</w:t>
            </w:r>
            <w:r>
              <w:rPr>
                <w:rFonts w:eastAsiaTheme="minorEastAsia"/>
                <w:color w:val="000000" w:themeColor="text1"/>
                <w:kern w:val="1"/>
                <w14:textFill>
                  <w14:solidFill>
                    <w14:schemeClr w14:val="tx1"/>
                  </w14:solidFill>
                </w14:textFill>
              </w:rPr>
              <w:t>属于“建筑业——土木工程建筑业——河湖治理及防洪设施工程建筑”，行业代码为E4822。</w:t>
            </w:r>
            <w:bookmarkStart w:id="12" w:name="OLE_LINK6"/>
            <w:bookmarkStart w:id="13" w:name="OLE_LINK10"/>
            <w:r>
              <w:rPr>
                <w:rFonts w:eastAsiaTheme="minorEastAsia"/>
                <w:color w:val="000000" w:themeColor="text1"/>
                <w14:textFill>
                  <w14:solidFill>
                    <w14:schemeClr w14:val="tx1"/>
                  </w14:solidFill>
                </w14:textFill>
              </w:rPr>
              <w:t>根据《产业结构调整指导目录》（2024年本）</w:t>
            </w:r>
            <w:bookmarkEnd w:id="12"/>
            <w:bookmarkEnd w:id="13"/>
            <w:r>
              <w:rPr>
                <w:rFonts w:eastAsiaTheme="minorEastAsia"/>
                <w:color w:val="000000" w:themeColor="text1"/>
                <w14:textFill>
                  <w14:solidFill>
                    <w14:schemeClr w14:val="tx1"/>
                  </w14:solidFill>
                </w14:textFill>
              </w:rPr>
              <w:t>的要求，本项目河堤工程属于鼓励类中第二项“水利”中的第3款“防洪提升工程中 防洪工程，</w:t>
            </w:r>
            <w:r>
              <w:rPr>
                <w:rFonts w:eastAsiaTheme="minorEastAsia"/>
                <w:b/>
                <w:bCs/>
                <w:color w:val="000000" w:themeColor="text1"/>
                <w14:textFill>
                  <w14:solidFill>
                    <w14:schemeClr w14:val="tx1"/>
                  </w14:solidFill>
                </w14:textFill>
              </w:rPr>
              <w:t>本项目属于鼓励类项目</w:t>
            </w:r>
            <w:r>
              <w:rPr>
                <w:rFonts w:eastAsiaTheme="minorEastAsia"/>
                <w:color w:val="000000" w:themeColor="text1"/>
                <w:kern w:val="1"/>
                <w14:textFill>
                  <w14:solidFill>
                    <w14:schemeClr w14:val="tx1"/>
                  </w14:solidFill>
                </w14:textFill>
              </w:rPr>
              <w:t>，因此，本项目建设符合国家产业政策要求。</w:t>
            </w:r>
          </w:p>
          <w:p>
            <w:pPr>
              <w:ind w:firstLine="480"/>
              <w:rPr>
                <w:rFonts w:eastAsiaTheme="minorEastAsia"/>
                <w:bCs/>
                <w:color w:val="000000" w:themeColor="text1"/>
                <w14:textFill>
                  <w14:solidFill>
                    <w14:schemeClr w14:val="tx1"/>
                  </w14:solidFill>
                </w14:textFill>
              </w:rPr>
            </w:pPr>
            <w:r>
              <w:rPr>
                <w:rFonts w:eastAsiaTheme="minorEastAsia"/>
                <w:bCs/>
                <w:color w:val="000000" w:themeColor="text1"/>
                <w14:textFill>
                  <w14:solidFill>
                    <w14:schemeClr w14:val="tx1"/>
                  </w14:solidFill>
                </w14:textFill>
              </w:rPr>
              <w:t>（2）2025年2月20日，项目取得黑水县发展改革和经信商务局《关于黑水县卡龙镇才盖村基础设施提升建设项目可行性研究报告的批复》（黑发经商行审[2025]7号），同意本项目实施。</w:t>
            </w:r>
          </w:p>
          <w:p>
            <w:pPr>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因此，本项目符合国家现行产业政策。</w:t>
            </w:r>
          </w:p>
          <w:p>
            <w:pPr>
              <w:autoSpaceDE w:val="0"/>
              <w:autoSpaceDN w:val="0"/>
              <w:ind w:firstLine="482"/>
              <w:jc w:val="left"/>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2、用地规划符合性</w:t>
            </w:r>
          </w:p>
          <w:p>
            <w:pPr>
              <w:ind w:firstLine="480"/>
              <w:rPr>
                <w:rFonts w:eastAsiaTheme="minorEastAsia"/>
                <w:color w:val="000000" w:themeColor="text1"/>
                <w14:textFill>
                  <w14:solidFill>
                    <w14:schemeClr w14:val="tx1"/>
                  </w14:solidFill>
                </w14:textFill>
              </w:rPr>
            </w:pPr>
            <w:r>
              <w:rPr>
                <w:rFonts w:eastAsiaTheme="minorEastAsia"/>
                <w:bCs/>
                <w:color w:val="000000" w:themeColor="text1"/>
                <w14:textFill>
                  <w14:solidFill>
                    <w14:schemeClr w14:val="tx1"/>
                  </w14:solidFill>
                </w14:textFill>
              </w:rPr>
              <w:t>项目用地取得了黑水县自然资源局出具的《关于申请办理黑水县卡龙镇才盖村基础设施提升建设项目用地预审和选址意见的复函》（黑自然资函〔2025〕17号）</w:t>
            </w:r>
            <w:r>
              <w:rPr>
                <w:rFonts w:eastAsiaTheme="minorEastAsia"/>
                <w:color w:val="000000" w:themeColor="text1"/>
                <w14:textFill>
                  <w14:solidFill>
                    <w14:schemeClr w14:val="tx1"/>
                  </w14:solidFill>
                </w14:textFill>
              </w:rPr>
              <w:t>，详见附件6。</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黑水县林业和草原局关于核实《黑水县卡龙镇才盖村基础设施提升建设项目林地、草地、自然保护地、湿地和退耕还林地相关情况的函》的复函（黑林草函〔2025〕2号），详见附件7。项目新建、修复河堤不涉及占用林地、草地，不涉及占用湿地，不涉及使用退耕地。</w:t>
            </w:r>
          </w:p>
          <w:p>
            <w:pPr>
              <w:pStyle w:val="4"/>
              <w:ind w:firstLine="482"/>
              <w:rPr>
                <w:rFonts w:eastAsiaTheme="minorEastAsia"/>
                <w:color w:val="000000" w:themeColor="text1"/>
                <w14:textFill>
                  <w14:solidFill>
                    <w14:schemeClr w14:val="tx1"/>
                  </w14:solidFill>
                </w14:textFill>
              </w:rPr>
            </w:pPr>
            <w:r>
              <w:rPr>
                <w:rFonts w:eastAsiaTheme="minorEastAsia"/>
                <w:bCs/>
                <w:color w:val="000000" w:themeColor="text1"/>
                <w:szCs w:val="21"/>
                <w14:textFill>
                  <w14:solidFill>
                    <w14:schemeClr w14:val="tx1"/>
                  </w14:solidFill>
                </w14:textFill>
              </w:rPr>
              <w:t>3、</w:t>
            </w:r>
            <w:r>
              <w:rPr>
                <w:rFonts w:eastAsiaTheme="minorEastAsia"/>
                <w:color w:val="000000" w:themeColor="text1"/>
                <w14:textFill>
                  <w14:solidFill>
                    <w14:schemeClr w14:val="tx1"/>
                  </w14:solidFill>
                </w14:textFill>
              </w:rPr>
              <w:t>与《水利建设项目（河湖整治与防洪除涝工程）环境影响评价文件审批原则》的符合性分析</w:t>
            </w:r>
          </w:p>
          <w:p>
            <w:pPr>
              <w:pStyle w:val="13"/>
              <w:spacing w:after="0"/>
              <w:ind w:firstLine="480"/>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根据2018年1月4日生态环境部（原环境保护部）办公厅《关于印发机场、港口、水利（河湖整治与防洪除涝工程）三个行业建设项目环境影响评价文件审批原则的通知》（环办环评〔2018〕2号）规定。本工程属于规定中的防洪除涝工程，经查询，本工程符合《水利建设项目（河湖整治与防洪除涝工程）环境影响评价文件审批原则（试行）》要求。</w:t>
            </w:r>
          </w:p>
          <w:p>
            <w:pPr>
              <w:pStyle w:val="80"/>
              <w:spacing w:before="159"/>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表1-3 本工程与《水利建设项目（河湖整治与防洪除涝工程）环境影响评价文件审批原则》符合性对比表</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69"/>
              <w:gridCol w:w="2606"/>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13"/>
                    <w:spacing w:after="0" w:line="240" w:lineRule="auto"/>
                    <w:ind w:firstLine="0" w:firstLineChars="0"/>
                    <w:jc w:val="center"/>
                    <w:rPr>
                      <w:rFonts w:ascii="Times New Roman" w:hAnsi="Times New Roman" w:eastAsiaTheme="minorEastAsia"/>
                      <w:b/>
                      <w:color w:val="000000" w:themeColor="text1"/>
                      <w:sz w:val="21"/>
                      <w:szCs w:val="21"/>
                      <w14:textFill>
                        <w14:solidFill>
                          <w14:schemeClr w14:val="tx1"/>
                        </w14:solidFill>
                      </w14:textFill>
                    </w:rPr>
                  </w:pPr>
                  <w:r>
                    <w:rPr>
                      <w:rFonts w:ascii="Times New Roman" w:hAnsi="Times New Roman" w:eastAsiaTheme="minorEastAsia"/>
                      <w:b/>
                      <w:color w:val="000000" w:themeColor="text1"/>
                      <w:sz w:val="21"/>
                      <w:szCs w:val="21"/>
                      <w14:textFill>
                        <w14:solidFill>
                          <w14:schemeClr w14:val="tx1"/>
                        </w14:solidFill>
                      </w14:textFill>
                    </w:rPr>
                    <w:t>审批原则</w:t>
                  </w:r>
                </w:p>
              </w:tc>
              <w:tc>
                <w:tcPr>
                  <w:tcW w:w="2578" w:type="dxa"/>
                  <w:vAlign w:val="center"/>
                </w:tcPr>
                <w:p>
                  <w:pPr>
                    <w:pStyle w:val="13"/>
                    <w:spacing w:after="0" w:line="240" w:lineRule="auto"/>
                    <w:ind w:firstLine="0" w:firstLineChars="0"/>
                    <w:jc w:val="center"/>
                    <w:rPr>
                      <w:rFonts w:ascii="Times New Roman" w:hAnsi="Times New Roman" w:eastAsiaTheme="minorEastAsia"/>
                      <w:b/>
                      <w:color w:val="000000" w:themeColor="text1"/>
                      <w:sz w:val="21"/>
                      <w:szCs w:val="21"/>
                      <w14:textFill>
                        <w14:solidFill>
                          <w14:schemeClr w14:val="tx1"/>
                        </w14:solidFill>
                      </w14:textFill>
                    </w:rPr>
                  </w:pPr>
                  <w:r>
                    <w:rPr>
                      <w:rFonts w:ascii="Times New Roman" w:hAnsi="Times New Roman" w:eastAsiaTheme="minorEastAsia"/>
                      <w:b/>
                      <w:color w:val="000000" w:themeColor="text1"/>
                      <w:sz w:val="21"/>
                      <w:szCs w:val="21"/>
                      <w14:textFill>
                        <w14:solidFill>
                          <w14:schemeClr w14:val="tx1"/>
                        </w14:solidFill>
                      </w14:textFill>
                    </w:rPr>
                    <w:t>本项目情况</w:t>
                  </w:r>
                </w:p>
              </w:tc>
              <w:tc>
                <w:tcPr>
                  <w:tcW w:w="1304" w:type="dxa"/>
                  <w:vAlign w:val="center"/>
                </w:tcPr>
                <w:p>
                  <w:pPr>
                    <w:pStyle w:val="13"/>
                    <w:spacing w:after="0" w:line="240" w:lineRule="auto"/>
                    <w:ind w:firstLine="0" w:firstLineChars="0"/>
                    <w:jc w:val="center"/>
                    <w:rPr>
                      <w:rFonts w:ascii="Times New Roman" w:hAnsi="Times New Roman" w:eastAsiaTheme="minorEastAsia"/>
                      <w:b/>
                      <w:color w:val="000000" w:themeColor="text1"/>
                      <w:sz w:val="21"/>
                      <w:szCs w:val="21"/>
                      <w14:textFill>
                        <w14:solidFill>
                          <w14:schemeClr w14:val="tx1"/>
                        </w14:solidFill>
                      </w14:textFill>
                    </w:rPr>
                  </w:pPr>
                  <w:r>
                    <w:rPr>
                      <w:rFonts w:ascii="Times New Roman" w:hAnsi="Times New Roman" w:eastAsiaTheme="minorEastAsia"/>
                      <w:b/>
                      <w:color w:val="000000" w:themeColor="text1"/>
                      <w:sz w:val="21"/>
                      <w:szCs w:val="21"/>
                      <w14:textFill>
                        <w14:solidFill>
                          <w14:schemeClr w14:val="tx1"/>
                        </w14:solidFill>
                      </w14:textFill>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一条本原则适用于河湖整治与防洪除涝工程环境影响评价文件的审批，工程建设内容包括疏浚、堤防建设、闸坝闸站建设、岸线治理、水系连通、蓄（滞）洪区建设、排涝治理等（引调水、防洪水库等水利枢纽工程除外）。其他类似工程可参照执行。</w:t>
                  </w:r>
                </w:p>
              </w:tc>
              <w:tc>
                <w:tcPr>
                  <w:tcW w:w="2578" w:type="dxa"/>
                  <w:vAlign w:val="center"/>
                </w:tcPr>
                <w:p>
                  <w:pPr>
                    <w:pStyle w:val="13"/>
                    <w:spacing w:after="0"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项目新建、修复河堤属于堤防建设，符合适用原则。</w:t>
                  </w:r>
                </w:p>
              </w:tc>
              <w:tc>
                <w:tcPr>
                  <w:tcW w:w="1304" w:type="dxa"/>
                  <w:vAlign w:val="center"/>
                </w:tcPr>
                <w:p>
                  <w:pPr>
                    <w:pStyle w:val="13"/>
                    <w:spacing w:after="0" w:line="240" w:lineRule="auto"/>
                    <w:ind w:firstLine="0" w:firstLineChars="0"/>
                    <w:jc w:val="center"/>
                    <w:rPr>
                      <w:rFonts w:ascii="Times New Roman" w:hAnsi="Times New Roman" w:eastAsiaTheme="minorEastAsia"/>
                      <w:b/>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二条项目符合环境保护相关法律法规和政策要求，与主体功能区规划、生态功能区划、水环境功能区划、水功能区划、生态环境保护规划、流域综合规划、防洪规划等相协调，满足相关规划环评要求。工程涉及岸线调整（治导线变化）、裁弯取直、围垦水面和占用河湖滩地等建设内容的，充分论证了方案环境可行性，最大程度保持了河湖自然形态，最大限度维护了河湖健康、生态系统功能和生物多样性。</w:t>
                  </w:r>
                </w:p>
              </w:tc>
              <w:tc>
                <w:tcPr>
                  <w:tcW w:w="2578" w:type="dxa"/>
                  <w:vAlign w:val="center"/>
                </w:tcPr>
                <w:p>
                  <w:pPr>
                    <w:pStyle w:val="13"/>
                    <w:spacing w:after="0" w:line="240" w:lineRule="auto"/>
                    <w:ind w:firstLine="0" w:firstLineChars="0"/>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项目新建、修复河堤符合环境保护相关法律法规和规划要求，修建堤防基本沿原河岸平顺布置，保持黑水河自然形态，符合审批原则。</w:t>
                  </w:r>
                </w:p>
              </w:tc>
              <w:tc>
                <w:tcPr>
                  <w:tcW w:w="1304" w:type="dxa"/>
                  <w:vAlign w:val="center"/>
                </w:tcPr>
                <w:p>
                  <w:pPr>
                    <w:pStyle w:val="13"/>
                    <w:spacing w:after="0"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三条工程选址选线、施工布置原则上不占用自然保护区、风景名胜区、世界文化和自然遗产地以及其他生态保护红线等环境敏感区中法律法规禁止占用的区域，并与饮用水水源保护区的保护要求相协调。法律法规、政策另有规定的从其规定。</w:t>
                  </w:r>
                </w:p>
              </w:tc>
              <w:tc>
                <w:tcPr>
                  <w:tcW w:w="2578"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项目新建、修复河堤不涉及自然保护区、世界文化和自然遗产地以及生态保护红线，不涉及饮用水水源保护区。</w:t>
                  </w:r>
                </w:p>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项目位于达古冰山—卡龙沟风景名胜区三级保护区，项目的建设符合三级保护区要求，不属于禁止占用区域，符合审批要求。</w:t>
                  </w:r>
                </w:p>
              </w:tc>
              <w:tc>
                <w:tcPr>
                  <w:tcW w:w="1304" w:type="dxa"/>
                  <w:vAlign w:val="center"/>
                </w:tcPr>
                <w:p>
                  <w:pPr>
                    <w:pStyle w:val="47"/>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四条项目实施改变水动力条件或水文过程且对水质产生不利影响的，提出了工程优化调整、科学调度、实施区域流域水污染防治等措施。对地下水环境产生不利影响或次生环境影响的，提出了优化工程设计、导排、防护等针对性的防治措施。</w:t>
                  </w:r>
                </w:p>
              </w:tc>
              <w:tc>
                <w:tcPr>
                  <w:tcW w:w="2578"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本工程修建堤防后有利于黑水河的水环境改善，运行过程不会对地下水产生影响，符合审批原则。</w:t>
                  </w:r>
                </w:p>
              </w:tc>
              <w:tc>
                <w:tcPr>
                  <w:tcW w:w="1304" w:type="dxa"/>
                  <w:vAlign w:val="center"/>
                </w:tcPr>
                <w:p>
                  <w:pPr>
                    <w:pStyle w:val="47"/>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五条项目对鱼类等水生生物的洄游通道及“三场”等重要生境、物种多样性及资源量等产生不利影响的，提出了下泄生态流量、恢复鱼类洄游通道、采用生态友好型护岸（坡、底）、生态修复、增殖放流等措施。</w:t>
                  </w:r>
                </w:p>
              </w:tc>
              <w:tc>
                <w:tcPr>
                  <w:tcW w:w="2578" w:type="dxa"/>
                  <w:vAlign w:val="center"/>
                </w:tcPr>
                <w:p>
                  <w:pPr>
                    <w:pStyle w:val="13"/>
                    <w:spacing w:after="0" w:line="240" w:lineRule="auto"/>
                    <w:ind w:firstLine="0" w:firstLineChars="0"/>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本项目不涉及鱼类水生生物的洄游通道及“三场”等。</w:t>
                  </w:r>
                </w:p>
              </w:tc>
              <w:tc>
                <w:tcPr>
                  <w:tcW w:w="1304" w:type="dxa"/>
                  <w:vAlign w:val="center"/>
                </w:tcPr>
                <w:p>
                  <w:pPr>
                    <w:pStyle w:val="13"/>
                    <w:spacing w:after="0"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六条项目对湿地生态系统结构和功能、河湖生态缓冲带造成不利影响的，提出了优化工程设计及调度运行方案、生态修复等措施。对珍稀濒危保护植物造成不利影响的，提出了避让、原位防护、移栽等措施。对陆生珍稀濒危保护动物及其生境造成不利影响的，提出了避让、救护、迁徙廊道构建、生境再造等措施。对景观产生不利影响的，提出了避让、优化设计、景观塑造等措施。</w:t>
                  </w:r>
                </w:p>
              </w:tc>
              <w:tc>
                <w:tcPr>
                  <w:tcW w:w="2578" w:type="dxa"/>
                  <w:vAlign w:val="center"/>
                </w:tcPr>
                <w:p>
                  <w:pPr>
                    <w:pStyle w:val="47"/>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不涉及濒危珍稀动植物。</w:t>
                  </w:r>
                </w:p>
              </w:tc>
              <w:tc>
                <w:tcPr>
                  <w:tcW w:w="1304" w:type="dxa"/>
                  <w:vAlign w:val="center"/>
                </w:tcPr>
                <w:p>
                  <w:pPr>
                    <w:pStyle w:val="47"/>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七条项目施工组织方案具有环境合理性，对料场、弃土（渣）场等施工场地提出了水土流失防治和生态修复等措施。根据环境保护相关标准和要求，对施工期各类废（污）水、扬尘、废气、噪声、固体废物等提出了防治或处置措施。其中，涉水施工涉及饮用水水源保护区或取水口并可能对水质造成不利影响的，提出了避让、施工方案优化、污染物控制等措施，涉水施工对鱼类等水生生物及其重要生境造成不利影响的，提出了避让、施工方案优化、控制施工噪声等措施，针对清淤、疏浚等产生的淤泥，提出了符合相关规定的处置或综合利用方案。</w:t>
                  </w:r>
                </w:p>
              </w:tc>
              <w:tc>
                <w:tcPr>
                  <w:tcW w:w="2578"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针对工程施工组织方案，分析了方案的环境合理性。对于工程实施出现的环境问题，提出了环境保护措施，符合审批原则。</w:t>
                  </w:r>
                </w:p>
              </w:tc>
              <w:tc>
                <w:tcPr>
                  <w:tcW w:w="1304" w:type="dxa"/>
                  <w:vAlign w:val="center"/>
                </w:tcPr>
                <w:p>
                  <w:pPr>
                    <w:pStyle w:val="47"/>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第八条项目移民安置的选址和建设方式具有环境合理性，提出了生态保护、污水处理、固体废物处置等措施。针对蓄滞洪区的环境污染、新增占地涉及污染场地等，提出了环境管理对策建议。</w:t>
                  </w:r>
                </w:p>
              </w:tc>
              <w:tc>
                <w:tcPr>
                  <w:tcW w:w="2578"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不涉及移民安置及蓄滞洪区，符合审批原则。</w:t>
                  </w:r>
                </w:p>
              </w:tc>
              <w:tc>
                <w:tcPr>
                  <w:tcW w:w="1304" w:type="dxa"/>
                  <w:vAlign w:val="center"/>
                </w:tcPr>
                <w:p>
                  <w:pPr>
                    <w:pStyle w:val="47"/>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第九条项目存在河湖水质污染、富营养化或外来物种入侵等环境风险的，提出了针对性的风险防范措施以及环境应急预案编制、建立必要的应急联动机制等要求。</w:t>
                  </w:r>
                </w:p>
              </w:tc>
              <w:tc>
                <w:tcPr>
                  <w:tcW w:w="2578"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工程在风险分析章节中提出针对性的风险防范措施和环境风险应急预案等内容，符合审批原则。</w:t>
                  </w:r>
                </w:p>
              </w:tc>
              <w:tc>
                <w:tcPr>
                  <w:tcW w:w="1304" w:type="dxa"/>
                  <w:vAlign w:val="center"/>
                </w:tcPr>
                <w:p>
                  <w:pPr>
                    <w:pStyle w:val="47"/>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第十条改、扩建项目在全面梳理了与项目有关的现有工程环境问题基础上，提出了与项目相适应的“以新带老”措施。</w:t>
                  </w:r>
                </w:p>
              </w:tc>
              <w:tc>
                <w:tcPr>
                  <w:tcW w:w="2578" w:type="dxa"/>
                  <w:vAlign w:val="center"/>
                </w:tcPr>
                <w:p>
                  <w:pPr>
                    <w:pStyle w:val="13"/>
                    <w:spacing w:after="0"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不涉及</w:t>
                  </w:r>
                </w:p>
              </w:tc>
              <w:tc>
                <w:tcPr>
                  <w:tcW w:w="1304" w:type="dxa"/>
                  <w:vAlign w:val="center"/>
                </w:tcPr>
                <w:p>
                  <w:pPr>
                    <w:pStyle w:val="13"/>
                    <w:spacing w:after="0"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第十一条按相关导则及规定要求，制定了水环境、</w:t>
                  </w:r>
                  <w:r>
                    <w:rPr>
                      <w:rFonts w:hint="eastAsia" w:ascii="Times New Roman" w:hAnsi="Times New Roman" w:eastAsiaTheme="minorEastAsia"/>
                      <w:color w:val="000000" w:themeColor="text1"/>
                      <w:sz w:val="21"/>
                      <w:szCs w:val="21"/>
                      <w:lang w:eastAsia="zh-CN"/>
                      <w14:textFill>
                        <w14:solidFill>
                          <w14:schemeClr w14:val="tx1"/>
                        </w14:solidFill>
                      </w14:textFill>
                    </w:rPr>
                    <w:t>生态环境</w:t>
                  </w:r>
                  <w:r>
                    <w:rPr>
                      <w:rFonts w:ascii="Times New Roman" w:hAnsi="Times New Roman" w:eastAsiaTheme="minorEastAsia"/>
                      <w:color w:val="000000" w:themeColor="text1"/>
                      <w:sz w:val="21"/>
                      <w:szCs w:val="21"/>
                      <w14:textFill>
                        <w14:solidFill>
                          <w14:schemeClr w14:val="tx1"/>
                        </w14:solidFill>
                      </w14:textFill>
                    </w:rPr>
                    <w:t>监测计划，明确了监测网点、因子、频次等有关要求，提出了开展环境影响后评价及根据监测评估结果优化环境保护措施的要求。根据需要和相关规定，提出了环境保护设计、开展相关科学研究、环境管理等要求。</w:t>
                  </w:r>
                </w:p>
              </w:tc>
              <w:tc>
                <w:tcPr>
                  <w:tcW w:w="2578"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符合。本工程按相关导则及规定要求，制定了水环境、</w:t>
                  </w:r>
                  <w:r>
                    <w:rPr>
                      <w:rFonts w:hint="eastAsia" w:ascii="Times New Roman" w:hAnsi="Times New Roman" w:eastAsiaTheme="minorEastAsia"/>
                      <w:color w:val="000000" w:themeColor="text1"/>
                      <w:sz w:val="21"/>
                      <w:szCs w:val="21"/>
                      <w:lang w:eastAsia="zh-CN"/>
                      <w14:textFill>
                        <w14:solidFill>
                          <w14:schemeClr w14:val="tx1"/>
                        </w14:solidFill>
                      </w14:textFill>
                    </w:rPr>
                    <w:t>生态环境</w:t>
                  </w:r>
                  <w:r>
                    <w:rPr>
                      <w:rFonts w:ascii="Times New Roman" w:hAnsi="Times New Roman" w:eastAsiaTheme="minorEastAsia"/>
                      <w:color w:val="000000" w:themeColor="text1"/>
                      <w:sz w:val="21"/>
                      <w:szCs w:val="21"/>
                      <w14:textFill>
                        <w14:solidFill>
                          <w14:schemeClr w14:val="tx1"/>
                        </w14:solidFill>
                      </w14:textFill>
                    </w:rPr>
                    <w:t>监测计划。根据工程情况提出环境保护设计、环境管理要求。</w:t>
                  </w:r>
                </w:p>
              </w:tc>
              <w:tc>
                <w:tcPr>
                  <w:tcW w:w="1304" w:type="dxa"/>
                  <w:vAlign w:val="center"/>
                </w:tcPr>
                <w:p>
                  <w:pPr>
                    <w:pStyle w:val="47"/>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2"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第十二条对环境保护措施进行了深入论证，建设单位主体责任、投资估算、时间节点、预期效果明确，确保科学有效、安全可行、绿色协调。</w:t>
                  </w:r>
                </w:p>
              </w:tc>
              <w:tc>
                <w:tcPr>
                  <w:tcW w:w="2578" w:type="dxa"/>
                  <w:vAlign w:val="center"/>
                </w:tcPr>
                <w:p>
                  <w:pPr>
                    <w:pStyle w:val="47"/>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符合。针对工程施工期的环境问题，提出了相应的环境保护措施。</w:t>
                  </w:r>
                </w:p>
              </w:tc>
              <w:tc>
                <w:tcPr>
                  <w:tcW w:w="1304" w:type="dxa"/>
                  <w:vAlign w:val="center"/>
                </w:tcPr>
                <w:p>
                  <w:pPr>
                    <w:pStyle w:val="47"/>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符合</w:t>
                  </w:r>
                </w:p>
              </w:tc>
            </w:tr>
          </w:tbl>
          <w:p>
            <w:pPr>
              <w:pStyle w:val="13"/>
              <w:spacing w:after="0"/>
              <w:ind w:firstLine="480"/>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因此，本工程符合《水利建设项目（河湖整治与防洪除涝工程）环境影响评价文件审批原则》相关要求。</w:t>
            </w:r>
          </w:p>
          <w:p>
            <w:pPr>
              <w:ind w:firstLine="482"/>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4、与《关于印发加快灾后水利薄弱环节建设实施方案的通知》的符合性分析</w:t>
            </w:r>
          </w:p>
          <w:p>
            <w:pPr>
              <w:ind w:firstLine="48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关于印发加快灾后水利薄弱环节建设实施方案的通知》（水规计[2017]182号）是国家有关部门下发的有关薄弱水利建设的有关工作部署，《实施方案》包括中小河流治理、小型病险水库除险加固、重点区域排涝能力建设和农村基层防汛预报预警体系建设等四项建设内容。</w:t>
            </w:r>
          </w:p>
          <w:p>
            <w:pPr>
              <w:ind w:firstLine="480"/>
              <w:rPr>
                <w:rFonts w:eastAsiaTheme="minorEastAsia"/>
                <w:bCs/>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本项目属于中小河流治理，</w:t>
            </w:r>
            <w:r>
              <w:rPr>
                <w:rFonts w:eastAsiaTheme="minorEastAsia"/>
                <w:bCs/>
                <w:color w:val="000000" w:themeColor="text1"/>
                <w:szCs w:val="21"/>
                <w14:textFill>
                  <w14:solidFill>
                    <w14:schemeClr w14:val="tx1"/>
                  </w14:solidFill>
                </w14:textFill>
              </w:rPr>
              <w:t>符合《关于印发加快灾后水利薄弱环节建设实施方案的通知》要求。</w:t>
            </w:r>
          </w:p>
          <w:p>
            <w:pPr>
              <w:ind w:firstLine="482"/>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5、项目与《长江流域防洪规划》符合性分析</w:t>
            </w:r>
          </w:p>
          <w:p>
            <w:pPr>
              <w:ind w:firstLine="48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根据《长江流域防洪规划》，长江上游结合兴利逐步兴建调洪水库，整治河道，适当修建堤防、护岸，加强水土保持，加强水情测报及其他防洪非工程措施建设。</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本次拟建工程位于卡龙镇，为小黑水河干流，小黑水河是黑水河右岸一级支流，岷江二级支流。工程主要为修建堤防，完善防洪体系，提高当地抵御自然灾害的能力，与</w:t>
            </w:r>
            <w:r>
              <w:rPr>
                <w:rFonts w:eastAsiaTheme="minorEastAsia"/>
                <w:color w:val="000000" w:themeColor="text1"/>
                <w:szCs w:val="21"/>
                <w14:textFill>
                  <w14:solidFill>
                    <w14:schemeClr w14:val="tx1"/>
                  </w14:solidFill>
                </w14:textFill>
              </w:rPr>
              <w:t>《长江流域防洪规划》</w:t>
            </w:r>
            <w:r>
              <w:rPr>
                <w:rFonts w:eastAsiaTheme="minorEastAsia"/>
                <w:color w:val="000000" w:themeColor="text1"/>
                <w14:textFill>
                  <w14:solidFill>
                    <w14:schemeClr w14:val="tx1"/>
                  </w14:solidFill>
                </w14:textFill>
              </w:rPr>
              <w:t>相符。</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6、与《达古冰山—卡龙沟风景名胜区总体规划（修编）（2015-2035年）》符合性分析</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（1）达古冰山—卡龙沟风景名胜区概况</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《达古冰山—卡龙沟风景名胜区总体规划（修编）（2015-2035年）》目前已通过批复（川府函〔2019〕26号），是达古冰山—卡龙沟风景名胜区目前使用的法定规划。1993 年，被四川省人民政府批准成为第三批省级风景名胜区，面积 400 余平方公里。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1）位置及范围</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达古冰山-卡龙沟风景名胜区呈“Y”字型分布在黑水县境内，位于黑水与松潘和红原三县交界处。达古冰山片区距离黑水县城 9 公里；卡龙沟片区距离黑水县城 70 公里；色尔古片区距离县城 60 公里。黑水县距成都约 317 公里，距阿坝州红原机场约 100 公里，距马尔康约176 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达古冰山-卡龙沟风景名胜区由达古冰山、卡龙沟和色尔古三个独立的片区组成，总面积 410 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1）达古冰山片区，面积 210 平方公里。范围西至沙石多乡和芦花镇镇界（东经 102°41′11”，北纬 32°16′47”），东至谷汝沟西侧山脊（东经 102°58′51”，北纬 32°09′12”），北至花尔策（东经 102°51′34”，北纬 32”18′24”），南至马桥的打古河与黑水河交汇处（东经 102°56′35”，北纬 32”06′53”）。</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2）卡龙沟片区，面积 200 平方公里。范围西至松潘县与黑水县县界（东经 103°13′12”，北纬 32° 28′25”），东至松潘县与黑水县县界阿勒地杂给（东经 103°22′</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01"，北纬 32°23′05”），北至错奥乌北侧山脊（东经 103°14′59”，北纬 32°32′29”），南至莫沃勒沟南缘（东经 103°18′17”，北纬 32°18′52”）。</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3）色尔古片区，面积 1 平方公里。范围西至G347西缘（东经 103”25′06”，北纬 31°56′05”），东至色尔古古藏寨东侧（东经 103°25′54"，北纬 31°55′27”）， 北至黑水河东侧山坡（东经 103°25′22”，北纬 31°56′12”）， 南至G347西缘（东经 10325′42”，北纬 31°55′17”）。</w:t>
            </w:r>
          </w:p>
          <w:p>
            <w:pPr>
              <w:pStyle w:val="78"/>
              <w:ind w:firstLine="480"/>
              <w:rPr>
                <w:rFonts w:hAnsi="Times New Roman" w:eastAsiaTheme="minorEastAsia"/>
                <w:bCs/>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w:t>
            </w:r>
            <w:r>
              <w:rPr>
                <w:rFonts w:hAnsi="Times New Roman" w:eastAsiaTheme="minorEastAsia"/>
                <w:bCs/>
                <w:color w:val="000000" w:themeColor="text1"/>
                <w14:textFill>
                  <w14:solidFill>
                    <w14:schemeClr w14:val="tx1"/>
                  </w14:solidFill>
                </w14:textFill>
              </w:rPr>
              <w:t>历史沿革</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达古冰山-卡龙沟风景名胜区始开发于 1990 年代，1993 年，被四 川省人民政府批准成为第三批省级风景名胜区，面积 400 余平方公里。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1993 年 2 月，卡龙沟景区被四川省人民政府公布为第三批省级风景名胜区，包括卡龙沟、卡依沟、曹季劳沟、彩林、才盖民俗文化村。</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2018 年 6 月，经省人民政府同意，“卡龙沟风景名胜区”更名为“达古冰山-卡龙沟风景名胜区”。</w:t>
            </w:r>
          </w:p>
          <w:p>
            <w:pPr>
              <w:pStyle w:val="78"/>
              <w:ind w:firstLine="480"/>
              <w:rPr>
                <w:rFonts w:hAnsi="Times New Roman" w:eastAsiaTheme="minorEastAsia"/>
                <w:bCs/>
                <w:color w:val="000000" w:themeColor="text1"/>
                <w14:textFill>
                  <w14:solidFill>
                    <w14:schemeClr w14:val="tx1"/>
                  </w14:solidFill>
                </w14:textFill>
              </w:rPr>
            </w:pPr>
            <w:r>
              <w:rPr>
                <w:rFonts w:hAnsi="Times New Roman" w:eastAsiaTheme="minorEastAsia"/>
                <w:bCs/>
                <w:color w:val="000000" w:themeColor="text1"/>
                <w14:textFill>
                  <w14:solidFill>
                    <w14:schemeClr w14:val="tx1"/>
                  </w14:solidFill>
                </w14:textFill>
              </w:rPr>
              <w:t>（3）风景名胜区性质</w:t>
            </w:r>
          </w:p>
          <w:p>
            <w:pPr>
              <w:pStyle w:val="78"/>
              <w:ind w:firstLine="480"/>
              <w:rPr>
                <w:rFonts w:hAnsi="Times New Roman" w:eastAsiaTheme="minorEastAsia"/>
                <w:bCs/>
                <w:color w:val="000000" w:themeColor="text1"/>
                <w14:textFill>
                  <w14:solidFill>
                    <w14:schemeClr w14:val="tx1"/>
                  </w14:solidFill>
                </w14:textFill>
              </w:rPr>
            </w:pPr>
            <w:r>
              <w:rPr>
                <w:rFonts w:hAnsi="Times New Roman" w:eastAsiaTheme="minorEastAsia"/>
                <w:bCs/>
                <w:color w:val="000000" w:themeColor="text1"/>
                <w14:textFill>
                  <w14:solidFill>
                    <w14:schemeClr w14:val="tx1"/>
                  </w14:solidFill>
                </w14:textFill>
              </w:rPr>
              <w:t>1）资源性质</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达古冰山-卡龙沟风景名胜区属山岳型，以冰川、地表钙华、彩林、高原湖泊、藏情和红军史迹为主景，是供风景资源保护、观光探奇、科研科普、风情体验和休闲文体活动的风景名胜区，具备国家级风景名胜区价值。风景名胜区的景观由 2 大类、7 中类、24 小类构成， 评价景点 78 个，其中特级 3 个，一级 19 个，二级 28 个，三级 22 个，四级 6 个。</w:t>
            </w:r>
          </w:p>
          <w:p>
            <w:pPr>
              <w:pStyle w:val="78"/>
              <w:ind w:firstLine="480"/>
              <w:rPr>
                <w:rFonts w:hAnsi="Times New Roman" w:eastAsiaTheme="minorEastAsia"/>
                <w:b/>
                <w:bCs/>
                <w:color w:val="000000" w:themeColor="text1"/>
                <w14:textFill>
                  <w14:solidFill>
                    <w14:schemeClr w14:val="tx1"/>
                  </w14:solidFill>
                </w14:textFill>
              </w:rPr>
            </w:pPr>
            <w:r>
              <w:rPr>
                <w:rFonts w:hAnsi="Times New Roman" w:eastAsiaTheme="minorEastAsia"/>
                <w:bCs/>
                <w:color w:val="000000" w:themeColor="text1"/>
                <w14:textFill>
                  <w14:solidFill>
                    <w14:schemeClr w14:val="tx1"/>
                  </w14:solidFill>
                </w14:textFill>
              </w:rPr>
              <w:t>2）景区分区</w:t>
            </w:r>
          </w:p>
          <w:p>
            <w:pPr>
              <w:pStyle w:val="78"/>
              <w:ind w:firstLine="480"/>
              <w:rPr>
                <w:rFonts w:hAnsi="Times New Roman" w:eastAsiaTheme="minorEastAsia"/>
                <w:bCs/>
                <w:color w:val="000000" w:themeColor="text1"/>
                <w14:textFill>
                  <w14:solidFill>
                    <w14:schemeClr w14:val="tx1"/>
                  </w14:solidFill>
                </w14:textFill>
              </w:rPr>
            </w:pPr>
            <w:r>
              <w:rPr>
                <w:rFonts w:hint="eastAsia" w:ascii="宋体" w:cs="宋体"/>
                <w:bCs/>
                <w:color w:val="000000" w:themeColor="text1"/>
                <w:lang w:eastAsia="ja-JP"/>
                <w14:textFill>
                  <w14:solidFill>
                    <w14:schemeClr w14:val="tx1"/>
                  </w14:solidFill>
                </w14:textFill>
              </w:rPr>
              <w:t>①</w:t>
            </w:r>
            <w:r>
              <w:rPr>
                <w:rFonts w:hAnsi="Times New Roman" w:eastAsiaTheme="minorEastAsia"/>
                <w:bCs/>
                <w:color w:val="000000" w:themeColor="text1"/>
                <w14:textFill>
                  <w14:solidFill>
                    <w14:schemeClr w14:val="tx1"/>
                  </w14:solidFill>
                </w14:textFill>
              </w:rPr>
              <w:t>达古冰川景区（面积 47 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以海洋性现代山岳冰川地貌和古冰川作用地貌景观为核心，以“神山朝圣，冰川探奇”为主题，依托集中分布的以冰川为核心的地质遗迹景观，着重开展观光游览、风景摄影、科考科普和冰雪运动等类型的游览活动。</w:t>
            </w:r>
          </w:p>
          <w:p>
            <w:pPr>
              <w:pStyle w:val="78"/>
              <w:ind w:firstLine="480"/>
              <w:rPr>
                <w:rFonts w:hAnsi="Times New Roman" w:eastAsiaTheme="minorEastAsia"/>
                <w:bCs/>
                <w:color w:val="000000" w:themeColor="text1"/>
                <w14:textFill>
                  <w14:solidFill>
                    <w14:schemeClr w14:val="tx1"/>
                  </w14:solidFill>
                </w14:textFill>
              </w:rPr>
            </w:pPr>
            <w:r>
              <w:rPr>
                <w:rFonts w:hint="eastAsia" w:ascii="宋体" w:cs="宋体"/>
                <w:bCs/>
                <w:color w:val="000000" w:themeColor="text1"/>
                <w:lang w:eastAsia="ja-JP"/>
                <w14:textFill>
                  <w14:solidFill>
                    <w14:schemeClr w14:val="tx1"/>
                  </w14:solidFill>
                </w14:textFill>
              </w:rPr>
              <w:t>②</w:t>
            </w:r>
            <w:r>
              <w:rPr>
                <w:rFonts w:hAnsi="Times New Roman" w:eastAsiaTheme="minorEastAsia"/>
                <w:bCs/>
                <w:color w:val="000000" w:themeColor="text1"/>
                <w14:textFill>
                  <w14:solidFill>
                    <w14:schemeClr w14:val="tx1"/>
                  </w14:solidFill>
                </w14:textFill>
              </w:rPr>
              <w:t>高原明镜景区（面积 28 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以彩林掩映下的高原湖泊为景观核心，兼有地质遗迹景观，以“明镜照影、寄情山水”为主题，依托高山湖泊，着重开展观光游览、风景摄影、户外休闲和科考科普等类型的游览活动。</w:t>
            </w:r>
          </w:p>
          <w:p>
            <w:pPr>
              <w:pStyle w:val="78"/>
              <w:ind w:firstLine="480"/>
              <w:rPr>
                <w:rFonts w:hAnsi="Times New Roman" w:eastAsiaTheme="minorEastAsia"/>
                <w:bCs/>
                <w:color w:val="000000" w:themeColor="text1"/>
                <w14:textFill>
                  <w14:solidFill>
                    <w14:schemeClr w14:val="tx1"/>
                  </w14:solidFill>
                </w14:textFill>
              </w:rPr>
            </w:pPr>
            <w:r>
              <w:rPr>
                <w:rFonts w:hint="eastAsia" w:ascii="宋体" w:cs="宋体"/>
                <w:bCs/>
                <w:color w:val="000000" w:themeColor="text1"/>
                <w:lang w:eastAsia="ja-JP"/>
                <w14:textFill>
                  <w14:solidFill>
                    <w14:schemeClr w14:val="tx1"/>
                  </w14:solidFill>
                </w14:textFill>
              </w:rPr>
              <w:t>③</w:t>
            </w:r>
            <w:r>
              <w:rPr>
                <w:rFonts w:hAnsi="Times New Roman" w:eastAsiaTheme="minorEastAsia"/>
                <w:bCs/>
                <w:color w:val="000000" w:themeColor="text1"/>
                <w14:textFill>
                  <w14:solidFill>
                    <w14:schemeClr w14:val="tx1"/>
                  </w14:solidFill>
                </w14:textFill>
              </w:rPr>
              <w:t>达古藏寨景区（面积 59 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以打古河两岸自然风光和生长于自然山水间的三达古藏寨村落 为主景，兼有红军长征文化和山林野趣，以“藏寨怀旧、忘忧达古” 为主题，依托打古河、藏寨和红军长征遗迹，着重开展民俗体验、郊野休闲和康体保健等类型的游览活动。</w:t>
            </w:r>
          </w:p>
          <w:p>
            <w:pPr>
              <w:pStyle w:val="78"/>
              <w:ind w:firstLine="480"/>
              <w:rPr>
                <w:rFonts w:hAnsi="Times New Roman" w:eastAsiaTheme="minorEastAsia"/>
                <w:bCs/>
                <w:color w:val="000000" w:themeColor="text1"/>
                <w14:textFill>
                  <w14:solidFill>
                    <w14:schemeClr w14:val="tx1"/>
                  </w14:solidFill>
                </w14:textFill>
              </w:rPr>
            </w:pPr>
            <w:bookmarkStart w:id="14" w:name="OLE_LINK80"/>
            <w:bookmarkStart w:id="15" w:name="OLE_LINK81"/>
            <w:r>
              <w:rPr>
                <w:rFonts w:hint="eastAsia" w:ascii="宋体" w:cs="宋体"/>
                <w:bCs/>
                <w:color w:val="000000" w:themeColor="text1"/>
                <w:lang w:eastAsia="ja-JP"/>
                <w14:textFill>
                  <w14:solidFill>
                    <w14:schemeClr w14:val="tx1"/>
                  </w14:solidFill>
                </w14:textFill>
              </w:rPr>
              <w:t>④</w:t>
            </w:r>
            <w:r>
              <w:rPr>
                <w:rFonts w:hAnsi="Times New Roman" w:eastAsiaTheme="minorEastAsia"/>
                <w:bCs/>
                <w:color w:val="000000" w:themeColor="text1"/>
                <w14:textFill>
                  <w14:solidFill>
                    <w14:schemeClr w14:val="tx1"/>
                  </w14:solidFill>
                </w14:textFill>
              </w:rPr>
              <w:t>色尔古景区</w:t>
            </w:r>
            <w:bookmarkEnd w:id="14"/>
            <w:bookmarkEnd w:id="15"/>
            <w:r>
              <w:rPr>
                <w:rFonts w:hAnsi="Times New Roman" w:eastAsiaTheme="minorEastAsia"/>
                <w:bCs/>
                <w:color w:val="000000" w:themeColor="text1"/>
                <w14:textFill>
                  <w14:solidFill>
                    <w14:schemeClr w14:val="tx1"/>
                  </w14:solidFill>
                </w14:textFill>
              </w:rPr>
              <w:t>（面积 1 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以色尔古藏寨传统村落为主景，兼有红军文化，以“东方城堡、历史遗珠”为主题，依托色尔古藏寨传统村落，着重开展民俗体验、风景摄影、科考科普和纪念怀古等类型的游览活动。</w:t>
            </w:r>
          </w:p>
          <w:p>
            <w:pPr>
              <w:pStyle w:val="78"/>
              <w:ind w:firstLine="480"/>
              <w:rPr>
                <w:rFonts w:hAnsi="Times New Roman" w:eastAsiaTheme="minorEastAsia"/>
                <w:bCs/>
                <w:color w:val="000000" w:themeColor="text1"/>
                <w14:textFill>
                  <w14:solidFill>
                    <w14:schemeClr w14:val="tx1"/>
                  </w14:solidFill>
                </w14:textFill>
              </w:rPr>
            </w:pPr>
            <w:r>
              <w:rPr>
                <w:rFonts w:hint="eastAsia" w:ascii="宋体" w:cs="宋体"/>
                <w:bCs/>
                <w:color w:val="000000" w:themeColor="text1"/>
                <w:lang w:eastAsia="ja-JP"/>
                <w14:textFill>
                  <w14:solidFill>
                    <w14:schemeClr w14:val="tx1"/>
                  </w14:solidFill>
                </w14:textFill>
              </w:rPr>
              <w:t>⑤</w:t>
            </w:r>
            <w:r>
              <w:rPr>
                <w:rFonts w:hAnsi="Times New Roman" w:eastAsiaTheme="minorEastAsia"/>
                <w:bCs/>
                <w:color w:val="000000" w:themeColor="text1"/>
                <w14:textFill>
                  <w14:solidFill>
                    <w14:schemeClr w14:val="tx1"/>
                  </w14:solidFill>
                </w14:textFill>
              </w:rPr>
              <w:t>钙华彩池景区（面积 66 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以地表钙华堆积地貌为主景，以“千叠瀑、花海流金”为主题， 依托卡龙沟集中分布的地表钙华堆积地貌景观，着重开展观光游览、风景摄影、科考科普等类型的游览活动。</w:t>
            </w:r>
          </w:p>
          <w:p>
            <w:pPr>
              <w:pStyle w:val="78"/>
              <w:ind w:firstLine="480"/>
              <w:rPr>
                <w:rFonts w:hAnsi="Times New Roman" w:eastAsiaTheme="minorEastAsia"/>
                <w:bCs/>
                <w:color w:val="000000" w:themeColor="text1"/>
                <w14:textFill>
                  <w14:solidFill>
                    <w14:schemeClr w14:val="tx1"/>
                  </w14:solidFill>
                </w14:textFill>
              </w:rPr>
            </w:pPr>
            <w:r>
              <w:rPr>
                <w:rFonts w:hint="eastAsia" w:ascii="宋体" w:cs="宋体"/>
                <w:bCs/>
                <w:color w:val="000000" w:themeColor="text1"/>
                <w:lang w:eastAsia="ja-JP"/>
                <w14:textFill>
                  <w14:solidFill>
                    <w14:schemeClr w14:val="tx1"/>
                  </w14:solidFill>
                </w14:textFill>
              </w:rPr>
              <w:t>⑥</w:t>
            </w:r>
            <w:r>
              <w:rPr>
                <w:rFonts w:hAnsi="Times New Roman" w:eastAsiaTheme="minorEastAsia"/>
                <w:bCs/>
                <w:color w:val="000000" w:themeColor="text1"/>
                <w14:textFill>
                  <w14:solidFill>
                    <w14:schemeClr w14:val="tx1"/>
                  </w14:solidFill>
                </w14:textFill>
              </w:rPr>
              <w:t>彩林画廊景区（面积 67 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以自然山水为主景，春观高山灌丛花海，秋观彩林缤纷，兼有藏族风情，以“音乐彩林、秋韵画卷”为主题，依托迈杂沟沿河两岸的彩林、高山灌丛、高山湖泊，着重开展观光游览、风景摄影、民俗体验和山野休闲等类型的游览活动。</w:t>
            </w:r>
          </w:p>
          <w:p>
            <w:pPr>
              <w:pStyle w:val="78"/>
              <w:ind w:firstLine="480"/>
              <w:rPr>
                <w:rFonts w:hAnsi="Times New Roman" w:eastAsiaTheme="minorEastAsia"/>
                <w:bCs/>
                <w:color w:val="000000" w:themeColor="text1"/>
                <w14:textFill>
                  <w14:solidFill>
                    <w14:schemeClr w14:val="tx1"/>
                  </w14:solidFill>
                </w14:textFill>
              </w:rPr>
            </w:pPr>
            <w:r>
              <w:rPr>
                <w:rFonts w:hint="eastAsia" w:ascii="宋体" w:cs="宋体"/>
                <w:bCs/>
                <w:color w:val="000000" w:themeColor="text1"/>
                <w:lang w:eastAsia="ja-JP"/>
                <w14:textFill>
                  <w14:solidFill>
                    <w14:schemeClr w14:val="tx1"/>
                  </w14:solidFill>
                </w14:textFill>
              </w:rPr>
              <w:t>⑦</w:t>
            </w:r>
            <w:r>
              <w:rPr>
                <w:rFonts w:hAnsi="Times New Roman" w:eastAsiaTheme="minorEastAsia"/>
                <w:bCs/>
                <w:color w:val="000000" w:themeColor="text1"/>
                <w14:textFill>
                  <w14:solidFill>
                    <w14:schemeClr w14:val="tx1"/>
                  </w14:solidFill>
                </w14:textFill>
              </w:rPr>
              <w:t>长征记忆景区（面积 67 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以“长征记忆、精神传承”为主题，依托迈杂沟沿河两岸山野环境，着重开展宣传教育、纪念体验和主题山野休闲等类型的游览活动。</w:t>
            </w:r>
          </w:p>
          <w:p>
            <w:pPr>
              <w:pStyle w:val="78"/>
              <w:ind w:firstLine="480"/>
              <w:rPr>
                <w:rFonts w:hAnsi="Times New Roman" w:eastAsiaTheme="minorEastAsia"/>
                <w:bCs/>
                <w:color w:val="000000" w:themeColor="text1"/>
                <w14:textFill>
                  <w14:solidFill>
                    <w14:schemeClr w14:val="tx1"/>
                  </w14:solidFill>
                </w14:textFill>
              </w:rPr>
            </w:pPr>
            <w:r>
              <w:rPr>
                <w:rFonts w:hAnsi="Times New Roman" w:eastAsiaTheme="minorEastAsia"/>
                <w:bCs/>
                <w:color w:val="000000" w:themeColor="text1"/>
                <w14:textFill>
                  <w14:solidFill>
                    <w14:schemeClr w14:val="tx1"/>
                  </w14:solidFill>
                </w14:textFill>
              </w:rPr>
              <w:t>3）功能分区</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达古冰山-卡龙沟风景名胜区划分为生态保护区和风景游览区， 其中风景游赏区由 7 个景区组成。7 个景区的总面积为 335 平方公里，生态保护区面积 75 平方公里。</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lang w:eastAsia="ja-JP"/>
                <w14:textFill>
                  <w14:solidFill>
                    <w14:schemeClr w14:val="tx1"/>
                  </w14:solidFill>
                </w14:textFill>
              </w:rPr>
              <w:t>①</w:t>
            </w:r>
            <w:r>
              <w:rPr>
                <w:rFonts w:hAnsi="Times New Roman" w:eastAsiaTheme="minorEastAsia"/>
                <w:color w:val="000000" w:themeColor="text1"/>
                <w14:textFill>
                  <w14:solidFill>
                    <w14:schemeClr w14:val="tx1"/>
                  </w14:solidFill>
                </w14:textFill>
              </w:rPr>
              <w:t>生态保护区（面积 75 平方公里）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将风景名胜区范围内与三打古自然保护区的核心区和缓冲区重叠的区域作为生态保护区，不作为游赏区域，不对游客开放，严格按照自然保护区的相关要求执行，除开展巡护监测及经上级主管部门批准的科学考察活动外，一般人员不得进入。</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lang w:eastAsia="ja-JP"/>
                <w14:textFill>
                  <w14:solidFill>
                    <w14:schemeClr w14:val="tx1"/>
                  </w14:solidFill>
                </w14:textFill>
              </w:rPr>
              <w:t>②</w:t>
            </w:r>
            <w:r>
              <w:rPr>
                <w:rFonts w:hAnsi="Times New Roman" w:eastAsiaTheme="minorEastAsia"/>
                <w:color w:val="000000" w:themeColor="text1"/>
                <w14:textFill>
                  <w14:solidFill>
                    <w14:schemeClr w14:val="tx1"/>
                  </w14:solidFill>
                </w14:textFill>
              </w:rPr>
              <w:t>风景游览区</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达古藏寨景区（面积 59 平方公里）位于达古冰山片区的南部，以上达古、中达古和下达古等三个藏寨文化和红军史迹为主要特征，辅以高原河谷景观。</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高原明镜景区（面积 28 平方公里）:位于达古冰山片区的中部，以高原湖泊主要特征。</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达古冰川景区（面积 47 平方公里）：位于达古冰山片区西部，以冰川景观为主要特征。</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钙华彩池景区（面积 66 平方公里）：位于卡龙沟片区的东南部，以地表钙华景观为主要特征，兼有藏寨风情。</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彩林画廊景区（面积 67 平方公里）：位于卡龙沟片区的北部，沿迈杂沟两岸，以彩林景观为主要特征， 兼有藏羌特色民歌体验。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长征记忆景区（面积 67 平方公里）：位于卡龙沟片区的南部，以红色文化体验为主要特征。</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色尔古景区（面积 1 平方公里）：位于色尔古片区南部，以藏寨风情主要特征，兼有红军史迹。</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（2）分级保护</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依据</w:t>
            </w:r>
            <w:bookmarkStart w:id="16" w:name="OLE_LINK34"/>
            <w:r>
              <w:rPr>
                <w:rFonts w:hAnsi="Times New Roman" w:eastAsiaTheme="minorEastAsia"/>
                <w:color w:val="000000" w:themeColor="text1"/>
                <w14:textFill>
                  <w14:solidFill>
                    <w14:schemeClr w14:val="tx1"/>
                  </w14:solidFill>
                </w14:textFill>
              </w:rPr>
              <w:t>《达古冰山—卡龙沟风景名胜区总体规划（修编）（2015-2035年）》</w:t>
            </w:r>
            <w:bookmarkEnd w:id="16"/>
            <w:r>
              <w:rPr>
                <w:rFonts w:hAnsi="Times New Roman" w:eastAsiaTheme="minorEastAsia"/>
                <w:color w:val="000000" w:themeColor="text1"/>
                <w14:textFill>
                  <w14:solidFill>
                    <w14:schemeClr w14:val="tx1"/>
                  </w14:solidFill>
                </w14:textFill>
              </w:rPr>
              <w:t>，将风景名胜区资源划分为一级、二级、三级保护区三个层次，实施分级控制保护，并对一、二级保护区实施重点保护控制。</w:t>
            </w:r>
          </w:p>
          <w:p>
            <w:pPr>
              <w:pStyle w:val="78"/>
              <w:ind w:firstLine="480"/>
              <w:rPr>
                <w:rFonts w:hAnsi="Times New Roman" w:eastAsiaTheme="minorEastAsia"/>
                <w:color w:val="000000" w:themeColor="text1"/>
                <w:u w:val="single"/>
                <w14:textFill>
                  <w14:solidFill>
                    <w14:schemeClr w14:val="tx1"/>
                  </w14:solidFill>
                </w14:textFill>
              </w:rPr>
            </w:pPr>
            <w:r>
              <w:rPr>
                <w:rFonts w:hAnsi="Times New Roman" w:eastAsiaTheme="minorEastAsia"/>
                <w:color w:val="000000" w:themeColor="text1"/>
                <w:u w:val="single"/>
                <w14:textFill>
                  <w14:solidFill>
                    <w14:schemeClr w14:val="tx1"/>
                  </w14:solidFill>
                </w14:textFill>
              </w:rPr>
              <w:t>（1）一级保护区（核心景区—严格禁止建设范围）</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主要包括与三打古省级自然保护区的核心区和缓冲区重叠的区域、重要景点及景点周围相关环境空间，面积121.69km</w:t>
            </w:r>
            <w:r>
              <w:rPr>
                <w:rFonts w:hAnsi="Times New Roman" w:eastAsiaTheme="minorEastAsia"/>
                <w:color w:val="000000" w:themeColor="text1"/>
                <w:vertAlign w:val="superscript"/>
                <w14:textFill>
                  <w14:solidFill>
                    <w14:schemeClr w14:val="tx1"/>
                  </w14:solidFill>
                </w14:textFill>
              </w:rPr>
              <w:t>2</w:t>
            </w:r>
            <w:r>
              <w:rPr>
                <w:rFonts w:hAnsi="Times New Roman" w:eastAsiaTheme="minorEastAsia"/>
                <w:color w:val="000000" w:themeColor="text1"/>
                <w14:textFill>
                  <w14:solidFill>
                    <w14:schemeClr w14:val="tx1"/>
                  </w14:solidFill>
                </w14:textFill>
              </w:rPr>
              <w:t>。</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与三打古自然保护区的重叠的区域与自然保护区的保护要求一致；宜开展以观光游览和生态旅游为主的活动，应严格控制游客容量；可设置必需的游赏道路和与游赏相关的设施；各级文物保护单位的保护按照国家和地方相关文物条例和法律规定执行，对风景名胜区内的历史遗存进行调查、登记、鉴定、建档和设立标志，并组织有关部门对其进行保护和科学研究，继承、保护和弘扬当地有关的历史传统文化精华和非物质文化遗产；严格保护冰川、地表钙华和色尔古藏寨等代表性景观，并对本区内的风景资源及其整体环境进行长期的科学检测分析和保护研究；禁止与风景游赏、生态保护无关的项目进入，不得设置旅宿床位，生活污水处理达标后才能排放，未经处理的污水不得排入；不得安排重大建设项目，对符合规划要求的建设项目，要严格按照规定程序进行报批。</w:t>
            </w:r>
          </w:p>
          <w:p>
            <w:pPr>
              <w:pStyle w:val="78"/>
              <w:ind w:firstLine="480"/>
              <w:rPr>
                <w:rFonts w:hAnsi="Times New Roman" w:eastAsiaTheme="minorEastAsia"/>
                <w:color w:val="000000" w:themeColor="text1"/>
                <w:u w:val="single"/>
                <w14:textFill>
                  <w14:solidFill>
                    <w14:schemeClr w14:val="tx1"/>
                  </w14:solidFill>
                </w14:textFill>
              </w:rPr>
            </w:pPr>
            <w:r>
              <w:rPr>
                <w:rFonts w:hAnsi="Times New Roman" w:eastAsiaTheme="minorEastAsia"/>
                <w:color w:val="000000" w:themeColor="text1"/>
                <w:u w:val="single"/>
                <w14:textFill>
                  <w14:solidFill>
                    <w14:schemeClr w14:val="tx1"/>
                  </w14:solidFill>
                </w14:textFill>
              </w:rPr>
              <w:t>（2）二级保护区（严格限制建设范围）</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主要包括二级和三级景点的集中分布区，面积164.23km</w:t>
            </w:r>
            <w:r>
              <w:rPr>
                <w:rFonts w:hAnsi="Times New Roman" w:eastAsiaTheme="minorEastAsia"/>
                <w:color w:val="000000" w:themeColor="text1"/>
                <w:vertAlign w:val="superscript"/>
                <w14:textFill>
                  <w14:solidFill>
                    <w14:schemeClr w14:val="tx1"/>
                  </w14:solidFill>
                </w14:textFill>
              </w:rPr>
              <w:t>2</w:t>
            </w:r>
            <w:r>
              <w:rPr>
                <w:rFonts w:hAnsi="Times New Roman" w:eastAsiaTheme="minorEastAsia"/>
                <w:color w:val="000000" w:themeColor="text1"/>
                <w14:textFill>
                  <w14:solidFill>
                    <w14:schemeClr w14:val="tx1"/>
                  </w14:solidFill>
                </w14:textFill>
              </w:rPr>
              <w:t>。该区域内严格限制区内设施类别、规模和建设风貌；相关建设项目须仔细设计后，按照相关程序严格审批；加强对居民点的规划管理，控制建设规模，保持传统风貌。</w:t>
            </w:r>
          </w:p>
          <w:p>
            <w:pPr>
              <w:pStyle w:val="78"/>
              <w:ind w:firstLine="480"/>
              <w:rPr>
                <w:rFonts w:hAnsi="Times New Roman" w:eastAsiaTheme="minorEastAsia"/>
                <w:color w:val="000000" w:themeColor="text1"/>
                <w:u w:val="single"/>
                <w14:textFill>
                  <w14:solidFill>
                    <w14:schemeClr w14:val="tx1"/>
                  </w14:solidFill>
                </w14:textFill>
              </w:rPr>
            </w:pPr>
            <w:r>
              <w:rPr>
                <w:rFonts w:hAnsi="Times New Roman" w:eastAsiaTheme="minorEastAsia"/>
                <w:color w:val="000000" w:themeColor="text1"/>
                <w:u w:val="single"/>
                <w14:textFill>
                  <w14:solidFill>
                    <w14:schemeClr w14:val="tx1"/>
                  </w14:solidFill>
                </w14:textFill>
              </w:rPr>
              <w:t>（3）三级保护区（控制建设范围）</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以上各级保护区之外的地区划为三级保护区，面积124.08km</w:t>
            </w:r>
            <w:r>
              <w:rPr>
                <w:rFonts w:hAnsi="Times New Roman" w:eastAsiaTheme="minorEastAsia"/>
                <w:color w:val="000000" w:themeColor="text1"/>
                <w:vertAlign w:val="superscript"/>
                <w14:textFill>
                  <w14:solidFill>
                    <w14:schemeClr w14:val="tx1"/>
                  </w14:solidFill>
                </w14:textFill>
              </w:rPr>
              <w:t>2</w:t>
            </w:r>
            <w:r>
              <w:rPr>
                <w:rFonts w:hAnsi="Times New Roman" w:eastAsiaTheme="minorEastAsia"/>
                <w:color w:val="000000" w:themeColor="text1"/>
                <w14:textFill>
                  <w14:solidFill>
                    <w14:schemeClr w14:val="tx1"/>
                  </w14:solidFill>
                </w14:textFill>
              </w:rPr>
              <w:t>。</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该区域内可合理安排旅游服务设施，有序引导各项建设活动；区内建设要控制设施规模、建筑布局、层高体晕、风格、色彩等，保持与风景环境的协调；基础工程设施必须符合相关技术规范和满足环保要求。</w:t>
            </w:r>
          </w:p>
          <w:p>
            <w:pPr>
              <w:pStyle w:val="78"/>
              <w:ind w:firstLine="0" w:firstLineChars="0"/>
              <w:jc w:val="center"/>
              <w:rPr>
                <w:rFonts w:hAnsi="Times New Roman" w:eastAsiaTheme="minorEastAsia"/>
                <w:b/>
                <w:bCs/>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drawing>
                <wp:inline distT="0" distB="0" distL="0" distR="0">
                  <wp:extent cx="4406265" cy="29038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4432495" cy="2921417"/>
                          </a:xfrm>
                          <a:prstGeom prst="rect">
                            <a:avLst/>
                          </a:prstGeom>
                        </pic:spPr>
                      </pic:pic>
                    </a:graphicData>
                  </a:graphic>
                </wp:inline>
              </w:drawing>
            </w:r>
          </w:p>
          <w:p>
            <w:pPr>
              <w:pStyle w:val="78"/>
              <w:ind w:firstLine="0" w:firstLineChars="0"/>
              <w:jc w:val="center"/>
              <w:rPr>
                <w:rFonts w:hAnsi="Times New Roman" w:eastAsiaTheme="minorEastAsia"/>
                <w:b/>
                <w:bCs/>
                <w:color w:val="000000" w:themeColor="text1"/>
                <w14:textFill>
                  <w14:solidFill>
                    <w14:schemeClr w14:val="tx1"/>
                  </w14:solidFill>
                </w14:textFill>
              </w:rPr>
            </w:pPr>
            <w:r>
              <w:rPr>
                <w:rFonts w:hAnsi="Times New Roman" w:eastAsiaTheme="minorEastAsia"/>
                <w:b/>
                <w:bCs/>
                <w:color w:val="000000" w:themeColor="text1"/>
                <w14:textFill>
                  <w14:solidFill>
                    <w14:schemeClr w14:val="tx1"/>
                  </w14:solidFill>
                </w14:textFill>
              </w:rPr>
              <w:t>图1-1 项目与风景名胜区位置关系图</w:t>
            </w: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0" w:firstLineChars="0"/>
              <w:jc w:val="center"/>
              <w:rPr>
                <w:rFonts w:hAnsi="Times New Roman" w:eastAsiaTheme="minorEastAsia"/>
                <w:b/>
                <w:bCs/>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drawing>
                <wp:inline distT="0" distB="0" distL="0" distR="0">
                  <wp:extent cx="4291965" cy="691324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4303250" cy="6931006"/>
                          </a:xfrm>
                          <a:prstGeom prst="rect">
                            <a:avLst/>
                          </a:prstGeom>
                        </pic:spPr>
                      </pic:pic>
                    </a:graphicData>
                  </a:graphic>
                </wp:inline>
              </w:drawing>
            </w:r>
          </w:p>
          <w:p>
            <w:pPr>
              <w:pStyle w:val="78"/>
              <w:ind w:firstLine="0" w:firstLineChars="0"/>
              <w:jc w:val="center"/>
              <w:rPr>
                <w:rFonts w:hAnsi="Times New Roman" w:eastAsiaTheme="minorEastAsia"/>
                <w:b/>
                <w:bCs/>
                <w:color w:val="000000" w:themeColor="text1"/>
                <w14:textFill>
                  <w14:solidFill>
                    <w14:schemeClr w14:val="tx1"/>
                  </w14:solidFill>
                </w14:textFill>
              </w:rPr>
            </w:pPr>
            <w:r>
              <w:rPr>
                <w:rFonts w:hAnsi="Times New Roman" w:eastAsiaTheme="minorEastAsia"/>
                <w:b/>
                <w:bCs/>
                <w:color w:val="000000" w:themeColor="text1"/>
                <w14:textFill>
                  <w14:solidFill>
                    <w14:schemeClr w14:val="tx1"/>
                  </w14:solidFill>
                </w14:textFill>
              </w:rPr>
              <w:t>图1-2 项目与分级保护区关系图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项目与达古冰山—卡龙沟风景名胜区符合性分析如下。</w:t>
            </w:r>
          </w:p>
          <w:p>
            <w:pPr>
              <w:pStyle w:val="80"/>
              <w:spacing w:before="159"/>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表1-4  项目与达古冰山—卡龙沟风景名胜区符合性分析</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415"/>
              <w:gridCol w:w="3255"/>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序号</w:t>
                  </w:r>
                </w:p>
              </w:tc>
              <w:tc>
                <w:tcPr>
                  <w:tcW w:w="2415" w:type="dxa"/>
                  <w:vAlign w:val="center"/>
                </w:tcPr>
                <w:p>
                  <w:pPr>
                    <w:pStyle w:val="78"/>
                    <w:spacing w:line="240" w:lineRule="auto"/>
                    <w:ind w:firstLine="0" w:firstLineChars="0"/>
                    <w:jc w:val="center"/>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保护区要求</w:t>
                  </w:r>
                </w:p>
              </w:tc>
              <w:tc>
                <w:tcPr>
                  <w:tcW w:w="3255" w:type="dxa"/>
                  <w:vAlign w:val="center"/>
                </w:tcPr>
                <w:p>
                  <w:pPr>
                    <w:pStyle w:val="78"/>
                    <w:spacing w:line="240" w:lineRule="auto"/>
                    <w:ind w:firstLine="0" w:firstLineChars="0"/>
                    <w:jc w:val="center"/>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本项目情况</w:t>
                  </w:r>
                </w:p>
              </w:tc>
              <w:tc>
                <w:tcPr>
                  <w:tcW w:w="880" w:type="dxa"/>
                  <w:vAlign w:val="center"/>
                </w:tcPr>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pPr>
                    <w:pStyle w:val="78"/>
                    <w:spacing w:line="240" w:lineRule="auto"/>
                    <w:ind w:firstLine="0" w:firstLineChars="0"/>
                    <w:jc w:val="center"/>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1</w:t>
                  </w:r>
                </w:p>
              </w:tc>
              <w:tc>
                <w:tcPr>
                  <w:tcW w:w="2415" w:type="dxa"/>
                  <w:vAlign w:val="center"/>
                </w:tcPr>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依据《达古冰山—卡龙沟风景名胜区总体规划（修编）（2015—2035年）》第五条规定，三级保护区要求：“应编制详细规划，合理安排旅游服务设施，有序引导各项建设活动；区内建设要控制设施规模、建筑布局、层高体量、风格、色彩等，保持与风景环境的协调；基础工程设施必须符合相关技术规范和满足环保要求</w:t>
                  </w:r>
                </w:p>
              </w:tc>
              <w:tc>
                <w:tcPr>
                  <w:tcW w:w="3255" w:type="dxa"/>
                  <w:vAlign w:val="center"/>
                </w:tcPr>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bookmarkStart w:id="17" w:name="OLE_LINK57"/>
                  <w:r>
                    <w:rPr>
                      <w:rFonts w:hAnsi="Times New Roman" w:eastAsiaTheme="minorEastAsia"/>
                      <w:color w:val="000000" w:themeColor="text1"/>
                      <w:sz w:val="21"/>
                      <w:szCs w:val="21"/>
                      <w14:textFill>
                        <w14:solidFill>
                          <w14:schemeClr w14:val="tx1"/>
                        </w14:solidFill>
                      </w14:textFill>
                    </w:rPr>
                    <w:t>项目位于达古冰山－卡龙沟风景名胜区</w:t>
                  </w:r>
                  <w:bookmarkStart w:id="18" w:name="OLE_LINK45"/>
                  <w:bookmarkStart w:id="19" w:name="OLE_LINK46"/>
                  <w:r>
                    <w:rPr>
                      <w:rFonts w:hAnsi="Times New Roman" w:eastAsiaTheme="minorEastAsia"/>
                      <w:color w:val="000000" w:themeColor="text1"/>
                      <w:sz w:val="21"/>
                      <w:szCs w:val="21"/>
                      <w14:textFill>
                        <w14:solidFill>
                          <w14:schemeClr w14:val="tx1"/>
                        </w14:solidFill>
                      </w14:textFill>
                    </w:rPr>
                    <w:t>三级保护区</w:t>
                  </w:r>
                  <w:bookmarkEnd w:id="18"/>
                  <w:bookmarkEnd w:id="19"/>
                  <w:r>
                    <w:rPr>
                      <w:rFonts w:hAnsi="Times New Roman" w:eastAsiaTheme="minorEastAsia"/>
                      <w:color w:val="000000" w:themeColor="text1"/>
                      <w:sz w:val="21"/>
                      <w:szCs w:val="21"/>
                      <w14:textFill>
                        <w14:solidFill>
                          <w14:schemeClr w14:val="tx1"/>
                        </w14:solidFill>
                      </w14:textFill>
                    </w:rPr>
                    <w:t>。项目为防洪治理，为基础工程，提防栏杆采用仿生设计，整体风格、色彩等保持与风景环境的协调，建设完成后有助于提升风景名胜区的环境风貌，对风景名胜区基础设施的完善具有一定的作用，项目不属于三级保护区禁止建设的项目，符合风景名胜区分级保护的管控要求，不涉及风景名胜区核心景区。</w:t>
                  </w:r>
                </w:p>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2025年2月20日，项目取得黑水县发展改革和经信商务局出具《关于黑水县卡龙镇才盖村基础设施提升建设项目可行性研究报告的批复》（黑发经商行审[2025]7号）；2025年4月25日，项目取得黑水县住房和城乡建设局《关于黑水县卡龙镇才盖村基础设施提升建设项目初步设计审查的批复》（黑住建发[2025]10号），工程设施符合相关技术规范和满足环保要求。</w:t>
                  </w:r>
                </w:p>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2025年12月22日，阿坝州林业和草原局组织专家对《黑水县卡龙镇才盖村基础设施提升建设项目对达古冰山一卡龙沟风景名胜区影响评价报告》进行审查，同意报告结论，项目在达古冰山-卡龙沟风景名胜区三级保护区的建设是可行的。</w:t>
                  </w:r>
                </w:p>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因此，本项目满足《达古冰山— 卡龙沟风景名胜区总体规划（ 修编）（2015-2035 年）》中对三级保护区提出的保护要求。</w:t>
                  </w:r>
                  <w:bookmarkEnd w:id="17"/>
                </w:p>
              </w:tc>
              <w:tc>
                <w:tcPr>
                  <w:tcW w:w="880" w:type="dxa"/>
                  <w:vAlign w:val="center"/>
                </w:tcPr>
                <w:p>
                  <w:pPr>
                    <w:pStyle w:val="78"/>
                    <w:spacing w:line="240" w:lineRule="auto"/>
                    <w:ind w:firstLine="0" w:firstLineChars="0"/>
                    <w:jc w:val="center"/>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符合</w:t>
                  </w:r>
                </w:p>
              </w:tc>
            </w:tr>
          </w:tbl>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8、与</w:t>
            </w:r>
            <w:r>
              <w:rPr>
                <w:rFonts w:hint="eastAsia" w:hAnsi="Times New Roman" w:eastAsiaTheme="minorEastAsia"/>
                <w:b/>
                <w:color w:val="000000" w:themeColor="text1"/>
                <w:lang w:eastAsia="zh-CN"/>
                <w14:textFill>
                  <w14:solidFill>
                    <w14:schemeClr w14:val="tx1"/>
                  </w14:solidFill>
                </w14:textFill>
              </w:rPr>
              <w:t>风景名胜区条例</w:t>
            </w:r>
            <w:r>
              <w:rPr>
                <w:rFonts w:hAnsi="Times New Roman" w:eastAsiaTheme="minorEastAsia"/>
                <w:b/>
                <w:color w:val="000000" w:themeColor="text1"/>
                <w14:textFill>
                  <w14:solidFill>
                    <w14:schemeClr w14:val="tx1"/>
                  </w14:solidFill>
                </w14:textFill>
              </w:rPr>
              <w:t>的符合性分析</w:t>
            </w:r>
          </w:p>
          <w:p>
            <w:pPr>
              <w:pStyle w:val="98"/>
              <w:spacing w:before="159"/>
              <w:rPr>
                <w:color w:val="000000" w:themeColor="text1"/>
                <w14:textFill>
                  <w14:solidFill>
                    <w14:schemeClr w14:val="tx1"/>
                  </w14:solidFill>
                </w14:textFill>
              </w:rPr>
            </w:pPr>
            <w:r>
              <w:rPr>
                <w:color w:val="000000" w:themeColor="text1"/>
                <w14:textFill>
                  <w14:solidFill>
                    <w14:schemeClr w14:val="tx1"/>
                  </w14:solidFill>
                </w14:textFill>
              </w:rPr>
              <w:t>表1-5 与</w:t>
            </w:r>
            <w:r>
              <w:rPr>
                <w:rFonts w:hint="eastAsia"/>
                <w:color w:val="000000" w:themeColor="text1"/>
                <w:lang w:eastAsia="zh-CN"/>
                <w14:textFill>
                  <w14:solidFill>
                    <w14:schemeClr w14:val="tx1"/>
                  </w14:solidFill>
                </w14:textFill>
              </w:rPr>
              <w:t>风景名胜区条例</w:t>
            </w:r>
            <w:r>
              <w:rPr>
                <w:color w:val="000000" w:themeColor="text1"/>
                <w14:textFill>
                  <w14:solidFill>
                    <w14:schemeClr w14:val="tx1"/>
                  </w14:solidFill>
                </w14:textFill>
              </w:rPr>
              <w:t>一览表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643"/>
              <w:gridCol w:w="3224"/>
              <w:gridCol w:w="2006"/>
              <w:gridCol w:w="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5" w:type="pct"/>
                  <w:vAlign w:val="center"/>
                </w:tcPr>
                <w:p>
                  <w:pPr>
                    <w:autoSpaceDE w:val="0"/>
                    <w:autoSpaceDN w:val="0"/>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名称</w:t>
                  </w:r>
                </w:p>
              </w:tc>
              <w:tc>
                <w:tcPr>
                  <w:tcW w:w="435" w:type="pct"/>
                  <w:vAlign w:val="center"/>
                </w:tcPr>
                <w:p>
                  <w:pPr>
                    <w:autoSpaceDE w:val="0"/>
                    <w:autoSpaceDN w:val="0"/>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时间</w:t>
                  </w:r>
                </w:p>
              </w:tc>
              <w:tc>
                <w:tcPr>
                  <w:tcW w:w="2181" w:type="pct"/>
                  <w:vAlign w:val="center"/>
                </w:tcPr>
                <w:p>
                  <w:pPr>
                    <w:autoSpaceDE w:val="0"/>
                    <w:autoSpaceDN w:val="0"/>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审查意见要求</w:t>
                  </w:r>
                </w:p>
              </w:tc>
              <w:tc>
                <w:tcPr>
                  <w:tcW w:w="1357" w:type="pct"/>
                  <w:vAlign w:val="center"/>
                </w:tcPr>
                <w:p>
                  <w:pPr>
                    <w:autoSpaceDE w:val="0"/>
                    <w:autoSpaceDN w:val="0"/>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本项目情况</w:t>
                  </w:r>
                </w:p>
              </w:tc>
              <w:tc>
                <w:tcPr>
                  <w:tcW w:w="593" w:type="pct"/>
                  <w:vAlign w:val="center"/>
                </w:tcPr>
                <w:p>
                  <w:pPr>
                    <w:autoSpaceDE w:val="0"/>
                    <w:autoSpaceDN w:val="0"/>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5" w:type="pct"/>
                  <w:vMerge w:val="restar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《风景名胜区条例》</w:t>
                  </w:r>
                </w:p>
              </w:tc>
              <w:tc>
                <w:tcPr>
                  <w:tcW w:w="435" w:type="pct"/>
                  <w:vMerge w:val="restar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2006年</w:t>
                  </w:r>
                </w:p>
              </w:tc>
              <w:tc>
                <w:tcPr>
                  <w:tcW w:w="2181"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第二十六条</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在风景名胜区内禁止进行下列活动：</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（一）开山、采石、开矿、开荒、修坟立碑等破坏景观、植被和地形地貌的活动；</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（二）修建储存爆炸性、易燃性、放射性、毒害性、腐蚀性物品的设施；</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（三）在景物或者设施上刻划、涂污；</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（四）乱扔垃圾。</w:t>
                  </w:r>
                </w:p>
              </w:tc>
              <w:tc>
                <w:tcPr>
                  <w:tcW w:w="1357" w:type="pct"/>
                  <w:vAlign w:val="center"/>
                </w:tcPr>
                <w:p>
                  <w:pPr>
                    <w:pStyle w:val="12"/>
                    <w:spacing w:line="240" w:lineRule="auto"/>
                    <w:ind w:firstLine="0" w:firstLineChars="0"/>
                    <w:jc w:val="both"/>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本项目不属于《风景名胜区条例》第二十六条中所禁止的活动</w:t>
                  </w:r>
                </w:p>
              </w:tc>
              <w:tc>
                <w:tcPr>
                  <w:tcW w:w="59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2181"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第二十七条</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禁止违反风景名胜区规划，在风景名胜区内设立各类开发区和在核心景区内建设宾馆、招待所、培训中心、疗养院以及与风景名胜区资源保护无关的其他建筑物；已经建设的，应当按照风景名胜区规划，逐步迁出。</w:t>
                  </w:r>
                </w:p>
              </w:tc>
              <w:tc>
                <w:tcPr>
                  <w:tcW w:w="1357"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本项目不属于违反风景名胜区规划的建设活动</w:t>
                  </w:r>
                </w:p>
              </w:tc>
              <w:tc>
                <w:tcPr>
                  <w:tcW w:w="59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2181"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第二十八条</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在风景名胜区内从事本条例第二十六条、第二十七条禁止范围以外的建设活动，应当经风景名胜区管理机构审核后，依照有关法律、法规的规定办理审批手续。</w:t>
                  </w:r>
                </w:p>
              </w:tc>
              <w:tc>
                <w:tcPr>
                  <w:tcW w:w="1357"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2025年12月22日，阿坝州林业和草原局组织专家对《黑水县卡龙镇才盖村基础设施提升建设项目对达古冰山一卡龙沟风景名胜区影响评价报告》进行审查，同意报告结论，项目在达古冰山-卡龙沟风景名胜区三级保护区的建设是可行的。</w:t>
                  </w:r>
                </w:p>
              </w:tc>
              <w:tc>
                <w:tcPr>
                  <w:tcW w:w="59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2181"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第三十条</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风景名胜区内的建设项目应当符合风景名胜区规划，并与景观相协调，不得破坏景观、污染环境、妨碍游览。</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在风景名胜区内进行建设活动的，建设单位、施工单位应当制定污染防治和水土保持方案，并采取有效措施，保护好周围景物、水体、林草植被、野生动物资源和地形地貌。</w:t>
                  </w:r>
                </w:p>
              </w:tc>
              <w:tc>
                <w:tcPr>
                  <w:tcW w:w="1357"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项目与风景名胜区规划相符合，正在制定相应的污染防治措施及水土保持方案。</w:t>
                  </w:r>
                </w:p>
              </w:tc>
              <w:tc>
                <w:tcPr>
                  <w:tcW w:w="59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5" w:type="pct"/>
                  <w:vMerge w:val="restar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《四川省风景名胜区条例》</w:t>
                  </w:r>
                </w:p>
              </w:tc>
              <w:tc>
                <w:tcPr>
                  <w:tcW w:w="435" w:type="pct"/>
                  <w:vMerge w:val="restar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2010年</w:t>
                  </w:r>
                </w:p>
              </w:tc>
              <w:tc>
                <w:tcPr>
                  <w:tcW w:w="2181"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第二十七条</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在风景名胜区内禁止进行下列活动：</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（一）超过风景名胜区总体规划确定的容量接待游客；</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（二）非法占用风景名胜区土地；</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（三）从事开山、采石、挖砂取土、围湖造田、掘矿开荒、修坟立碑等改变地貌和破坏环境、景观的活动；</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（四）采伐、毁坏古树名木；</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（五）在景观景物及公共设施上擅自涂写刻画；</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（六）在禁火区域内吸烟、生火；</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（七）猎捕、伤害各类野生动物；</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（八）攀折树、竹、花、草；</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（九）向水域或者陆地乱扔废弃物；</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（十）敞放牲畜，违法放牧；</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（十一）其他损坏景观、生态和环境卫生等行为。</w:t>
                  </w:r>
                </w:p>
              </w:tc>
              <w:tc>
                <w:tcPr>
                  <w:tcW w:w="1357"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本项目不属于《四川省风景名胜区条例》中第二十七条中所禁止的活动</w:t>
                  </w:r>
                </w:p>
              </w:tc>
              <w:tc>
                <w:tcPr>
                  <w:tcW w:w="59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2181"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第三十条</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风景名胜区内禁止修建储存或者输送爆炸性、易燃性、放射性、毒害性、腐蚀性物品等危险品的设施，或者其他破坏景观、污染环境、妨碍游览和危害风景名胜区生态、公共安全的建筑物和构筑物。</w:t>
                  </w:r>
                </w:p>
              </w:tc>
              <w:tc>
                <w:tcPr>
                  <w:tcW w:w="1357"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本项目为防洪除涝工程，不属于《四川省风景名胜区条例》中第三十条所禁止的构筑物</w:t>
                  </w:r>
                </w:p>
              </w:tc>
              <w:tc>
                <w:tcPr>
                  <w:tcW w:w="59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2181"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第三十三条</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风景名胜区内的建设活动应当按照风景名胜区规划进行。</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符合风景名胜区规划的建设项目应当经风景名胜区管理机构审核，并依法办理建设工程选址意见书、建设用地规划许可证、建设工程规划许可证和建设工程施工许可证。</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风景名胜区管理机构应当配合风景名胜区所在地人民政府建设行政主管部门做好建设项目的建筑工程质量安全监管和竣工验收备案等工作。</w:t>
                  </w:r>
                </w:p>
              </w:tc>
              <w:tc>
                <w:tcPr>
                  <w:tcW w:w="1357"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项目与风景名胜区规划相符合，已制定相应的污染防治措施。项目已编制完成《黑水县卡龙镇才盖村基础设施提升建设项目对达古冰山—卡龙沟风景名胜区影响评估论证报告》。</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2025年12月22日，阿坝州林业和草原局组织专家对《黑水县卡龙镇才盖村基础设施提升建设项目对达古冰山一卡龙沟风景名胜区影响评价报告》进行审查，同意报告结论，项目在达古冰山-卡龙沟风景名胜区三级保护区的建设是可行的。</w:t>
                  </w:r>
                </w:p>
              </w:tc>
              <w:tc>
                <w:tcPr>
                  <w:tcW w:w="59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435"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2181"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第三十五条</w:t>
                  </w:r>
                </w:p>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在风景名胜区内建设施工，必须采取有效措施，保护植被、水体、地貌；工程结束后应当及时清理场地，恢复植被。</w:t>
                  </w:r>
                </w:p>
              </w:tc>
              <w:tc>
                <w:tcPr>
                  <w:tcW w:w="1357"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已制定相应的污染防治措施及水土保持方案。</w:t>
                  </w:r>
                </w:p>
              </w:tc>
              <w:tc>
                <w:tcPr>
                  <w:tcW w:w="59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bl>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因此，本工程符合《风景名胜区条例》《四川省风景名胜区条例》相关要求。</w:t>
            </w:r>
          </w:p>
          <w:p>
            <w:pPr>
              <w:autoSpaceDE w:val="0"/>
              <w:autoSpaceDN w:val="0"/>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9、与“生态环境分区管控”符合性分析</w:t>
            </w:r>
          </w:p>
          <w:p>
            <w:pPr>
              <w:pStyle w:val="111"/>
              <w:numPr>
                <w:ilvl w:val="0"/>
                <w:numId w:val="3"/>
              </w:numPr>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生态环境管控要求符合性</w:t>
            </w:r>
          </w:p>
          <w:p>
            <w:pPr>
              <w:pStyle w:val="111"/>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阿坝州人民政府关于印发2023年生态环境分区管控动态更新成果的通知》（阿府发〔2024〕4号），阿坝州共划定环境综合管控单元60个，其中优先保护单元26个，重点管控单元21个，一般管控单元13个。阿坝州环境管控单元分布图详见下图。本项目与阿坝州、黑水县生态环境管控要求符合性见下表。</w:t>
            </w:r>
          </w:p>
          <w:p>
            <w:pPr>
              <w:pStyle w:val="78"/>
              <w:ind w:firstLine="174" w:firstLineChars="83"/>
              <w:jc w:val="center"/>
              <w:rPr>
                <w:rFonts w:hAnsi="Times New Roman" w:eastAsiaTheme="minorEastAsia"/>
                <w:b/>
                <w:color w:val="000000" w:themeColor="text1"/>
                <w:sz w:val="21"/>
                <w:szCs w:val="21"/>
                <w:lang w:bidi="en-US"/>
                <w14:textFill>
                  <w14:solidFill>
                    <w14:schemeClr w14:val="tx1"/>
                  </w14:solidFill>
                </w14:textFill>
              </w:rPr>
            </w:pPr>
            <w:r>
              <w:rPr>
                <w:rFonts w:hAnsi="Times New Roman" w:eastAsiaTheme="minorEastAsia"/>
                <w:b/>
                <w:color w:val="000000" w:themeColor="text1"/>
                <w:sz w:val="21"/>
                <w:szCs w:val="21"/>
                <w:lang w:bidi="en-US"/>
                <w14:textFill>
                  <w14:solidFill>
                    <w14:schemeClr w14:val="tx1"/>
                  </w14:solidFill>
                </w14:textFill>
              </w:rPr>
              <w:t>表1-6 本项目与阿坝州生态环境分区管控要求</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4373"/>
              <w:gridCol w:w="1342"/>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行政区域</w:t>
                  </w:r>
                </w:p>
              </w:tc>
              <w:tc>
                <w:tcPr>
                  <w:tcW w:w="4537"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总体管控要求</w:t>
                  </w:r>
                </w:p>
              </w:tc>
              <w:tc>
                <w:tcPr>
                  <w:tcW w:w="1373"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w:t>
                  </w:r>
                </w:p>
              </w:tc>
              <w:tc>
                <w:tcPr>
                  <w:tcW w:w="984"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阿坝州</w:t>
                  </w:r>
                </w:p>
              </w:tc>
              <w:tc>
                <w:tcPr>
                  <w:tcW w:w="4537" w:type="dxa"/>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1.加强“山水林田湖草沙”系统治理，重点推进若尔盖县等区域退化草原的生态治理与恢复，巩固提高水源涵养、生物多样性及水土保持等生态系统功能，增强生态系统固碳能力。</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2.加强矿产资源合理开发利用，推进绿色矿山建设，鼓励尾矿综合利用。</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3.合理引导控制生态旅游开发活动和规模，实现生态价值转换。</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4.合理引导控制畜牧业发展规模，严格落实草畜平衡、禁牧休牧及划区轮牧制度。</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5.优化重大工程项目选址选线，加强建设过程中的环境管理。</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6.严把岷江流域项目环境准入门槛，加快推进岷江沿岸产业布局调整，严控沿江现有工业污染物排放和环境风险，保障饮用水源安全。</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7.提高能源资源利用效率，加强水电行业管理，落实小水电整改要求。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8.补齐城乡生活污水、生活垃圾处理设施短板，推进城乡环境综合整治。</w:t>
                  </w:r>
                </w:p>
              </w:tc>
              <w:tc>
                <w:tcPr>
                  <w:tcW w:w="1373" w:type="dxa"/>
                  <w:vMerge w:val="restar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工程位于黑水县卡龙镇，为防洪除涝工程，工程的实施能有效提高工程河段的防洪能力，完善当地防洪体系，保护沿线居民的生命财产安全。</w:t>
                  </w:r>
                </w:p>
              </w:tc>
              <w:tc>
                <w:tcPr>
                  <w:tcW w:w="984"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黑水县</w:t>
                  </w:r>
                </w:p>
              </w:tc>
              <w:tc>
                <w:tcPr>
                  <w:tcW w:w="4537" w:type="dxa"/>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1.推进生态保护与修复，加强生物多样性功能区建设。</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2.合理开发旅游资源，实现生态价值转换。</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3.加强水电行业管理，落实小水电整改要求。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4.补齐城乡生活污水、生活垃圾处理设施短板，推进城乡环境综合整治。</w:t>
                  </w:r>
                </w:p>
              </w:tc>
              <w:tc>
                <w:tcPr>
                  <w:tcW w:w="1373" w:type="dxa"/>
                  <w:vMerge w:val="continue"/>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984"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bl>
          <w:p>
            <w:pPr>
              <w:widowControl/>
              <w:spacing w:before="159" w:beforeLines="50"/>
              <w:ind w:firstLine="482"/>
              <w:rPr>
                <w:rFonts w:eastAsiaTheme="minorEastAsia"/>
                <w:color w:val="000000" w:themeColor="text1"/>
                <w:szCs w:val="21"/>
                <w14:textFill>
                  <w14:solidFill>
                    <w14:schemeClr w14:val="tx1"/>
                  </w14:solidFill>
                </w14:textFill>
              </w:rPr>
            </w:pPr>
            <w:r>
              <w:rPr>
                <w:rFonts w:eastAsiaTheme="minorEastAsia"/>
                <w:b/>
                <w:color w:val="000000" w:themeColor="text1"/>
                <w14:textFill>
                  <w14:solidFill>
                    <w14:schemeClr w14:val="tx1"/>
                  </w14:solidFill>
                </w14:textFill>
              </w:rPr>
              <w:t>（2）项目所涉及的环境管控单元</w:t>
            </w:r>
          </w:p>
          <w:p>
            <w:pPr>
              <w:widowControl/>
              <w:ind w:firstLine="48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根据阿坝藏族羌族自治州环境管控单元分布图，本项目与阿坝藏族羌族自治州环境管控单元位置关系如下。</w:t>
            </w:r>
          </w:p>
          <w:p>
            <w:pPr>
              <w:autoSpaceDE w:val="0"/>
              <w:autoSpaceDN w:val="0"/>
              <w:ind w:firstLine="0" w:firstLineChars="0"/>
              <w:jc w:val="center"/>
              <w:rPr>
                <w:rFonts w:eastAsiaTheme="minorEastAsia"/>
                <w:bCs/>
                <w:color w:val="000000" w:themeColor="text1"/>
                <w:kern w:val="0"/>
                <w14:textFill>
                  <w14:solidFill>
                    <w14:schemeClr w14:val="tx1"/>
                  </w14:solidFill>
                </w14:textFill>
              </w:rPr>
            </w:pPr>
            <w:r>
              <w:rPr>
                <w:rFonts w:eastAsiaTheme="minorEastAsia"/>
                <w:b/>
                <w:bCs/>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1256665</wp:posOffset>
                      </wp:positionH>
                      <wp:positionV relativeFrom="paragraph">
                        <wp:posOffset>1250950</wp:posOffset>
                      </wp:positionV>
                      <wp:extent cx="968375" cy="315595"/>
                      <wp:effectExtent l="0" t="0" r="212725" b="274955"/>
                      <wp:wrapNone/>
                      <wp:docPr id="10" name="圆角矩形标注 10"/>
                      <wp:cNvGraphicFramePr/>
                      <a:graphic xmlns:a="http://schemas.openxmlformats.org/drawingml/2006/main">
                        <a:graphicData uri="http://schemas.microsoft.com/office/word/2010/wordprocessingShape">
                          <wps:wsp>
                            <wps:cNvSpPr>
                              <a:spLocks noChangeArrowheads="1"/>
                            </wps:cNvSpPr>
                            <wps:spPr bwMode="auto">
                              <a:xfrm>
                                <a:off x="0" y="0"/>
                                <a:ext cx="968375" cy="315595"/>
                              </a:xfrm>
                              <a:prstGeom prst="wedgeRoundRectCallout">
                                <a:avLst>
                                  <a:gd name="adj1" fmla="val 65415"/>
                                  <a:gd name="adj2" fmla="val 117196"/>
                                  <a:gd name="adj3" fmla="val 16667"/>
                                </a:avLst>
                              </a:prstGeom>
                              <a:solidFill>
                                <a:srgbClr val="FFFFFF"/>
                              </a:solidFill>
                              <a:ln w="9525">
                                <a:solidFill>
                                  <a:srgbClr val="FF0000"/>
                                </a:solidFill>
                                <a:miter lim="800000"/>
                              </a:ln>
                            </wps:spPr>
                            <wps:txbx>
                              <w:txbxContent>
                                <w:p>
                                  <w:pPr>
                                    <w:spacing w:line="240" w:lineRule="auto"/>
                                    <w:ind w:firstLine="0" w:firstLineChars="0"/>
                                    <w:rPr>
                                      <w:b/>
                                      <w:color w:val="FF0000"/>
                                      <w:sz w:val="21"/>
                                      <w:szCs w:val="21"/>
                                    </w:rPr>
                                  </w:pPr>
                                  <w:r>
                                    <w:rPr>
                                      <w:rFonts w:hint="eastAsia"/>
                                      <w:b/>
                                      <w:color w:val="FF0000"/>
                                      <w:sz w:val="21"/>
                                      <w:szCs w:val="21"/>
                                    </w:rPr>
                                    <w:t>项目所在地</w:t>
                                  </w:r>
                                </w:p>
                              </w:txbxContent>
                            </wps:txbx>
                            <wps:bodyPr rot="0" vert="horz" wrap="square" lIns="91440" tIns="45720" rIns="91440" bIns="45720" anchor="t" anchorCtr="0" upright="1">
                              <a:noAutofit/>
                            </wps:bodyPr>
                          </wps:wsp>
                        </a:graphicData>
                      </a:graphic>
                    </wp:anchor>
                  </w:drawing>
                </mc:Choice>
                <mc:Fallback>
                  <w:pict>
                    <v:shape id="_x0000_s1026" o:spid="_x0000_s1026" o:spt="62" type="#_x0000_t62" style="position:absolute;left:0pt;margin-left:98.95pt;margin-top:98.5pt;height:24.85pt;width:76.25pt;z-index:251660288;mso-width-relative:page;mso-height-relative:page;" fillcolor="#FFFFFF" filled="t" stroked="t" coordsize="21600,21600" o:gfxdata="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" adj="24930,36114,14400">
                      <v:fill on="t" focussize="0,0"/>
                      <v:stroke color="#FF0000" miterlimit="8" joinstyle="miter"/>
                      <v:imagedata o:title=""/>
                      <o:lock v:ext="edit" aspectratio="f"/>
                      <v:textbox>
                        <w:txbxContent>
                          <w:p>
                            <w:pPr>
                              <w:spacing w:line="240" w:lineRule="auto"/>
                              <w:ind w:firstLine="0" w:firstLineChars="0"/>
                              <w:rPr>
                                <w:b/>
                                <w:color w:val="FF0000"/>
                                <w:sz w:val="21"/>
                                <w:szCs w:val="21"/>
                              </w:rPr>
                            </w:pPr>
                            <w:r>
                              <w:rPr>
                                <w:rFonts w:hint="eastAsia"/>
                                <w:b/>
                                <w:color w:val="FF0000"/>
                                <w:sz w:val="21"/>
                                <w:szCs w:val="21"/>
                              </w:rPr>
                              <w:t>项目所在地</w:t>
                            </w:r>
                          </w:p>
                        </w:txbxContent>
                      </v:textbox>
                    </v:shape>
                  </w:pict>
                </mc:Fallback>
              </mc:AlternateContent>
            </w:r>
            <w:r>
              <w:rPr>
                <w:rFonts w:eastAsiaTheme="minorEastAsia"/>
                <w:color w:val="000000" w:themeColor="text1"/>
                <w14:textFill>
                  <w14:solidFill>
                    <w14:schemeClr w14:val="tx1"/>
                  </w14:solidFill>
                </w14:textFill>
              </w:rPr>
              <w:drawing>
                <wp:inline distT="0" distB="0" distL="0" distR="0">
                  <wp:extent cx="4404995" cy="3123565"/>
                  <wp:effectExtent l="0" t="0" r="0" b="635"/>
                  <wp:docPr id="6" name="图片 6" descr="3e29b46efa8b463aa5cc32d7c087d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e29b46efa8b463aa5cc32d7c087d873"/>
                          <pic:cNvPicPr>
                            <a:picLocks noChangeAspect="1" noChangeArrowheads="1"/>
                          </pic:cNvPicPr>
                        </pic:nvPicPr>
                        <pic:blipFill>
                          <a:blip r:embed="rId15">
                            <a:extLst>
                              <a:ext uri="{28A0092B-C50C-407E-A947-70E740481C1C}">
                                <a14:useLocalDpi xmlns:a14="http://schemas.microsoft.com/office/drawing/2010/main" val="0"/>
                              </a:ext>
                            </a:extLst>
                          </a:blip>
                          <a:srcRect l="2274" r="2150"/>
                          <a:stretch>
                            <a:fillRect/>
                          </a:stretch>
                        </pic:blipFill>
                        <pic:spPr>
                          <a:xfrm>
                            <a:off x="0" y="0"/>
                            <a:ext cx="4415621" cy="3131079"/>
                          </a:xfrm>
                          <a:prstGeom prst="rect">
                            <a:avLst/>
                          </a:prstGeom>
                          <a:noFill/>
                          <a:ln>
                            <a:noFill/>
                          </a:ln>
                        </pic:spPr>
                      </pic:pic>
                    </a:graphicData>
                  </a:graphic>
                </wp:inline>
              </w:drawing>
            </w:r>
          </w:p>
          <w:p>
            <w:pPr>
              <w:pStyle w:val="78"/>
              <w:ind w:firstLine="422"/>
              <w:rPr>
                <w:rFonts w:hAnsi="Times New Roman" w:eastAsiaTheme="minorEastAsia"/>
                <w:b/>
                <w:color w:val="000000" w:themeColor="text1"/>
                <w:sz w:val="21"/>
                <w:szCs w:val="21"/>
                <w:lang w:bidi="en-US"/>
                <w14:textFill>
                  <w14:solidFill>
                    <w14:schemeClr w14:val="tx1"/>
                  </w14:solidFill>
                </w14:textFill>
              </w:rPr>
            </w:pPr>
            <w:r>
              <w:rPr>
                <w:rFonts w:hAnsi="Times New Roman" w:eastAsiaTheme="minorEastAsia"/>
                <w:b/>
                <w:color w:val="000000" w:themeColor="text1"/>
                <w:sz w:val="21"/>
                <w:szCs w:val="21"/>
                <w:lang w:bidi="en-US"/>
                <w14:textFill>
                  <w14:solidFill>
                    <w14:schemeClr w14:val="tx1"/>
                  </w14:solidFill>
                </w14:textFill>
              </w:rPr>
              <w:t>图1-1  本项目在阿坝藏族羌族自治州环境综合管控单元中的位置关系图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lang w:bidi="en-US"/>
                <w14:textFill>
                  <w14:solidFill>
                    <w14:schemeClr w14:val="tx1"/>
                  </w14:solidFill>
                </w14:textFill>
              </w:rPr>
              <w:t>本项目与阿坝州生态环境分区管控要求</w:t>
            </w:r>
            <w:r>
              <w:rPr>
                <w:rFonts w:hAnsi="Times New Roman" w:eastAsiaTheme="minorEastAsia"/>
                <w:color w:val="000000" w:themeColor="text1"/>
                <w14:textFill>
                  <w14:solidFill>
                    <w14:schemeClr w14:val="tx1"/>
                  </w14:solidFill>
                </w14:textFill>
              </w:rPr>
              <w:t>如下表。</w:t>
            </w:r>
          </w:p>
          <w:p>
            <w:pPr>
              <w:pStyle w:val="78"/>
              <w:ind w:firstLine="0" w:firstLineChars="0"/>
              <w:jc w:val="center"/>
              <w:rPr>
                <w:rFonts w:hAnsi="Times New Roman" w:eastAsiaTheme="minorEastAsia"/>
                <w:b/>
                <w:color w:val="000000" w:themeColor="text1"/>
                <w:sz w:val="21"/>
                <w:szCs w:val="21"/>
                <w:lang w:bidi="en-US"/>
                <w14:textFill>
                  <w14:solidFill>
                    <w14:schemeClr w14:val="tx1"/>
                  </w14:solidFill>
                </w14:textFill>
              </w:rPr>
            </w:pPr>
            <w:r>
              <w:rPr>
                <w:rFonts w:hAnsi="Times New Roman" w:eastAsiaTheme="minorEastAsia"/>
                <w:color w:val="000000" w:themeColor="text1"/>
                <w14:textFill>
                  <w14:solidFill>
                    <w14:schemeClr w14:val="tx1"/>
                  </w14:solidFill>
                </w14:textFill>
              </w:rPr>
              <w:drawing>
                <wp:inline distT="0" distB="0" distL="0" distR="0">
                  <wp:extent cx="4233545" cy="2433955"/>
                  <wp:effectExtent l="0" t="0" r="0" b="4445"/>
                  <wp:docPr id="12" name="Drawing 0" descr="position-map-17866078694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0" descr="position-map-1786607869494.png"/>
                          <pic:cNvPicPr>
                            <a:picLocks noChangeAspect="1"/>
                          </pic:cNvPicPr>
                        </pic:nvPicPr>
                        <pic:blipFill>
                          <a:blip r:embed="rId16"/>
                          <a:stretch>
                            <a:fillRect/>
                          </a:stretch>
                        </pic:blipFill>
                        <pic:spPr>
                          <a:xfrm>
                            <a:off x="0" y="0"/>
                            <a:ext cx="4245703" cy="2441280"/>
                          </a:xfrm>
                          <a:prstGeom prst="rect">
                            <a:avLst/>
                          </a:prstGeom>
                        </pic:spPr>
                      </pic:pic>
                    </a:graphicData>
                  </a:graphic>
                </wp:inline>
              </w:drawing>
            </w:r>
          </w:p>
          <w:p>
            <w:pPr>
              <w:pStyle w:val="78"/>
              <w:ind w:firstLine="174" w:firstLineChars="83"/>
              <w:jc w:val="center"/>
              <w:rPr>
                <w:rFonts w:hAnsi="Times New Roman" w:eastAsiaTheme="minorEastAsia"/>
                <w:b/>
                <w:color w:val="000000" w:themeColor="text1"/>
                <w:sz w:val="21"/>
                <w:szCs w:val="21"/>
                <w:lang w:bidi="en-US"/>
                <w14:textFill>
                  <w14:solidFill>
                    <w14:schemeClr w14:val="tx1"/>
                  </w14:solidFill>
                </w14:textFill>
              </w:rPr>
            </w:pPr>
            <w:r>
              <w:rPr>
                <w:rFonts w:hAnsi="Times New Roman" w:eastAsiaTheme="minorEastAsia"/>
                <w:b/>
                <w:color w:val="000000" w:themeColor="text1"/>
                <w:sz w:val="21"/>
                <w:szCs w:val="21"/>
                <w:lang w:bidi="en-US"/>
                <w14:textFill>
                  <w14:solidFill>
                    <w14:schemeClr w14:val="tx1"/>
                  </w14:solidFill>
                </w14:textFill>
              </w:rPr>
              <w:t>图1-5 项目与生态环境管控单元的位置关系如下图</w:t>
            </w:r>
          </w:p>
          <w:p>
            <w:pPr>
              <w:pStyle w:val="78"/>
              <w:ind w:firstLine="480"/>
              <w:rPr>
                <w:rFonts w:hAnsi="Times New Roman" w:eastAsiaTheme="minorEastAsia"/>
                <w:color w:val="000000" w:themeColor="text1"/>
                <w:lang w:bidi="en-US"/>
                <w14:textFill>
                  <w14:solidFill>
                    <w14:schemeClr w14:val="tx1"/>
                  </w14:solidFill>
                </w14:textFill>
              </w:rPr>
            </w:pPr>
            <w:r>
              <w:rPr>
                <w:rFonts w:hAnsi="Times New Roman" w:eastAsiaTheme="minorEastAsia"/>
                <w:color w:val="000000" w:themeColor="text1"/>
                <w:lang w:bidi="en-US"/>
                <w14:textFill>
                  <w14:solidFill>
                    <w14:schemeClr w14:val="tx1"/>
                  </w14:solidFill>
                </w14:textFill>
              </w:rPr>
              <w:t>该项目涉及生态环境管控单元1个，详见下表。</w:t>
            </w:r>
          </w:p>
          <w:p>
            <w:pPr>
              <w:pStyle w:val="112"/>
              <w:spacing w:before="159"/>
              <w:rPr>
                <w:rFonts w:eastAsiaTheme="minorEastAsia"/>
                <w:color w:val="000000" w:themeColor="text1"/>
                <w:lang w:bidi="en-US"/>
                <w14:textFill>
                  <w14:solidFill>
                    <w14:schemeClr w14:val="tx1"/>
                  </w14:solidFill>
                </w14:textFill>
              </w:rPr>
            </w:pPr>
            <w:r>
              <w:rPr>
                <w:rFonts w:eastAsiaTheme="minorEastAsia"/>
                <w:color w:val="000000" w:themeColor="text1"/>
                <w:lang w:bidi="en-US"/>
                <w14:textFill>
                  <w14:solidFill>
                    <w14:schemeClr w14:val="tx1"/>
                  </w14:solidFill>
                </w14:textFill>
              </w:rPr>
              <w:t>表1-7 项目涉及生态环境管控单元</w:t>
            </w:r>
          </w:p>
          <w:tbl>
            <w:tblPr>
              <w:tblStyle w:val="30"/>
              <w:tblW w:w="5000" w:type="pct"/>
              <w:tblInd w:w="0" w:type="dxa"/>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Layout w:type="autofit"/>
              <w:tblCellMar>
                <w:top w:w="0" w:type="dxa"/>
                <w:left w:w="10" w:type="dxa"/>
                <w:bottom w:w="0" w:type="dxa"/>
                <w:right w:w="10" w:type="dxa"/>
              </w:tblCellMar>
            </w:tblPr>
            <w:tblGrid>
              <w:gridCol w:w="652"/>
              <w:gridCol w:w="3422"/>
              <w:gridCol w:w="1295"/>
              <w:gridCol w:w="1140"/>
              <w:gridCol w:w="885"/>
            </w:tblGrid>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441" w:type="pct"/>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序号</w:t>
                  </w:r>
                </w:p>
              </w:tc>
              <w:tc>
                <w:tcPr>
                  <w:tcW w:w="2314"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涉及环境管控单元名称</w:t>
                  </w:r>
                </w:p>
              </w:tc>
              <w:tc>
                <w:tcPr>
                  <w:tcW w:w="876"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涉及环境管控单元编码</w:t>
                  </w:r>
                </w:p>
              </w:tc>
              <w:tc>
                <w:tcPr>
                  <w:tcW w:w="771"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行政区划</w:t>
                  </w:r>
                </w:p>
              </w:tc>
              <w:tc>
                <w:tcPr>
                  <w:tcW w:w="599"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环境管控单元类型</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441" w:type="pct"/>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2314"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四川雅克夏国家森林自然公园、叠溪-松坪沟风景名胜区、卡龙沟-达古冰川风景名胜区、米亚罗风景名胜区、四川达古冰川自然保护区、二谷鲁沟二谷鲁村水源地、谷汝村谷汝沟水源地、四川省三奥雪山森林公园、四川雅克夏国家级森林公园、生态功能重要区-生物多样性维护重要区、四川省三奥雪山森林自然公园、四川达古冰川国家地质公园、四川达古冰川省级自然保护区、生态功能极重要区、四川省热务沟省级森林公园、生态功能重要区-水源涵养重要区、生物多样性维护重要区、水源涵养重要区</w:t>
                  </w:r>
                </w:p>
              </w:tc>
              <w:tc>
                <w:tcPr>
                  <w:tcW w:w="876"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ZH51322</w:t>
                  </w:r>
                </w:p>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810001</w:t>
                  </w:r>
                </w:p>
              </w:tc>
              <w:tc>
                <w:tcPr>
                  <w:tcW w:w="771"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阿坝藏族羌族自治州黑水县</w:t>
                  </w:r>
                </w:p>
              </w:tc>
              <w:tc>
                <w:tcPr>
                  <w:tcW w:w="599"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优先保护单元</w:t>
                  </w:r>
                </w:p>
              </w:tc>
            </w:tr>
          </w:tbl>
          <w:p>
            <w:pPr>
              <w:pStyle w:val="78"/>
              <w:ind w:firstLine="480"/>
              <w:rPr>
                <w:rFonts w:hAnsi="Times New Roman" w:eastAsiaTheme="minorEastAsia"/>
                <w:color w:val="000000" w:themeColor="text1"/>
                <w:lang w:bidi="en-US"/>
                <w14:textFill>
                  <w14:solidFill>
                    <w14:schemeClr w14:val="tx1"/>
                  </w14:solidFill>
                </w14:textFill>
              </w:rPr>
            </w:pPr>
            <w:r>
              <w:rPr>
                <w:rFonts w:hAnsi="Times New Roman" w:eastAsiaTheme="minorEastAsia"/>
                <w:color w:val="000000" w:themeColor="text1"/>
                <w:lang w:bidi="en-US"/>
                <w14:textFill>
                  <w14:solidFill>
                    <w14:schemeClr w14:val="tx1"/>
                  </w14:solidFill>
                </w14:textFill>
              </w:rPr>
              <w:t>涉及的环境要素管控分区有4个，详见下表。</w:t>
            </w:r>
          </w:p>
          <w:p>
            <w:pPr>
              <w:pStyle w:val="78"/>
              <w:ind w:firstLine="480"/>
              <w:rPr>
                <w:rFonts w:hAnsi="Times New Roman" w:eastAsiaTheme="minorEastAsia"/>
                <w:color w:val="000000" w:themeColor="text1"/>
                <w:lang w:bidi="en-US"/>
                <w14:textFill>
                  <w14:solidFill>
                    <w14:schemeClr w14:val="tx1"/>
                  </w14:solidFill>
                </w14:textFill>
              </w:rPr>
            </w:pPr>
          </w:p>
          <w:p>
            <w:pPr>
              <w:pStyle w:val="79"/>
              <w:spacing w:before="159"/>
              <w:ind w:firstLine="422"/>
              <w:rPr>
                <w:rFonts w:eastAsiaTheme="minorEastAsia"/>
                <w:color w:val="000000" w:themeColor="text1"/>
                <w:lang w:bidi="en-US"/>
                <w14:textFill>
                  <w14:solidFill>
                    <w14:schemeClr w14:val="tx1"/>
                  </w14:solidFill>
                </w14:textFill>
              </w:rPr>
            </w:pPr>
            <w:r>
              <w:rPr>
                <w:rFonts w:eastAsiaTheme="minorEastAsia"/>
                <w:color w:val="000000" w:themeColor="text1"/>
                <w:lang w:bidi="en-US"/>
                <w14:textFill>
                  <w14:solidFill>
                    <w14:schemeClr w14:val="tx1"/>
                  </w14:solidFill>
                </w14:textFill>
              </w:rPr>
              <w:t>表1-8 本项目涉及管控单元一览表</w:t>
            </w:r>
          </w:p>
          <w:tbl>
            <w:tblPr>
              <w:tblStyle w:val="30"/>
              <w:tblW w:w="5000" w:type="pct"/>
              <w:tblInd w:w="0" w:type="dxa"/>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Layout w:type="autofit"/>
              <w:tblCellMar>
                <w:top w:w="0" w:type="dxa"/>
                <w:left w:w="10" w:type="dxa"/>
                <w:bottom w:w="0" w:type="dxa"/>
                <w:right w:w="10" w:type="dxa"/>
              </w:tblCellMar>
            </w:tblPr>
            <w:tblGrid>
              <w:gridCol w:w="326"/>
              <w:gridCol w:w="1774"/>
              <w:gridCol w:w="1734"/>
              <w:gridCol w:w="1320"/>
              <w:gridCol w:w="724"/>
              <w:gridCol w:w="1516"/>
            </w:tblGrid>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224" w:type="pct"/>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序号</w:t>
                  </w:r>
                </w:p>
              </w:tc>
              <w:tc>
                <w:tcPr>
                  <w:tcW w:w="120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涉及环境要素管控分区名称</w:t>
                  </w:r>
                </w:p>
              </w:tc>
              <w:tc>
                <w:tcPr>
                  <w:tcW w:w="115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涉及环境要素管控分区编码</w:t>
                  </w:r>
                </w:p>
              </w:tc>
              <w:tc>
                <w:tcPr>
                  <w:tcW w:w="895"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行政区划</w:t>
                  </w:r>
                </w:p>
              </w:tc>
              <w:tc>
                <w:tcPr>
                  <w:tcW w:w="49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环境要素类型</w:t>
                  </w:r>
                </w:p>
              </w:tc>
              <w:tc>
                <w:tcPr>
                  <w:tcW w:w="102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环境要素细类</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224" w:type="pct"/>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120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黑水县自然资源一般管控区</w:t>
                  </w:r>
                </w:p>
              </w:tc>
              <w:tc>
                <w:tcPr>
                  <w:tcW w:w="115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YS5132283510001</w:t>
                  </w:r>
                </w:p>
              </w:tc>
              <w:tc>
                <w:tcPr>
                  <w:tcW w:w="895"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阿坝藏族羌族自治州黑水县</w:t>
                  </w:r>
                </w:p>
              </w:tc>
              <w:tc>
                <w:tcPr>
                  <w:tcW w:w="49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自然资源</w:t>
                  </w:r>
                </w:p>
              </w:tc>
              <w:tc>
                <w:tcPr>
                  <w:tcW w:w="102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自然资源一般管控区</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224" w:type="pct"/>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w:t>
                  </w:r>
                </w:p>
              </w:tc>
              <w:tc>
                <w:tcPr>
                  <w:tcW w:w="120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卡龙沟-达古冰川风景名胜区</w:t>
                  </w:r>
                </w:p>
              </w:tc>
              <w:tc>
                <w:tcPr>
                  <w:tcW w:w="115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YS5132281310001</w:t>
                  </w:r>
                </w:p>
              </w:tc>
              <w:tc>
                <w:tcPr>
                  <w:tcW w:w="895"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阿坝藏族羌族自治州黑水县</w:t>
                  </w:r>
                </w:p>
              </w:tc>
              <w:tc>
                <w:tcPr>
                  <w:tcW w:w="49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大气</w:t>
                  </w:r>
                </w:p>
              </w:tc>
              <w:tc>
                <w:tcPr>
                  <w:tcW w:w="102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大气环境优先保护区</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224" w:type="pct"/>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120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生态优先保护区（一般生态空间）33</w:t>
                  </w:r>
                </w:p>
              </w:tc>
              <w:tc>
                <w:tcPr>
                  <w:tcW w:w="115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YS5132281130033</w:t>
                  </w:r>
                </w:p>
              </w:tc>
              <w:tc>
                <w:tcPr>
                  <w:tcW w:w="895"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阿坝藏族羌族自治州黑水县</w:t>
                  </w:r>
                </w:p>
              </w:tc>
              <w:tc>
                <w:tcPr>
                  <w:tcW w:w="49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生态</w:t>
                  </w:r>
                </w:p>
              </w:tc>
              <w:tc>
                <w:tcPr>
                  <w:tcW w:w="102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一般生态空间</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224" w:type="pct"/>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w:t>
                  </w:r>
                </w:p>
              </w:tc>
              <w:tc>
                <w:tcPr>
                  <w:tcW w:w="120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黑水河-黑水县-色尔古乡-控制单元</w:t>
                  </w:r>
                </w:p>
              </w:tc>
              <w:tc>
                <w:tcPr>
                  <w:tcW w:w="115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YS5132283210001</w:t>
                  </w:r>
                </w:p>
              </w:tc>
              <w:tc>
                <w:tcPr>
                  <w:tcW w:w="895"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阿坝藏族羌族自治州黑水县</w:t>
                  </w:r>
                </w:p>
              </w:tc>
              <w:tc>
                <w:tcPr>
                  <w:tcW w:w="49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w:t>
                  </w:r>
                </w:p>
              </w:tc>
              <w:tc>
                <w:tcPr>
                  <w:tcW w:w="102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水环境一般管控区</w:t>
                  </w:r>
                </w:p>
              </w:tc>
            </w:tr>
          </w:tbl>
          <w:p>
            <w:pPr>
              <w:pStyle w:val="88"/>
              <w:ind w:firstLine="480"/>
              <w:rPr>
                <w:rFonts w:eastAsiaTheme="minorEastAsia"/>
                <w:color w:val="000000" w:themeColor="text1"/>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88"/>
              <w:ind w:firstLine="480"/>
              <w:rPr>
                <w:rFonts w:eastAsiaTheme="minorEastAsia"/>
                <w:color w:val="000000" w:themeColor="text1"/>
                <w:lang w:bidi="en-US"/>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tc>
      </w:tr>
    </w:tbl>
    <w:p>
      <w:pPr>
        <w:pStyle w:val="78"/>
        <w:ind w:firstLine="0" w:firstLineChars="0"/>
        <w:jc w:val="right"/>
        <w:rPr>
          <w:rFonts w:hAnsi="Times New Roman" w:eastAsiaTheme="minorEastAsia"/>
          <w:color w:val="000000" w:themeColor="text1"/>
          <w14:textFill>
            <w14:solidFill>
              <w14:schemeClr w14:val="tx1"/>
            </w14:solidFill>
          </w14:textFill>
        </w:rPr>
        <w:sectPr>
          <w:footerReference r:id="rId11" w:type="default"/>
          <w:pgSz w:w="11906" w:h="16838"/>
          <w:pgMar w:top="1701" w:right="1531" w:bottom="1701" w:left="1531" w:header="851" w:footer="1077" w:gutter="0"/>
          <w:pgNumType w:start="1"/>
          <w:cols w:space="720" w:num="1"/>
          <w:docGrid w:type="lines" w:linePitch="319" w:charSpace="0"/>
        </w:sectPr>
      </w:pPr>
    </w:p>
    <w:p>
      <w:pPr>
        <w:pStyle w:val="78"/>
        <w:ind w:firstLine="0" w:firstLineChars="0"/>
        <w:jc w:val="right"/>
        <w:rPr>
          <w:rFonts w:hAnsi="Times New Roman" w:eastAsiaTheme="minorEastAsia"/>
          <w:color w:val="000000" w:themeColor="text1"/>
          <w14:textFill>
            <w14:solidFill>
              <w14:schemeClr w14:val="tx1"/>
            </w14:solidFill>
          </w14:textFill>
        </w:rPr>
      </w:pP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12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 w:type="pct"/>
            <w:vAlign w:val="center"/>
          </w:tcPr>
          <w:p>
            <w:pPr>
              <w:tabs>
                <w:tab w:val="left" w:pos="2601"/>
              </w:tabs>
              <w:ind w:firstLine="0" w:firstLineChars="0"/>
              <w:jc w:val="center"/>
              <w:outlineLvl w:val="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其他符合性分析</w:t>
            </w:r>
          </w:p>
        </w:tc>
        <w:tc>
          <w:tcPr>
            <w:tcW w:w="4661" w:type="pct"/>
          </w:tcPr>
          <w:p>
            <w:pPr>
              <w:pStyle w:val="111"/>
              <w:ind w:firstLine="482"/>
              <w:rPr>
                <w:rFonts w:hAnsi="Times New Roman" w:eastAsiaTheme="minorEastAsia"/>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（3）生态环境准入清单符合性分析</w:t>
            </w:r>
          </w:p>
          <w:p>
            <w:pPr>
              <w:pStyle w:val="111"/>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1）普适性清单管控要求符合性分析</w:t>
            </w:r>
          </w:p>
          <w:p>
            <w:pPr>
              <w:pStyle w:val="111"/>
              <w:rPr>
                <w:rFonts w:hAnsi="Times New Roman" w:eastAsiaTheme="minorEastAsia"/>
                <w:bCs/>
                <w:color w:val="000000" w:themeColor="text1"/>
                <w14:textFill>
                  <w14:solidFill>
                    <w14:schemeClr w14:val="tx1"/>
                  </w14:solidFill>
                </w14:textFill>
              </w:rPr>
            </w:pPr>
            <w:r>
              <w:rPr>
                <w:rFonts w:hAnsi="Times New Roman" w:eastAsiaTheme="minorEastAsia"/>
                <w:bCs/>
                <w:color w:val="000000" w:themeColor="text1"/>
                <w14:textFill>
                  <w14:solidFill>
                    <w14:schemeClr w14:val="tx1"/>
                  </w14:solidFill>
                </w14:textFill>
              </w:rPr>
              <w:t>本项目位于阿坝藏族羌族自治州“黑水县优先保护单元（管控单元编号：ZH51322810001），本次评价从空间布局约束、污染物排放管控、环境风险防控、资源开发效率等四个维度进行普适性清单管控要求进行符合性分析，具体如下表。</w:t>
            </w:r>
          </w:p>
          <w:p>
            <w:pPr>
              <w:pStyle w:val="80"/>
              <w:spacing w:before="163"/>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表1-9  项目与市（州）普适性管控要求一览表</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Layout w:type="autofit"/>
              <w:tblCellMar>
                <w:top w:w="0" w:type="dxa"/>
                <w:left w:w="10" w:type="dxa"/>
                <w:bottom w:w="0" w:type="dxa"/>
                <w:right w:w="10" w:type="dxa"/>
              </w:tblCellMar>
            </w:tblPr>
            <w:tblGrid>
              <w:gridCol w:w="733"/>
              <w:gridCol w:w="876"/>
              <w:gridCol w:w="853"/>
              <w:gridCol w:w="1573"/>
              <w:gridCol w:w="6044"/>
              <w:gridCol w:w="1888"/>
              <w:gridCol w:w="536"/>
            </w:tblGrid>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rPr>
                <w:jc w:val="center"/>
              </w:trPr>
              <w:tc>
                <w:tcPr>
                  <w:tcW w:w="264" w:type="pct"/>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hint="default" w:eastAsiaTheme="minorEastAsia"/>
                      <w:color w:val="000000" w:themeColor="text1"/>
                      <w:kern w:val="0"/>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市（州）</w:t>
                  </w:r>
                </w:p>
              </w:tc>
              <w:tc>
                <w:tcPr>
                  <w:tcW w:w="355"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涉及县区</w:t>
                  </w:r>
                </w:p>
              </w:tc>
              <w:tc>
                <w:tcPr>
                  <w:tcW w:w="346"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区域名称</w:t>
                  </w:r>
                </w:p>
              </w:tc>
              <w:tc>
                <w:tcPr>
                  <w:tcW w:w="634"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管控类别</w:t>
                  </w:r>
                </w:p>
              </w:tc>
              <w:tc>
                <w:tcPr>
                  <w:tcW w:w="242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管控要求</w:t>
                  </w:r>
                </w:p>
              </w:tc>
              <w:tc>
                <w:tcPr>
                  <w:tcW w:w="760"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本项目</w:t>
                  </w:r>
                </w:p>
              </w:tc>
              <w:tc>
                <w:tcPr>
                  <w:tcW w:w="219"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符合性</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rPr>
                <w:jc w:val="center"/>
              </w:trPr>
              <w:tc>
                <w:tcPr>
                  <w:tcW w:w="264" w:type="pct"/>
                  <w:vMerge w:val="restart"/>
                  <w:tcBorders>
                    <w:top w:val="nil"/>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阿坝藏族羌族自治州</w:t>
                  </w:r>
                </w:p>
              </w:tc>
              <w:tc>
                <w:tcPr>
                  <w:tcW w:w="355" w:type="pct"/>
                  <w:vMerge w:val="restart"/>
                  <w:tcBorders>
                    <w:top w:val="nil"/>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马尔康市+汶川县+理县+茂县+松潘县+九寨沟县+金川县+小金县+黑水县+壤塘县+阿坝县+若尔盖县+红原县</w:t>
                  </w:r>
                </w:p>
              </w:tc>
              <w:tc>
                <w:tcPr>
                  <w:tcW w:w="346" w:type="pct"/>
                  <w:vMerge w:val="restart"/>
                  <w:tcBorders>
                    <w:top w:val="nil"/>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马尔康市+汶川县+理县+茂县+松潘县+九寨沟县+金川县+小金县+黑水县+壤塘县+阿坝县+若尔盖县+红原县</w:t>
                  </w:r>
                </w:p>
              </w:tc>
              <w:tc>
                <w:tcPr>
                  <w:tcW w:w="634"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空间布局约束</w:t>
                  </w:r>
                </w:p>
              </w:tc>
              <w:tc>
                <w:tcPr>
                  <w:tcW w:w="242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【限制开发建设活动的要求】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合理控制生态旅游开发活动和规模，实现生态价值转换。合理控制畜牧业发展规模，严格落实草蓄平衡、禁牧休牧及划区轮牧制度。优化重大工程项目选址选线，加强建设过程中的环境管理。 严把岷江流域项目环境准门槛，加快推进岷江沿岸产业布局调整，严控沿江现有工业污染物排放和环境风险，保障饮用水源安全。</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【其他空间布局约束要求】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加强“山水林田湖草沙”系统治理，重点推进若尔盖县等区域退化草原的生态治理与恢复，巩固提高水源涵养、生物多样性及水土保持等生态系统功能，增强生态系统固碳能力。加强矿产资源合理开发利用，推进绿色矿山建设，鼓励尾矿综合利用。 提高能源资源利用效率，加强水电行业管理，落实小水电整改要求。 补齐城乡生活污水、生活垃圾处理设施短板，推进城乡环境综合整治。</w:t>
                  </w:r>
                </w:p>
              </w:tc>
              <w:tc>
                <w:tcPr>
                  <w:tcW w:w="760" w:type="pct"/>
                  <w:tcBorders>
                    <w:top w:val="single" w:color="000000" w:sz="4" w:space="0"/>
                    <w:left w:val="nil"/>
                    <w:bottom w:val="single" w:color="000000" w:sz="4" w:space="0"/>
                    <w:right w:val="single" w:color="000000" w:sz="4" w:space="0"/>
                  </w:tcBorders>
                  <w:vAlign w:val="center"/>
                </w:tcPr>
                <w:p>
                  <w:pPr>
                    <w:pStyle w:val="26"/>
                    <w:autoSpaceDE w:val="0"/>
                    <w:spacing w:before="0" w:beforeAutospacing="0" w:after="0" w:afterAutospacing="0" w:line="240" w:lineRule="auto"/>
                    <w:ind w:firstLine="0" w:firstLineChars="0"/>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本项目位于黑水县卡龙镇才盖村，为防洪治理工程，不属于管控要求中禁止、限制类生产建设活动。</w:t>
                  </w:r>
                </w:p>
              </w:tc>
              <w:tc>
                <w:tcPr>
                  <w:tcW w:w="219"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rPr>
                <w:jc w:val="center"/>
              </w:trPr>
              <w:tc>
                <w:tcPr>
                  <w:tcW w:w="264" w:type="pct"/>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5"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46"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634"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污染物排放管控</w:t>
                  </w:r>
                </w:p>
              </w:tc>
              <w:tc>
                <w:tcPr>
                  <w:tcW w:w="242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760"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19"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rPr>
                <w:jc w:val="center"/>
              </w:trPr>
              <w:tc>
                <w:tcPr>
                  <w:tcW w:w="264" w:type="pct"/>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5"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46"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634"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环境风险防控</w:t>
                  </w:r>
                </w:p>
              </w:tc>
              <w:tc>
                <w:tcPr>
                  <w:tcW w:w="242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760"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19"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rPr>
                <w:jc w:val="center"/>
              </w:trPr>
              <w:tc>
                <w:tcPr>
                  <w:tcW w:w="264" w:type="pct"/>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5"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46"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634"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资源开发利用效率要求</w:t>
                  </w:r>
                </w:p>
              </w:tc>
              <w:tc>
                <w:tcPr>
                  <w:tcW w:w="242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760"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19"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bl>
          <w:p>
            <w:pPr>
              <w:pStyle w:val="80"/>
              <w:spacing w:before="163"/>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表1-10 本项目与优先保护单元符合性分析</w:t>
            </w:r>
          </w:p>
          <w:tbl>
            <w:tblPr>
              <w:tblStyle w:val="30"/>
              <w:tblW w:w="12234" w:type="dxa"/>
              <w:tblInd w:w="58" w:type="dxa"/>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Layout w:type="autofit"/>
              <w:tblCellMar>
                <w:top w:w="0" w:type="dxa"/>
                <w:left w:w="10" w:type="dxa"/>
                <w:bottom w:w="0" w:type="dxa"/>
                <w:right w:w="10" w:type="dxa"/>
              </w:tblCellMar>
            </w:tblPr>
            <w:tblGrid>
              <w:gridCol w:w="733"/>
              <w:gridCol w:w="844"/>
              <w:gridCol w:w="843"/>
              <w:gridCol w:w="1543"/>
              <w:gridCol w:w="5887"/>
              <w:gridCol w:w="1822"/>
              <w:gridCol w:w="562"/>
            </w:tblGrid>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613" w:type="dxa"/>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hint="default" w:eastAsiaTheme="minorEastAsia"/>
                      <w:color w:val="000000" w:themeColor="text1"/>
                      <w:kern w:val="0"/>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市（州）</w:t>
                  </w:r>
                </w:p>
              </w:tc>
              <w:tc>
                <w:tcPr>
                  <w:tcW w:w="851"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涉及县区</w:t>
                  </w:r>
                </w:p>
              </w:tc>
              <w:tc>
                <w:tcPr>
                  <w:tcW w:w="850"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区域名称</w:t>
                  </w:r>
                </w:p>
              </w:tc>
              <w:tc>
                <w:tcPr>
                  <w:tcW w:w="1560"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管控类别</w:t>
                  </w:r>
                </w:p>
              </w:tc>
              <w:tc>
                <w:tcPr>
                  <w:tcW w:w="5953"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管控要求</w:t>
                  </w:r>
                </w:p>
              </w:tc>
              <w:tc>
                <w:tcPr>
                  <w:tcW w:w="1841"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本项目</w:t>
                  </w:r>
                </w:p>
              </w:tc>
              <w:tc>
                <w:tcPr>
                  <w:tcW w:w="566"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符合性</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613" w:type="dxa"/>
                  <w:vMerge w:val="restart"/>
                  <w:tcBorders>
                    <w:top w:val="nil"/>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阿坝藏族羌族自治州</w:t>
                  </w:r>
                </w:p>
              </w:tc>
              <w:tc>
                <w:tcPr>
                  <w:tcW w:w="851" w:type="dxa"/>
                  <w:vMerge w:val="restart"/>
                  <w:tcBorders>
                    <w:top w:val="nil"/>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马尔康市+汶川县+理县+茂县+松潘县+九寨沟县+金川县+小金县+黑水县+壤塘县+阿坝县+若尔盖县+红原县</w:t>
                  </w:r>
                </w:p>
              </w:tc>
              <w:tc>
                <w:tcPr>
                  <w:tcW w:w="850" w:type="dxa"/>
                  <w:vMerge w:val="restart"/>
                  <w:tcBorders>
                    <w:top w:val="nil"/>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马尔康市+汶川县+理县+茂县+松潘县+九寨沟县+金川县+小金县+黑水县+壤塘县+阿坝县+若尔盖县+红原县</w:t>
                  </w:r>
                </w:p>
              </w:tc>
              <w:tc>
                <w:tcPr>
                  <w:tcW w:w="1560"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空间布局约束</w:t>
                  </w:r>
                </w:p>
              </w:tc>
              <w:tc>
                <w:tcPr>
                  <w:tcW w:w="5953"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【禁止开发建设活动的要求】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态保护红线——-生态保护红线内自然保护地核心保护区外，禁止开发性、生产性建设活动，在符合法律法规的前提下，仅允许《关于加强生态保护红线管理的通知（试行）》（自然资发[2022]142号）中规定的十类对生态功能不造成破坏的有限人为活动。生态保护红线内自然保护区、风景名胜区、饮用水水源保护区等区域，依照法律法规执行。 自然保护区——-禁止任何人进入自然保护区的核心区。自然保护区核心区内原有居民确有必要迁出的，由自然保护区所在地的县级以上地方人民政府制定方案，予以妥善安置。 -禁止在自然保护区的缓冲区开展旅游和生产经营活动。 -严禁开设与自然保护区保护方向不一致的参观、旅游项目。 -禁止在自然保护区内进行砍伐、放牧、狩猎、捕捞、采药、开垦、烧荒、开矿、采石、挖沙等活动（法律、行政法规另有规定除外）。 -在自然保护区的核心区和缓冲区内，禁止建设任何生产设施。在自然保护区的实验区内，不得建设污染环境、破坏资源或者景观的生产设施。 -自然保护区的内部未分区的，依照本条例有关核心区和缓冲区的规定管理。风景名胜区——禁止开山、采石、开矿、开荒、修坟立碑等破坏景观、植被和地形地貌的活动；禁止违反风景名胜区规划，在风景名胜区内设立各类开发区和在核心景区内建设宾馆、招待所、培训中心、疗养院以及与风景名胜资源保护无关的其他建筑物；已经建设的，应当按照风景名胜区规划，逐步迁出；禁止风景名胜区内修建储存或者输送爆炸性、易燃性、放射性、毒害性、腐蚀性物品等危险品的设施，或者其他破坏景观、污染环境、妨碍游览和危害风景名胜区生态、公共安全的建筑物和构筑物。在风景名胜区及其外围保护地带内，不得设立开发区、度假区，不得建设破坏景观、污染环境的工矿企业和其他项目、设施。在游人集中的游览区和自然环境保留地内，不得建设旅馆、招待所、休疗养机构、生活区以及其他影响观瞻或污染环境的工程设施。在重要景点上，除必需的保护设施外，不得兴建其他工程设施。禁止超过风景名胜区总体规划确定的容量接待游客。世界自然遗产地——禁止在世界遗产保护范围内实施以下行为：建设污染环境、破坏生态和造成水土流失的设施；在世界遗产核心保护区、保护区范围内进行开山、采石、垦荒、开矿、取土等破坏地表、地貌的活动；在世界遗产核心保护区、保护区范围内修建储存爆炸性、易燃性、放射性、毒害性、腐蚀性等物品设施；在世界遗产核心保护区、保护区设立各类开发区、度假区；在世界遗产核心保护区建设宾馆、招待所、疗养院及各类培训中心等建筑物、构筑物和其他设施；在世界遗产保护区、缓冲区未经省人民政府世界遗产行政主管部门审核进行建设；其他损害或者破坏世界遗产真实性和完整性的行为。饮用水水源保护区——禁止在饮用水水源保护区内，禁止设置排污口。 禁止在饮用水水源一级保护区内新建、改建、扩建与供水设施和保护水源无关的建设项目；已建成的与供水设施和保护水源无关的建设项目，由县级以上人民政府责令拆除或者关闭。 禁止在饮用水水源一级保护区内从事网箱养殖、旅游、游泳、垂钓或者其他可能污染饮用水水体的活动。 禁止在饮用水水源二级保护区内新建、改建、扩建排放污染物的建设项目；已建成的排放污染物的建设项目，由县级以上人民政府责令拆除或者关闭。 禁止在饮用水水源准保护区内新建、扩建对水体污染严重的建设项目；改建建设项目，不得增加排污量。地表水饮用水水源一级保护区内禁止新建、改建、扩建与供水设施和保护水源无关的建设项目；已建成的与供水设施和保护水源无关的建设项目，由县级以上地方人民政府责令拆除或者关闭；二级保护区内，禁止新建、改建、扩建排放污染物的建设项目；已建成的排放污染物的建设项目，由县级以上地方人民政府责令拆除或者关闭；准保护区内，禁止新建、扩建对水体污染严重的建设项目；改建建设项目，不得增加排污量。 地下水饮用水水源一级保护区内，禁止建设与取水设施无关的建筑物或者构筑物；禁止设置排污口。二级保护区内禁止新建、改建、扩建排放污染物的建设项目；准保护区内禁止设置化工原料、矿物油类及有毒有害矿产品的贮存场所，以及生活垃圾、工业固体废物和危险废物的堆放场所和转运站。森林公园——禁止擅自填堵森林公园的自然水系；（1）禁止擅自在国家级森林自然公园内从事采矿、房地产、开发区、高尔夫球场、风力光伏电场等不符合管控要求的开发活动。（2）禁止违规侵占国家级森林自然公园，排放不符合水污染物排放标准的工业废水、生活污水及其他的废水、污水，倾倒、堆放、丢弃、遗撒固体废物等污染生态环境的行为。 地质公园——禁止在保护区内及可能对地质遗迹造成影响的一定范围内进行采石、取土、开矿、放牧、砍伐以及其它对保护对象有损害的活动。未经管理机构批准，禁止在保护区范围内采集标本和化石。 -不得在保护区内修建与地质遗迹保护无关的厂房或其他建筑设施;对已建成并可能对地质遗迹造成污染或破坏的设施，应限期治理或停业外迁。 水产种质资源保护区——禁止在水产种质资源保护区内从事围河（湖）造田、造地工程。禁止在水产种质资源保护区内新建排污口。在水产种质资源保护区附近新建、改建、扩建排污口，应当保证保护区水体不受污染。四川省境内水产种质资源保护区实行全年禁渔。禁止在水产种质资源保护区内从事捕捞、垂钓、挖砂采石以及其他可能对保护区内生物资源和生态环境造成损害的活动。禁止在黄河流域开放水域养殖、投放外来物种和其他非本地物种种质资源。 永久基本农田——禁止在基本农田保护区内建窑、建房、建坟、挖砂、采石、采矿、取土、堆放固体废弃物或者进行其他破坏基本农田的活动。 -禁止占用基本农田发展林果业和挖塘养鱼。水土保持功能重要区、水土流失敏感区——禁止在二十五度以上陡坡地开垦种植农作物。禁止过度放牧。限制土地资源高消耗产业发展。禁止在崩塌、滑坡危险区和泥石流易发区从事取土、挖砂、采石等可能造成水土流失的活动。 禁止毁林、毁草开垦和采集发菜。地质灾害隐患区域——开展地质灾害危险性评估，对建设工程遭受地质灾害危害的可能性和该工程建设中、建成后引发地质灾害的可能性做出评价。 -重点调查区应编制地质灾害防治区划图件，对风险等级为极高和高的区段，提出工程治理、避险搬迁、排危除险、监测预警等一种或多种风险管控建议。 -针对极高和高风险单体地质灾害应提出不同工况条件下工程治理措施、安全避让距离、避险搬迁范围、监测预警手段等综合风险管控对策。生物多样性保护生态功能重要区——禁止对野生动植物滥捕滥采，保持并恢复野生动植物物种和种群平衡。加强防御外来物种入侵的能力，防止外来有害物种对生态系统的侵害。保护岸线——禁止在长江干支流岸线一公里范围内新建、扩建化工园区和化工项目。 -严禁在长江干流及主要支流岸线1公里范围内新建布局重化工园区，严控新建石油化工、煤化工、涉磷、造纸、印染、制革等项目。 -禁止在岷江干流1公里范围内新建、扩建化工园区和化工项目。 -为保护生态环境划定的岸线保护区，自然保护区核心区内的岸线保护区不得建设任何生产设施；自然保护区缓冲区内划定的岸线保留区不得建设任何生产设施；实验区内划定的岸线保留区不得建设污染环境、破坏资源的生产设施，建设其他项目，其污染物排放不得超过国家和地方规定的污染物排放标准。 -集中式饮用水水源一级保护区内的岸线保护区，禁止新建、扩建与供水设施和保护水源无关的建设项目，饮用水水源二级保护区内的岸线保留区禁止建设排放污染物的建设项目，饮用水水源准保护区内的岸线禁止新建和扩建对水体污染严重的建设项目、改建项目不得增加排污量。 -禁止在河道、湖泊管理范围内建设妨碍行洪的建筑物、构筑物，倾倒垃圾、渣土，从事影响河势稳定、危害河岸堤防安全和其他妨碍河道行洪的活动。禁止在行洪河道内种植阻碍行洪的林木和高秆作物。 -严格管控沿江沿河工程建设废弃渣土场的设置，禁止违法占用河道。 大熊猫国家公园——大熊猫国家公园按照管理目标、用途及管控强度划分为核心保护区和一般控制区，纳入生态保护红线管理，实行差别化用途管制，具体范围由大熊猫国家公园总体规划界定。核心保护区除满足国家特殊战略需要的有关活动外原则上禁止人为活动。一般控制区除满足国家特殊战略需要的有关活动外原则上禁止开发性、生产性项目建设活动。 禁止在黄河干支流岸线管控范围内新建、扩建化工园区和化工项目。禁止在黄河干流岸线和重要支流岸线的管控范围内新建、改建、扩建尾矿库；但是以提升安全水平、生态环境保护水平为目的的改建除外。 禁止违规侵占国家级自然公园，排放不符合水污染物排放标准的工业废水、?生活污水及其他的废水、污水，倾倒、堆放、丢弃、遗撒固体废物等污染生态环境的行为。 四川大熊猫栖息地世界自然遗产：禁止在世界遗产保护范围内实施以下行为：1、建设污染环境、破坏生态和造成水土流失的设施；2、在世界遗产核心保护区、保护区范围内进行开山、采石、垦荒、开矿、取土等破坏地表、地貌的活动；3、在世界遗产核心保护区、保护区范围内修建储存爆炸性、易燃性、放射性、毒害性、腐蚀性等物品设施；4、在世界遗产核心保护区、保护区设立各类开发区、度假区；5、在世界遗产核心保护区建设宾馆、招待所、疗养院及各类培训中心等建筑物、构筑物和其他设施；6、在世界遗产保护区、缓冲区未经省人民政府世界遗产行政主管部门审核进行建设；7、其他损害或者破坏世界遗产真实性和完整性的行为。 新建、扩建光伏发电项目，一律不得占用永久基本农田、基本草原。光伏电站、风力发电等项目不得在河道、湖泊、水库内建设。 以上自然保护地为截至2023年6月的自然保护地整合优化预案数据，最终名称、范围等以国家正式批复为准。</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【限制开发建设活动的要求】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自然保护区——因科学研究的需要，必须进入核心区从事科学研究观测、调查活动的，应当事先向自然保护区管理机构提交申请和活动计划，并经省级以上人民政府有关自然保护区行政主管部门批准；其中，进入国家级自然保护区核心区的，必须经国务院有关自然保护区行政主管部门批准。-因教学科学研的目的，需要进入自然保护区的缓冲区从事非破坏性的科学研究、教学实习和标本采集活动的，应当事先向自然保护区管理机构提交申请和活动计划，经自然保护区管理机构批准。-在自然保护区的实验区内，不得建设污染环境、破坏资源或者景观的生产设施；建设其他项目，其污染物排放不得超过国家和地方规定的污染物排放标准。-在自然保护区的实验区内开展参观、旅游活动的，由自然保护区管理机构编制方案，方案应当符合自然保护区管理目标。严禁开设与自然保护区保护方向不一致的参观、旅游项目。 风景名胜区——在风景名胜区及其外围保护地带内，不得设立开发区、度假区，不得建设破坏景观、污染环境的工矿企业和其他项目、设施。在游人集中的游览区和自然环境保留地内，不得建设旅馆、招待所、休疗养机构、生活区以及其他影响观瞻或污染环境的工程设施。在重要景点上，除必需的保护设施外，不得兴建其他工程设施。禁止超过风景名胜区总体规划确定的容量接待游客。-在重要景点上，除必需的保护设施外，不得兴建其他工程设施。 饮用水水源保护区——禁止在饮用水水源准保护区内新建、扩建对水体污染严重的建设项目；改建建设项目，不得增加排污量。 森林公园——（1）国家级森林自然公园按照一般控制区管理。（2）国家级森林自然公园范围内除国家重大项目外，仅允许对生态功能不造成破坏的有限人为活动：</w:t>
                  </w:r>
                  <w:r>
                    <w:rPr>
                      <w:rFonts w:hint="eastAsia" w:ascii="宋体" w:hAnsi="宋体" w:cs="宋体"/>
                      <w:color w:val="000000" w:themeColor="text1"/>
                      <w:sz w:val="21"/>
                      <w:szCs w:val="21"/>
                      <w14:textFill>
                        <w14:solidFill>
                          <w14:schemeClr w14:val="tx1"/>
                        </w14:solidFill>
                      </w14:textFill>
                    </w:rPr>
                    <w:t>①</w:t>
                  </w:r>
                  <w:r>
                    <w:rPr>
                      <w:rFonts w:eastAsiaTheme="minorEastAsia"/>
                      <w:color w:val="000000" w:themeColor="text1"/>
                      <w:sz w:val="21"/>
                      <w:szCs w:val="21"/>
                      <w14:textFill>
                        <w14:solidFill>
                          <w14:schemeClr w14:val="tx1"/>
                        </w14:solidFill>
                      </w14:textFill>
                    </w:rPr>
                    <w:t>自然公园内居民和其他合法权益主体依法依规开展的生产生活及设施建设。</w:t>
                  </w:r>
                  <w:r>
                    <w:rPr>
                      <w:rFonts w:hint="eastAsia" w:ascii="宋体" w:hAnsi="宋体" w:cs="宋体"/>
                      <w:color w:val="000000" w:themeColor="text1"/>
                      <w:sz w:val="21"/>
                      <w:szCs w:val="21"/>
                      <w14:textFill>
                        <w14:solidFill>
                          <w14:schemeClr w14:val="tx1"/>
                        </w14:solidFill>
                      </w14:textFill>
                    </w:rPr>
                    <w:t>②</w:t>
                  </w:r>
                  <w:r>
                    <w:rPr>
                      <w:rFonts w:eastAsiaTheme="minorEastAsia"/>
                      <w:color w:val="000000" w:themeColor="text1"/>
                      <w:sz w:val="21"/>
                      <w:szCs w:val="21"/>
                      <w14:textFill>
                        <w14:solidFill>
                          <w14:schemeClr w14:val="tx1"/>
                        </w14:solidFill>
                      </w14:textFill>
                    </w:rPr>
                    <w:t>符合自然公园保护管理要求的文化、体育活动和必要的配套设施建设。</w:t>
                  </w:r>
                  <w:r>
                    <w:rPr>
                      <w:rFonts w:hint="eastAsia" w:ascii="宋体" w:hAnsi="宋体" w:cs="宋体"/>
                      <w:color w:val="000000" w:themeColor="text1"/>
                      <w:sz w:val="21"/>
                      <w:szCs w:val="21"/>
                      <w14:textFill>
                        <w14:solidFill>
                          <w14:schemeClr w14:val="tx1"/>
                        </w14:solidFill>
                      </w14:textFill>
                    </w:rPr>
                    <w:t>③</w:t>
                  </w:r>
                  <w:r>
                    <w:rPr>
                      <w:rFonts w:eastAsiaTheme="minorEastAsia"/>
                      <w:color w:val="000000" w:themeColor="text1"/>
                      <w:sz w:val="21"/>
                      <w:szCs w:val="21"/>
                      <w14:textFill>
                        <w14:solidFill>
                          <w14:schemeClr w14:val="tx1"/>
                        </w14:solidFill>
                      </w14:textFill>
                    </w:rPr>
                    <w:t>符合生态保护红线管控要求的其他活动和设施建设。</w:t>
                  </w:r>
                  <w:r>
                    <w:rPr>
                      <w:rFonts w:hint="eastAsia" w:ascii="宋体" w:hAnsi="宋体" w:cs="宋体"/>
                      <w:color w:val="000000" w:themeColor="text1"/>
                      <w:sz w:val="21"/>
                      <w:szCs w:val="21"/>
                      <w14:textFill>
                        <w14:solidFill>
                          <w14:schemeClr w14:val="tx1"/>
                        </w14:solidFill>
                      </w14:textFill>
                    </w:rPr>
                    <w:t>④</w:t>
                  </w:r>
                  <w:r>
                    <w:rPr>
                      <w:rFonts w:eastAsiaTheme="minorEastAsia"/>
                      <w:color w:val="000000" w:themeColor="text1"/>
                      <w:sz w:val="21"/>
                      <w:szCs w:val="21"/>
                      <w14:textFill>
                        <w14:solidFill>
                          <w14:schemeClr w14:val="tx1"/>
                        </w14:solidFill>
                      </w14:textFill>
                    </w:rPr>
                    <w:t>法律法规和国家政策允许在自然公园内开展的其他活动。 湿地公园——（1）在湿地范围内从事旅游、种植、畜牧、水产养殖、航运等利用活动，应当避免改变湿地的自然状况，并采取措施减轻对湿地生态功能的不利影响。（2）地方各级人民政府应当严格控制河流源头和蓄滞洪区、水土流失严重区等区域的湿地开发利用活动，减轻对湿地及其生物多样性的不利影响。（3）地方各级人民政府对省级重要湿地和一般湿地利用活动进行分类指导，鼓励单位和个人开展符合湿地保护要求的生态旅游、生态农业、生态教育、自然体验等活动，适度控制种植养殖等湿地利用规模。（4）国家级湿地自然公园按照一般控制区管理。（5）国家级湿地自然公园范围内除国家重大项目外，仅允许对生态功能不造成破坏的有限人为活动：</w:t>
                  </w:r>
                  <w:r>
                    <w:rPr>
                      <w:rFonts w:hint="eastAsia" w:ascii="宋体" w:hAnsi="宋体" w:cs="宋体"/>
                      <w:color w:val="000000" w:themeColor="text1"/>
                      <w:sz w:val="21"/>
                      <w:szCs w:val="21"/>
                      <w14:textFill>
                        <w14:solidFill>
                          <w14:schemeClr w14:val="tx1"/>
                        </w14:solidFill>
                      </w14:textFill>
                    </w:rPr>
                    <w:t>①</w:t>
                  </w:r>
                  <w:r>
                    <w:rPr>
                      <w:rFonts w:eastAsiaTheme="minorEastAsia"/>
                      <w:color w:val="000000" w:themeColor="text1"/>
                      <w:sz w:val="21"/>
                      <w:szCs w:val="21"/>
                      <w14:textFill>
                        <w14:solidFill>
                          <w14:schemeClr w14:val="tx1"/>
                        </w14:solidFill>
                      </w14:textFill>
                    </w:rPr>
                    <w:t>自然公园内居民和其他合法权益主体依法依规开展的生产生活及设施建设。</w:t>
                  </w:r>
                  <w:r>
                    <w:rPr>
                      <w:rFonts w:hint="eastAsia" w:ascii="宋体" w:hAnsi="宋体" w:cs="宋体"/>
                      <w:color w:val="000000" w:themeColor="text1"/>
                      <w:sz w:val="21"/>
                      <w:szCs w:val="21"/>
                      <w14:textFill>
                        <w14:solidFill>
                          <w14:schemeClr w14:val="tx1"/>
                        </w14:solidFill>
                      </w14:textFill>
                    </w:rPr>
                    <w:t>②</w:t>
                  </w:r>
                  <w:r>
                    <w:rPr>
                      <w:rFonts w:eastAsiaTheme="minorEastAsia"/>
                      <w:color w:val="000000" w:themeColor="text1"/>
                      <w:sz w:val="21"/>
                      <w:szCs w:val="21"/>
                      <w14:textFill>
                        <w14:solidFill>
                          <w14:schemeClr w14:val="tx1"/>
                        </w14:solidFill>
                      </w14:textFill>
                    </w:rPr>
                    <w:t>符合自然公园保护管理要求的文化、体育活动和必要的配套设施建设。</w:t>
                  </w:r>
                  <w:r>
                    <w:rPr>
                      <w:rFonts w:hint="eastAsia" w:ascii="宋体" w:hAnsi="宋体" w:cs="宋体"/>
                      <w:color w:val="000000" w:themeColor="text1"/>
                      <w:sz w:val="21"/>
                      <w:szCs w:val="21"/>
                      <w14:textFill>
                        <w14:solidFill>
                          <w14:schemeClr w14:val="tx1"/>
                        </w14:solidFill>
                      </w14:textFill>
                    </w:rPr>
                    <w:t>③</w:t>
                  </w:r>
                  <w:r>
                    <w:rPr>
                      <w:rFonts w:eastAsiaTheme="minorEastAsia"/>
                      <w:color w:val="000000" w:themeColor="text1"/>
                      <w:sz w:val="21"/>
                      <w:szCs w:val="21"/>
                      <w14:textFill>
                        <w14:solidFill>
                          <w14:schemeClr w14:val="tx1"/>
                        </w14:solidFill>
                      </w14:textFill>
                    </w:rPr>
                    <w:t>符合生态保护红线管控要求的其他活动和设施建设。</w:t>
                  </w:r>
                  <w:r>
                    <w:rPr>
                      <w:rFonts w:hint="eastAsia" w:ascii="宋体" w:hAnsi="宋体" w:cs="宋体"/>
                      <w:color w:val="000000" w:themeColor="text1"/>
                      <w:sz w:val="21"/>
                      <w:szCs w:val="21"/>
                      <w14:textFill>
                        <w14:solidFill>
                          <w14:schemeClr w14:val="tx1"/>
                        </w14:solidFill>
                      </w14:textFill>
                    </w:rPr>
                    <w:t>④</w:t>
                  </w:r>
                  <w:r>
                    <w:rPr>
                      <w:rFonts w:eastAsiaTheme="minorEastAsia"/>
                      <w:color w:val="000000" w:themeColor="text1"/>
                      <w:sz w:val="21"/>
                      <w:szCs w:val="21"/>
                      <w14:textFill>
                        <w14:solidFill>
                          <w14:schemeClr w14:val="tx1"/>
                        </w14:solidFill>
                      </w14:textFill>
                    </w:rPr>
                    <w:t>法律法规和国家政策允许在自然公园内开展的其他活动。 水产种质资源保护区——在水产种质资源保护区附近新建、改建、扩建排污口，应当保证保护区水体不受污染。 -在水产种质资源保护区内从事修建水利工程、疏浚航道、建闸筑坝、勘探和开采矿产资源、港口建设等工程建设的，或者在水产种质资源保护区外从事可能损害保护区功能的工程建设活动的，应当按照国家有关规定编制建设项目对水产种质资源保护区的影响专题论证报告，并将其纳入环境影响评价报告书。永久基本农田——重大建设项目选址确实难以避让永久基本农田的，在可行性研究阶段，省级自然资源主管部门负责组织对占用的必要性、合理性和补划方案的可行性进行严格论证，报自然资源部用地预审；农用地转用和土地征收依法报批。 -单独选址的能源，交通、水利等基础设施项目，因选址特殊无法避让基本农田的，在用地预审和报批前，必须对选址方案、基本农田规划调整及补划方案等进行充分论证和听证，报国务院批准。经批准占用基本农田的，必须及时补划，征地补偿按法定的最高标准执行，耕地开垦费按当地最高标准缴纳。水土保持功能重要区、水土流失敏感区——限制陡坡垦殖和超载过牧。加强对能源和矿产资源开发及建设项目的监管，加大矿山环境整治和生态修复力度。 -防止湿地退化、草地退化、沙化。保护林草植被，防止自然和旅游资源开发以及畜牧业生产对生态环境的破坏或不利影响。 -限制土地资源高消耗产业在水土保持生态功能区发展。地质灾害隐患区域——原则上极高风险区不应开展大规模城镇和工程建设，有序引导人口、经济向低风险区聚集。 -地质灾害中和低风险区开发利用时，应开展专题地质灾害风险调查评价，并提出相应的风险管控措施。生物多样性保护生态功能重要区——在不损害生态系统功能的前提下，适度发展旅游、农林牧产品生产和加工、生态农业、休闲农业等产业。优先保护岸线——按照相关规划在岸线保护区内必须实施的防洪护岸、河道治理、供水、航道整治、国家重要基础设施等事关公共安全及公众利益的建设项目，须经充分论证并严格按照法律法规要求履行相关许可程序；在岸线保留区内因防洪安全、河势稳定、供水安全、航道稳定及经济社会发展需要必须建设的防洪护岸、河道治理、取水、航道整治、公共管理、生态环境治理、国家重要基础设施等工程，须经充分论证并严格按照法律法规要求履行相关许可程序。对于其他具有生态环境正效益，可以</w:t>
                  </w:r>
                  <w:r>
                    <w:rPr>
                      <w:rFonts w:hint="eastAsia" w:eastAsiaTheme="minorEastAsia"/>
                      <w:color w:val="000000" w:themeColor="text1"/>
                      <w:sz w:val="21"/>
                      <w:szCs w:val="21"/>
                      <w:lang w:eastAsia="zh-CN"/>
                      <w14:textFill>
                        <w14:solidFill>
                          <w14:schemeClr w14:val="tx1"/>
                        </w14:solidFill>
                      </w14:textFill>
                    </w:rPr>
                    <w:t>改善生态环境质量</w:t>
                  </w:r>
                  <w:r>
                    <w:rPr>
                      <w:rFonts w:eastAsiaTheme="minorEastAsia"/>
                      <w:color w:val="000000" w:themeColor="text1"/>
                      <w:sz w:val="21"/>
                      <w:szCs w:val="21"/>
                      <w14:textFill>
                        <w14:solidFill>
                          <w14:schemeClr w14:val="tx1"/>
                        </w14:solidFill>
                      </w14:textFill>
                    </w:rPr>
                    <w:t>的建设活动，经充分论证并严格按照法律法规要求履行相关许可程序后可以施行。 -控制利用区中：集中式饮用水水源地二级保护区、准保护区，遵循省（州）颁布的集中式饮用水水源地管理条例（办法），按照相关法律法规要求履行相关许可程序后，可建设对水源地无污染的建设项目。自然保护区实验区、重要湿地经环评专题充分论证，按照相关法律法规要求并履行相关许可程序后，方可开发建设。 -控制利用区、开发利用区按照相关法律法规要求履行相关许可程序后，方可开发建设。 -严禁非法采砂。严格落实禁采区、可采区、保留区和禁采期管理措施，加强对非法采砂行为的监督执法。 光伏项目建设严格按照自然资源部办公厅 国家林业和草原局办公室 国家能源局综合司关于《支持光伏发电产业发展规范用地管理有关工作的通知》（自然资办发〔2023〕12号）执行。在湖泊周边、水库库汊建设光伏、风电项目的，要科学论证，严格管控，不得布设在具有防洪、供水功能和水生态、水环境保护需求的区域。 -重大工程建设应当避让野生动物重要栖息地、迁徙洄游通道和国家重点保护野生植物的天然集中分布区；无法避让的，应当采取修建野生动物通道、迁地保护等措施，避免或者减少对自然生态系统与野生动植物的影响。 以上自然保护地为截至2023年6月的自然保护地整合优化预案数据，最终名称、范围等以国家正式批复为准。</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【不符合空间布局要求活动的退出要求】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优先保护岸线——长江干流及主要支流岸线1公里范围内不准新增化工园区，依法淘汰取缔违法违规工业园区。 -长江干流及主要支流岸线1km范围内存在违法违规行为的化工企业，整改后仍不能达到要求的依法关闭，鼓励企业搬入合规园区。加强沿江突出问题整治。清理整顿非法采砂、非法码头，全面清除不合规码头。 -按照长江干线非法码头治理标准和生态保护红线管控等要求，开展长江主要支流非法码头整治，2020年年底前，全面完成长江主要支流非法码头清理取缔。 -长江干流及主要支流岸线延伸至陆域200米范围内基本消除畜禽养殖场（小区）。 已有矿业权与生态保护红线、自然保护地等禁止或限制开发区域重叠的，要按相关要求主动退出或避让。 以上自然保护地为截至2023年6月的自然保护地整合优化预案数据，最终名称、范围等以国家正式批复为准。</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【其他空间布局约束要求】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国家公园：国家公园内退化自然生态系统修复、生态廊道连通、重要栖息地恢复等生态修复活动应当坚持自然恢复为主，确有必要开展人工修复活动的，应当经科学论证。 按照省、州现行矿产资源总体规划执行。 以上自然保护地为截至2023年6月的自然保护地整合优化预案数据，最终名称、范围等以国家正式批复为准。</w:t>
                  </w:r>
                </w:p>
              </w:tc>
              <w:tc>
                <w:tcPr>
                  <w:tcW w:w="1841" w:type="dxa"/>
                  <w:tcBorders>
                    <w:top w:val="single" w:color="000000" w:sz="4" w:space="0"/>
                    <w:left w:val="nil"/>
                    <w:bottom w:val="single" w:color="000000" w:sz="4" w:space="0"/>
                    <w:right w:val="single" w:color="000000" w:sz="4" w:space="0"/>
                  </w:tcBorders>
                  <w:vAlign w:val="center"/>
                </w:tcPr>
                <w:p>
                  <w:pPr>
                    <w:pStyle w:val="26"/>
                    <w:autoSpaceDE w:val="0"/>
                    <w:spacing w:before="0" w:beforeAutospacing="0" w:after="0" w:afterAutospacing="0" w:line="240" w:lineRule="auto"/>
                    <w:ind w:firstLine="0" w:firstLineChars="0"/>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本项目位于黑水县卡龙镇才盖村，为防洪治理工程，项目不涉及生态保护红线、自然保护区、饮用水水源保护区、自然公园等敏感区。</w:t>
                  </w:r>
                </w:p>
                <w:p>
                  <w:pPr>
                    <w:pStyle w:val="26"/>
                    <w:autoSpaceDE w:val="0"/>
                    <w:spacing w:before="0" w:beforeAutospacing="0" w:after="0" w:afterAutospacing="0" w:line="240" w:lineRule="auto"/>
                    <w:ind w:firstLine="0" w:firstLineChars="0"/>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项目主要涉及达古冰山—卡龙沟风景名胜区三级保护区，</w:t>
                  </w:r>
                </w:p>
                <w:p>
                  <w:pPr>
                    <w:pStyle w:val="26"/>
                    <w:autoSpaceDE w:val="0"/>
                    <w:spacing w:before="0" w:beforeAutospacing="0" w:after="0" w:afterAutospacing="0" w:line="240" w:lineRule="auto"/>
                    <w:ind w:firstLine="0" w:firstLineChars="0"/>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2025年12月22日，阿坝州林业和草原局组织专家对《黑水县卡龙镇才盖村基础设施提升建设项目对达古冰山一卡龙沟风景名胜区影响评价报告》进行审查，同意报告结论，项目在达古冰山-卡龙沟风景名胜区三级保护区的建设是可行的。</w:t>
                  </w:r>
                </w:p>
                <w:p>
                  <w:pPr>
                    <w:pStyle w:val="26"/>
                    <w:autoSpaceDE w:val="0"/>
                    <w:spacing w:before="0" w:beforeAutospacing="0" w:after="0" w:afterAutospacing="0" w:line="240" w:lineRule="auto"/>
                    <w:ind w:firstLine="0" w:firstLineChars="0"/>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不属于管控要求中禁止、限制类生产建设活动。项目运营期不产生废气、废水等污染物。</w:t>
                  </w:r>
                </w:p>
                <w:p>
                  <w:pPr>
                    <w:spacing w:line="240" w:lineRule="auto"/>
                    <w:ind w:firstLine="0" w:firstLineChars="0"/>
                    <w:rPr>
                      <w:rFonts w:eastAsiaTheme="minorEastAsia"/>
                      <w:color w:val="000000" w:themeColor="text1"/>
                      <w:sz w:val="21"/>
                      <w:szCs w:val="21"/>
                      <w14:textFill>
                        <w14:solidFill>
                          <w14:schemeClr w14:val="tx1"/>
                        </w14:solidFill>
                      </w14:textFill>
                    </w:rPr>
                  </w:pPr>
                </w:p>
              </w:tc>
              <w:tc>
                <w:tcPr>
                  <w:tcW w:w="566"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613" w:type="dxa"/>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851" w:type="dxa"/>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850" w:type="dxa"/>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1560"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污染物排放管控</w:t>
                  </w:r>
                </w:p>
              </w:tc>
              <w:tc>
                <w:tcPr>
                  <w:tcW w:w="5953"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1841" w:type="dxa"/>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566" w:type="dxa"/>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613" w:type="dxa"/>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851" w:type="dxa"/>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850" w:type="dxa"/>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1560"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环境风险防控</w:t>
                  </w:r>
                </w:p>
              </w:tc>
              <w:tc>
                <w:tcPr>
                  <w:tcW w:w="5953"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1841" w:type="dxa"/>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566" w:type="dxa"/>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613" w:type="dxa"/>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851" w:type="dxa"/>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850" w:type="dxa"/>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1560"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资源开发利用效率要求</w:t>
                  </w:r>
                </w:p>
              </w:tc>
              <w:tc>
                <w:tcPr>
                  <w:tcW w:w="5953" w:type="dxa"/>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1841" w:type="dxa"/>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566" w:type="dxa"/>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bl>
          <w:p>
            <w:pPr>
              <w:pStyle w:val="80"/>
              <w:spacing w:before="163"/>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表1-11  项目与县（市、区）普适性管控要求一览表</w:t>
            </w:r>
          </w:p>
          <w:tbl>
            <w:tblPr>
              <w:tblStyle w:val="30"/>
              <w:tblW w:w="5000" w:type="pct"/>
              <w:tblInd w:w="0" w:type="dxa"/>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Layout w:type="autofit"/>
              <w:tblCellMar>
                <w:top w:w="0" w:type="dxa"/>
                <w:left w:w="10" w:type="dxa"/>
                <w:bottom w:w="0" w:type="dxa"/>
                <w:right w:w="10" w:type="dxa"/>
              </w:tblCellMar>
            </w:tblPr>
            <w:tblGrid>
              <w:gridCol w:w="682"/>
              <w:gridCol w:w="1153"/>
              <w:gridCol w:w="2166"/>
              <w:gridCol w:w="6054"/>
              <w:gridCol w:w="1730"/>
              <w:gridCol w:w="718"/>
            </w:tblGrid>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273" w:type="pct"/>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县区</w:t>
                  </w:r>
                </w:p>
              </w:tc>
              <w:tc>
                <w:tcPr>
                  <w:tcW w:w="461"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区域名称</w:t>
                  </w:r>
                </w:p>
              </w:tc>
              <w:tc>
                <w:tcPr>
                  <w:tcW w:w="866"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管控类别</w:t>
                  </w:r>
                </w:p>
              </w:tc>
              <w:tc>
                <w:tcPr>
                  <w:tcW w:w="2421"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单元特性管控要求</w:t>
                  </w:r>
                </w:p>
              </w:tc>
              <w:tc>
                <w:tcPr>
                  <w:tcW w:w="692"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本项目</w:t>
                  </w:r>
                </w:p>
              </w:tc>
              <w:tc>
                <w:tcPr>
                  <w:tcW w:w="287"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符合性</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273" w:type="pct"/>
                  <w:vMerge w:val="restart"/>
                  <w:tcBorders>
                    <w:top w:val="nil"/>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黑水县</w:t>
                  </w:r>
                </w:p>
              </w:tc>
              <w:tc>
                <w:tcPr>
                  <w:tcW w:w="461" w:type="pct"/>
                  <w:vMerge w:val="restart"/>
                  <w:tcBorders>
                    <w:top w:val="nil"/>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黑水县</w:t>
                  </w:r>
                </w:p>
              </w:tc>
              <w:tc>
                <w:tcPr>
                  <w:tcW w:w="866"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空间布局约束</w:t>
                  </w:r>
                </w:p>
              </w:tc>
              <w:tc>
                <w:tcPr>
                  <w:tcW w:w="2421"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【禁止开发建设活动的要求】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禁止在长江干流岸线三公里范围内和重要支流岸线一公里范围内新建、改建、扩建尾矿库；但是以提升安全、生态环境保护水平为目的的改建除外。 -禁止在长江流域河湖管理范围内倾倒、填埋、堆放、弃置、处理固体废物。 -禁止在法律法规规定的禁采区内新建矿山；禁止土法采、选、冶严重污染环境的矿产资源。 -严格控制新建露天矿山建设项目，严格贯彻国发〔2018〕22号文件有关要求，重点区域原则上禁止新建露天矿山建设项目，国发〔2018〕30号文件下发前环境影响评价文件已经批复的重点区域露天矿山，确需建设的，在严格落实生态环境保护、矿产资源规划和绿色矿山建设行业标准等要求前提下可继续批准建设。其他区域新建露天矿山建设项目，也应严格执行生态环境保护、矿产资源规划和绿色矿山建设行业标准等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【限制开发建设活动的要求】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对四川省主体功能区划中的限制开发区域（重点生态功能区），严格保护具有水源涵养功能的自然植被，禁止过度放牧、无序采矿、毁林开荒，限制陡坡垦殖和超载过牧，禁止对野生动植物滥捕滥采。</w:t>
                  </w:r>
                </w:p>
              </w:tc>
              <w:tc>
                <w:tcPr>
                  <w:tcW w:w="692" w:type="pct"/>
                  <w:tcBorders>
                    <w:top w:val="single" w:color="000000" w:sz="4" w:space="0"/>
                    <w:left w:val="nil"/>
                    <w:bottom w:val="single" w:color="000000" w:sz="4" w:space="0"/>
                    <w:right w:val="single" w:color="000000" w:sz="4" w:space="0"/>
                  </w:tcBorders>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本项目位于黑水县卡龙镇才盖村，为防洪治理工程，不属于管控要求中禁止、限制类生产建设活动</w:t>
                  </w:r>
                </w:p>
              </w:tc>
              <w:tc>
                <w:tcPr>
                  <w:tcW w:w="287" w:type="pct"/>
                  <w:tcBorders>
                    <w:top w:val="single" w:color="000000" w:sz="4" w:space="0"/>
                    <w:left w:val="nil"/>
                    <w:bottom w:val="single" w:color="000000" w:sz="4" w:space="0"/>
                    <w:right w:val="single" w:color="000000" w:sz="4" w:space="0"/>
                  </w:tcBorders>
                </w:tcPr>
                <w:p>
                  <w:pPr>
                    <w:spacing w:line="240" w:lineRule="auto"/>
                    <w:ind w:firstLine="0" w:firstLineChars="0"/>
                    <w:jc w:val="left"/>
                    <w:rPr>
                      <w:rFonts w:eastAsiaTheme="minorEastAsia"/>
                      <w:color w:val="000000" w:themeColor="text1"/>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273" w:type="pct"/>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461"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866"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污染物排放管控</w:t>
                  </w:r>
                </w:p>
              </w:tc>
              <w:tc>
                <w:tcPr>
                  <w:tcW w:w="2421"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692" w:type="pct"/>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7" w:type="pct"/>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273" w:type="pct"/>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461"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866"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环境风险防控</w:t>
                  </w:r>
                </w:p>
              </w:tc>
              <w:tc>
                <w:tcPr>
                  <w:tcW w:w="2421"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692" w:type="pct"/>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7" w:type="pct"/>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273" w:type="pct"/>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461"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866"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资源开发利用效率要求</w:t>
                  </w:r>
                </w:p>
              </w:tc>
              <w:tc>
                <w:tcPr>
                  <w:tcW w:w="2421"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692" w:type="pct"/>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7" w:type="pct"/>
                  <w:tcBorders>
                    <w:top w:val="single" w:color="000000" w:sz="4" w:space="0"/>
                    <w:left w:val="nil"/>
                    <w:bottom w:val="single" w:color="000000" w:sz="4" w:space="0"/>
                    <w:right w:val="single" w:color="000000" w:sz="4" w:space="0"/>
                  </w:tcBorders>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bl>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本次评价参照四川省“生态环境分区管控”符合性分析系统分析结果，分别从空间布局约束、污染物排放管控、环境风险防控、资源开发效率等四个维度进行管控要求符合性分析，具体如下表。</w:t>
            </w:r>
          </w:p>
          <w:p>
            <w:pPr>
              <w:pStyle w:val="81"/>
              <w:spacing w:before="163"/>
              <w:ind w:firstLine="4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表1-12 本项目与环境管控单元准入清单符合性分析</w:t>
            </w:r>
          </w:p>
          <w:tbl>
            <w:tblPr>
              <w:tblStyle w:val="30"/>
              <w:tblW w:w="5000" w:type="pct"/>
              <w:tblInd w:w="0" w:type="dxa"/>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Layout w:type="autofit"/>
              <w:tblCellMar>
                <w:top w:w="0" w:type="dxa"/>
                <w:left w:w="10" w:type="dxa"/>
                <w:bottom w:w="0" w:type="dxa"/>
                <w:right w:w="10" w:type="dxa"/>
              </w:tblCellMar>
            </w:tblPr>
            <w:tblGrid>
              <w:gridCol w:w="1081"/>
              <w:gridCol w:w="1906"/>
              <w:gridCol w:w="1010"/>
              <w:gridCol w:w="720"/>
              <w:gridCol w:w="1443"/>
              <w:gridCol w:w="3894"/>
              <w:gridCol w:w="1731"/>
              <w:gridCol w:w="718"/>
            </w:tblGrid>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432" w:type="pct"/>
                  <w:tcBorders>
                    <w:top w:val="single" w:color="000000" w:sz="4" w:space="0"/>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环境管控单元编码</w:t>
                  </w:r>
                </w:p>
              </w:tc>
              <w:tc>
                <w:tcPr>
                  <w:tcW w:w="762"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环境管控单元名称</w:t>
                  </w:r>
                </w:p>
              </w:tc>
              <w:tc>
                <w:tcPr>
                  <w:tcW w:w="404"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管控单元类型</w:t>
                  </w:r>
                </w:p>
              </w:tc>
              <w:tc>
                <w:tcPr>
                  <w:tcW w:w="288"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所属县区</w:t>
                  </w:r>
                </w:p>
              </w:tc>
              <w:tc>
                <w:tcPr>
                  <w:tcW w:w="577"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管控类别</w:t>
                  </w:r>
                </w:p>
              </w:tc>
              <w:tc>
                <w:tcPr>
                  <w:tcW w:w="1557"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单元特性管控要求</w:t>
                  </w:r>
                </w:p>
              </w:tc>
              <w:tc>
                <w:tcPr>
                  <w:tcW w:w="692"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本项目</w:t>
                  </w:r>
                </w:p>
              </w:tc>
              <w:tc>
                <w:tcPr>
                  <w:tcW w:w="287"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符合性</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432" w:type="pct"/>
                  <w:vMerge w:val="restart"/>
                  <w:tcBorders>
                    <w:top w:val="nil"/>
                    <w:left w:val="single" w:color="000000" w:sz="4" w:space="0"/>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ZH513228</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10001</w:t>
                  </w:r>
                </w:p>
              </w:tc>
              <w:tc>
                <w:tcPr>
                  <w:tcW w:w="762" w:type="pct"/>
                  <w:vMerge w:val="restart"/>
                  <w:tcBorders>
                    <w:top w:val="nil"/>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四川雅克夏国家森林自然公园、叠溪-松坪沟风景名胜区、卡龙沟-达古冰川风景名胜区、米亚罗风景名胜区、四川达古冰川自然保护区、二谷鲁沟二谷鲁村水源地、谷汝村谷汝沟水源地、四川省三奥雪山森林公园、四川雅克夏国家级森林公园、生态功能重要区-生物多样性维护重要区、四川省三奥雪山森林自然公园、四川达古冰川国家地质公园、四川达古冰川省级自然保护区、生态功能极重要区、四川省热务沟省级森林公园、生态功能重要区-水源涵养重要区、生物多样性维护重要区、水源涵养重要区</w:t>
                  </w:r>
                </w:p>
              </w:tc>
              <w:tc>
                <w:tcPr>
                  <w:tcW w:w="404" w:type="pct"/>
                  <w:vMerge w:val="restart"/>
                  <w:tcBorders>
                    <w:top w:val="nil"/>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优先保护单元</w:t>
                  </w:r>
                </w:p>
              </w:tc>
              <w:tc>
                <w:tcPr>
                  <w:tcW w:w="288" w:type="pct"/>
                  <w:vMerge w:val="restart"/>
                  <w:tcBorders>
                    <w:top w:val="nil"/>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阿坝藏族羌族自治州黑水县</w:t>
                  </w:r>
                </w:p>
              </w:tc>
              <w:tc>
                <w:tcPr>
                  <w:tcW w:w="577"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空间布局约束</w:t>
                  </w:r>
                </w:p>
              </w:tc>
              <w:tc>
                <w:tcPr>
                  <w:tcW w:w="1557"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【禁止开发建设活动的要求】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同优先保护单元普适性管控要求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【限制开发建设活动的要求】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同优先保护单元普适性管控要求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【允许开发建设活动的要求】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同优先保护单元普适性管控要求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【不符合空间布局要求活动的退出要求】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同优先保护单元普适性管控要求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【其他空间布局约束要求】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tc>
              <w:tc>
                <w:tcPr>
                  <w:tcW w:w="692" w:type="pct"/>
                  <w:tcBorders>
                    <w:top w:val="single" w:color="000000" w:sz="4" w:space="0"/>
                    <w:left w:val="nil"/>
                    <w:bottom w:val="single" w:color="000000" w:sz="4" w:space="0"/>
                    <w:right w:val="single" w:color="000000" w:sz="4" w:space="0"/>
                  </w:tcBorders>
                  <w:vAlign w:val="center"/>
                </w:tcPr>
                <w:p>
                  <w:pPr>
                    <w:pStyle w:val="26"/>
                    <w:autoSpaceDE w:val="0"/>
                    <w:spacing w:before="0" w:beforeAutospacing="0" w:after="0" w:afterAutospacing="0" w:line="240" w:lineRule="auto"/>
                    <w:ind w:firstLine="0" w:firstLineChars="0"/>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本项目位于黑水县卡龙镇才盖村，为防洪治理工程，项目主要涉及达古冰山—卡龙沟风景名胜区三级保护区。</w:t>
                  </w:r>
                </w:p>
                <w:p>
                  <w:pPr>
                    <w:pStyle w:val="26"/>
                    <w:autoSpaceDE w:val="0"/>
                    <w:spacing w:before="0" w:beforeAutospacing="0" w:after="0" w:afterAutospacing="0" w:line="240" w:lineRule="auto"/>
                    <w:ind w:firstLine="0" w:firstLineChars="0"/>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项目不涉及生态保护红线、自然保护区、饮用水水源保护区、自然公园等敏感区。</w:t>
                  </w:r>
                </w:p>
                <w:p>
                  <w:pPr>
                    <w:pStyle w:val="26"/>
                    <w:autoSpaceDE w:val="0"/>
                    <w:spacing w:before="0" w:beforeAutospacing="0" w:after="0" w:afterAutospacing="0" w:line="240" w:lineRule="auto"/>
                    <w:ind w:firstLine="0" w:firstLineChars="0"/>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2025年12月22日，阿坝州林业和草原局组织专家对《黑水县卡龙镇才盖村基础设施提升建设项目对达古冰山一卡龙沟风景名胜区影响评价报告》进行审查，同意报告结论，项目在达古冰山-卡龙沟风景名胜区三级保护区的建设是可行的。</w:t>
                  </w:r>
                </w:p>
                <w:p>
                  <w:pPr>
                    <w:pStyle w:val="26"/>
                    <w:autoSpaceDE w:val="0"/>
                    <w:spacing w:before="0" w:beforeAutospacing="0" w:after="0" w:afterAutospacing="0" w:line="240" w:lineRule="auto"/>
                    <w:ind w:firstLine="0" w:firstLineChars="0"/>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不属于管控要求中禁止、限制类生产建设活动。项目运营期不产生废气、废水等污染物。</w:t>
                  </w:r>
                </w:p>
              </w:tc>
              <w:tc>
                <w:tcPr>
                  <w:tcW w:w="287" w:type="pct"/>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432" w:type="pct"/>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762"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404"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88"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77"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污染物排放管控</w:t>
                  </w:r>
                </w:p>
              </w:tc>
              <w:tc>
                <w:tcPr>
                  <w:tcW w:w="1557"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【现有源提标升级改造】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【新增源等量或倍量替代】</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【新增源排放标准限值】</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【污染物排放绩效水平准入要求】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【其他污染物排放管控要求】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tc>
              <w:tc>
                <w:tcPr>
                  <w:tcW w:w="692" w:type="pct"/>
                  <w:tcBorders>
                    <w:top w:val="single" w:color="000000" w:sz="4" w:space="0"/>
                    <w:left w:val="nil"/>
                    <w:bottom w:val="single" w:color="000000" w:sz="4" w:space="0"/>
                    <w:right w:val="single" w:color="000000" w:sz="4" w:space="0"/>
                  </w:tcBorders>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7" w:type="pct"/>
                  <w:tcBorders>
                    <w:top w:val="single" w:color="000000" w:sz="4" w:space="0"/>
                    <w:left w:val="nil"/>
                    <w:bottom w:val="single" w:color="000000" w:sz="4" w:space="0"/>
                    <w:right w:val="single" w:color="000000" w:sz="4" w:space="0"/>
                  </w:tcBorders>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432" w:type="pct"/>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762"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404"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88"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77"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环境风险防控</w:t>
                  </w:r>
                </w:p>
              </w:tc>
              <w:tc>
                <w:tcPr>
                  <w:tcW w:w="1557"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【严格管控类农用地管控要求】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【安全利用类农用地管控要求】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【污染地块管控要求】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【园区环境风险防控要求】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【企业环境风险防控要求】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【其他环境风险防控要求】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tc>
              <w:tc>
                <w:tcPr>
                  <w:tcW w:w="692" w:type="pct"/>
                  <w:tcBorders>
                    <w:top w:val="single" w:color="000000" w:sz="4" w:space="0"/>
                    <w:left w:val="nil"/>
                    <w:bottom w:val="single" w:color="000000" w:sz="4" w:space="0"/>
                    <w:right w:val="single" w:color="000000" w:sz="4" w:space="0"/>
                  </w:tcBorders>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7" w:type="pct"/>
                  <w:tcBorders>
                    <w:top w:val="single" w:color="000000" w:sz="4" w:space="0"/>
                    <w:left w:val="nil"/>
                    <w:bottom w:val="single" w:color="000000" w:sz="4" w:space="0"/>
                    <w:right w:val="single" w:color="000000" w:sz="4" w:space="0"/>
                  </w:tcBorders>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 w:type="dxa"/>
                  <w:bottom w:w="0" w:type="dxa"/>
                  <w:right w:w="10" w:type="dxa"/>
                </w:tblCellMar>
              </w:tblPrEx>
              <w:tc>
                <w:tcPr>
                  <w:tcW w:w="432" w:type="pct"/>
                  <w:vMerge w:val="continue"/>
                  <w:tcBorders>
                    <w:top w:val="nil"/>
                    <w:left w:val="single" w:color="000000" w:sz="4" w:space="0"/>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762"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404"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88" w:type="pct"/>
                  <w:vMerge w:val="continue"/>
                  <w:tcBorders>
                    <w:top w:val="nil"/>
                    <w:left w:val="nil"/>
                    <w:bottom w:val="single" w:color="000000" w:sz="4" w:space="0"/>
                    <w:right w:val="single" w:color="000000" w:sz="4"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77"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资源开发利用效率要求</w:t>
                  </w:r>
                </w:p>
              </w:tc>
              <w:tc>
                <w:tcPr>
                  <w:tcW w:w="1557" w:type="pct"/>
                  <w:tcBorders>
                    <w:top w:val="single" w:color="000000" w:sz="4" w:space="0"/>
                    <w:left w:val="nil"/>
                    <w:bottom w:val="single" w:color="000000" w:sz="4" w:space="0"/>
                    <w:right w:val="single" w:color="000000" w:sz="4" w:space="0"/>
                  </w:tcBorders>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【水资源利用效率要求】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【地下水开采要求】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【能源利用效率要求】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【其他资源利用效率要求】</w:t>
                  </w:r>
                </w:p>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w:t>
                  </w:r>
                </w:p>
              </w:tc>
              <w:tc>
                <w:tcPr>
                  <w:tcW w:w="692" w:type="pct"/>
                  <w:tcBorders>
                    <w:top w:val="single" w:color="000000" w:sz="4" w:space="0"/>
                    <w:left w:val="nil"/>
                    <w:bottom w:val="single" w:color="000000" w:sz="4" w:space="0"/>
                    <w:right w:val="single" w:color="000000" w:sz="4" w:space="0"/>
                  </w:tcBorders>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7" w:type="pct"/>
                  <w:tcBorders>
                    <w:top w:val="single" w:color="000000" w:sz="4" w:space="0"/>
                    <w:left w:val="nil"/>
                    <w:bottom w:val="single" w:color="000000" w:sz="4" w:space="0"/>
                    <w:right w:val="single" w:color="000000" w:sz="4" w:space="0"/>
                  </w:tcBorders>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bl>
          <w:p>
            <w:pPr>
              <w:pStyle w:val="112"/>
              <w:spacing w:before="163"/>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表1-13  本项目与要素管控分区管控要求符合性分析</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59"/>
              <w:gridCol w:w="883"/>
              <w:gridCol w:w="628"/>
              <w:gridCol w:w="625"/>
              <w:gridCol w:w="758"/>
              <w:gridCol w:w="758"/>
              <w:gridCol w:w="1348"/>
              <w:gridCol w:w="3316"/>
              <w:gridCol w:w="2308"/>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b/>
                      <w:color w:val="000000" w:themeColor="text1"/>
                      <w14:textFill>
                        <w14:solidFill>
                          <w14:schemeClr w14:val="tx1"/>
                        </w14:solidFill>
                      </w14:textFill>
                    </w:rPr>
                    <w:t>管控分区编码</w:t>
                  </w:r>
                </w:p>
              </w:tc>
              <w:tc>
                <w:tcPr>
                  <w:tcW w:w="353"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管控分区名称</w:t>
                  </w:r>
                </w:p>
              </w:tc>
              <w:tc>
                <w:tcPr>
                  <w:tcW w:w="251"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管控区分类</w:t>
                  </w:r>
                </w:p>
              </w:tc>
              <w:tc>
                <w:tcPr>
                  <w:tcW w:w="250"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环境要素</w:t>
                  </w:r>
                </w:p>
              </w:tc>
              <w:tc>
                <w:tcPr>
                  <w:tcW w:w="303"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要素细类</w:t>
                  </w:r>
                </w:p>
              </w:tc>
              <w:tc>
                <w:tcPr>
                  <w:tcW w:w="303"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所属县区</w:t>
                  </w:r>
                </w:p>
              </w:tc>
              <w:tc>
                <w:tcPr>
                  <w:tcW w:w="539"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管控类别</w:t>
                  </w:r>
                </w:p>
              </w:tc>
              <w:tc>
                <w:tcPr>
                  <w:tcW w:w="1326"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管控分区管控要求</w:t>
                  </w:r>
                </w:p>
              </w:tc>
              <w:tc>
                <w:tcPr>
                  <w:tcW w:w="923"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本项目</w:t>
                  </w:r>
                </w:p>
              </w:tc>
              <w:tc>
                <w:tcPr>
                  <w:tcW w:w="288"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YS513228</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3510001</w:t>
                  </w:r>
                </w:p>
              </w:tc>
              <w:tc>
                <w:tcPr>
                  <w:tcW w:w="35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黑水县自然资源一般管控区</w:t>
                  </w:r>
                </w:p>
              </w:tc>
              <w:tc>
                <w:tcPr>
                  <w:tcW w:w="251"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一般管控区</w:t>
                  </w:r>
                </w:p>
              </w:tc>
              <w:tc>
                <w:tcPr>
                  <w:tcW w:w="250"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自然资源</w:t>
                  </w:r>
                </w:p>
              </w:tc>
              <w:tc>
                <w:tcPr>
                  <w:tcW w:w="30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自然资源一般管控区</w:t>
                  </w:r>
                </w:p>
              </w:tc>
              <w:tc>
                <w:tcPr>
                  <w:tcW w:w="30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阿坝藏族羌族自治州黑水县</w:t>
                  </w: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空间布局约束</w:t>
                  </w:r>
                </w:p>
              </w:tc>
              <w:tc>
                <w:tcPr>
                  <w:tcW w:w="1326"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合理开发高效利用水资源，建设节水型社会；优化土地利用布局与结构；优化产业空间布局，构建清洁能源体系。</w:t>
                  </w:r>
                </w:p>
              </w:tc>
              <w:tc>
                <w:tcPr>
                  <w:tcW w:w="923"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本项目为防洪除涝工程，主要占用土地资源，运营期不使用水资源、燃煤等资源。</w:t>
                  </w:r>
                </w:p>
              </w:tc>
              <w:tc>
                <w:tcPr>
                  <w:tcW w:w="288" w:type="pct"/>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污染物排放管控</w:t>
                  </w:r>
                </w:p>
              </w:tc>
              <w:tc>
                <w:tcPr>
                  <w:tcW w:w="1326"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9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环境风险防控</w:t>
                  </w:r>
                </w:p>
              </w:tc>
              <w:tc>
                <w:tcPr>
                  <w:tcW w:w="1326"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9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资源开发利用效率要求</w:t>
                  </w:r>
                </w:p>
              </w:tc>
              <w:tc>
                <w:tcPr>
                  <w:tcW w:w="1326"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【土地资源开发效率要求】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土地资源开发利用量不得超过土地资源利用上线控制性指标。</w:t>
                  </w:r>
                </w:p>
              </w:tc>
              <w:tc>
                <w:tcPr>
                  <w:tcW w:w="923"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本项目为防洪除涝工程，占地面积小，不会超过土地资源利用上线控制性指标。</w:t>
                  </w:r>
                </w:p>
              </w:tc>
              <w:tc>
                <w:tcPr>
                  <w:tcW w:w="288" w:type="pct"/>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YS513228</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1310001</w:t>
                  </w:r>
                </w:p>
              </w:tc>
              <w:tc>
                <w:tcPr>
                  <w:tcW w:w="35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卡龙沟-达古冰川风景名胜区</w:t>
                  </w:r>
                </w:p>
              </w:tc>
              <w:tc>
                <w:tcPr>
                  <w:tcW w:w="251"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优先保护区</w:t>
                  </w:r>
                </w:p>
              </w:tc>
              <w:tc>
                <w:tcPr>
                  <w:tcW w:w="250"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大气</w:t>
                  </w:r>
                </w:p>
              </w:tc>
              <w:tc>
                <w:tcPr>
                  <w:tcW w:w="30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大气环境优先保护区</w:t>
                  </w:r>
                </w:p>
              </w:tc>
              <w:tc>
                <w:tcPr>
                  <w:tcW w:w="30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阿坝藏族羌族自治州黑水县</w:t>
                  </w: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空间布局约束</w:t>
                  </w:r>
                </w:p>
              </w:tc>
              <w:tc>
                <w:tcPr>
                  <w:tcW w:w="1326"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【禁止开发建设活动的要求】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自然保护区和风景名胜区的建设管理严格按照相应的管理条例来执行，不得超出管理条例约束范围。</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【限制开发建设活动的要求】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符合当地国民经济和社会发展规划的要求，根据发展改革部门批准的项目可以实施。</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【允许开发建设活动的要求】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允许开展优先保护区保护和历史文化遗迹保护相关的活动。</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【不符合空间布局要求活动的退出要求】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环境风险防控：大气环境优先保护区内禁止新建存在易燃易爆、有毒有害物质（如危险化学品、危险废物、挥发性有机物、重金属等）的建设项目（加油站、油库等生产生活必须项目除外）。</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【其他空间布局约束要求】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环境空气达到一级功能区要求。</w:t>
                  </w:r>
                </w:p>
              </w:tc>
              <w:tc>
                <w:tcPr>
                  <w:tcW w:w="923"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本项目位于黑水县卡龙镇才盖村，为防洪治理工程，项目主要涉及达古冰山—卡龙沟风景名胜区三级保护区。</w:t>
                  </w:r>
                </w:p>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项目不涉及生态保护红线、自然保护区、饮用水水源保护区、自然公园等敏感区。</w:t>
                  </w:r>
                </w:p>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2025年2月20日，项目取得黑水县发展改革和经信商务局出具《关于黑水县卡龙镇才盖村基础设施提升建设项目可行性研究报告的批复》（黑发经商行审[2025]7号）；</w:t>
                  </w:r>
                </w:p>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2025年4月25日，项目取得黑水县住房和城乡建设局《关于黑水县卡龙镇才盖村基础设施提升建设项目初步设计审查的批复》（黑住建发[2025]10号），工程设施符合相关技术规范和满足环保要求。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2025年12月22日，阿坝州林业和草原局组织专家对《黑水县卡龙镇才盖村基础设施提升建设项目对达古冰山一卡龙沟风景名胜区影响评价报告》进行审查，同意报告结论，项目在达古冰山-卡龙沟风景名胜区三级保护区的建设是可行的。</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不属于管控要求中禁止、限制类生产建设活动。项目运营期不产生废气、废水等污染物。</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此外项目符合《风景名胜区条例》、《四川省风景名胜区条例》、</w:t>
                  </w:r>
                  <w:r>
                    <w:rPr>
                      <w:rFonts w:eastAsiaTheme="minorEastAsia"/>
                      <w:bCs/>
                      <w:color w:val="000000" w:themeColor="text1"/>
                      <w:sz w:val="21"/>
                      <w:szCs w:val="21"/>
                      <w14:textFill>
                        <w14:solidFill>
                          <w14:schemeClr w14:val="tx1"/>
                        </w14:solidFill>
                      </w14:textFill>
                    </w:rPr>
                    <w:t>《黑水县国民经济和社会发展第十四个五年规划和二〇三五年远景目标纲要》等相关要求。</w:t>
                  </w:r>
                </w:p>
              </w:tc>
              <w:tc>
                <w:tcPr>
                  <w:tcW w:w="28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污染物排放管控</w:t>
                  </w:r>
                </w:p>
              </w:tc>
              <w:tc>
                <w:tcPr>
                  <w:tcW w:w="1326"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9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8" w:type="pct"/>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环境风险防控</w:t>
                  </w:r>
                </w:p>
              </w:tc>
              <w:tc>
                <w:tcPr>
                  <w:tcW w:w="1326"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9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8" w:type="pct"/>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资源开发利用效率要求</w:t>
                  </w:r>
                </w:p>
              </w:tc>
              <w:tc>
                <w:tcPr>
                  <w:tcW w:w="1326"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9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8" w:type="pct"/>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YS513228</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1130033</w:t>
                  </w:r>
                </w:p>
              </w:tc>
              <w:tc>
                <w:tcPr>
                  <w:tcW w:w="35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生态优先保护区（一般生态空间）33</w:t>
                  </w:r>
                </w:p>
              </w:tc>
              <w:tc>
                <w:tcPr>
                  <w:tcW w:w="251"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优先保护区</w:t>
                  </w:r>
                </w:p>
              </w:tc>
              <w:tc>
                <w:tcPr>
                  <w:tcW w:w="250"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生态</w:t>
                  </w:r>
                </w:p>
              </w:tc>
              <w:tc>
                <w:tcPr>
                  <w:tcW w:w="30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一般生态空间</w:t>
                  </w:r>
                </w:p>
              </w:tc>
              <w:tc>
                <w:tcPr>
                  <w:tcW w:w="30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阿坝藏族羌族自治州黑水县</w:t>
                  </w: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空间布局约束</w:t>
                  </w:r>
                </w:p>
              </w:tc>
              <w:tc>
                <w:tcPr>
                  <w:tcW w:w="1326"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【禁止开发建设活动的要求】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自然保护地（含国家公园、自然保护区、自然公园）、风景名胜区、饮用水水源保护区、水产种质资源保护区参照现行法律法规执行。</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【限制开发建设活动的要求】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自然保护地（含国家公园、自然保护区、自然公园）、风景名胜区、饮用水水源保护区、水产种质资源保护区参照现行法律法规执行。</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【允许开发建设活动的要求】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自然保护地（含国家公园、自然保护区、自然公园）、风景名胜区、饮用水水源保护区、水产种质资源保护区参照现行法律法规执行。</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【不符合空间布局要求活动的退出要求】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自然保护地（含国家公园、自然保护区、自然公园）、风景名胜区、饮用水水源保护区、水产种质资源保护区参照现行法律法规执行。</w:t>
                  </w:r>
                </w:p>
              </w:tc>
              <w:tc>
                <w:tcPr>
                  <w:tcW w:w="923"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本项目位于黑水县卡龙镇才盖村，为防洪治理工程，项目主要涉及达古冰山—卡龙沟风景名胜区三级保护区。</w:t>
                  </w:r>
                </w:p>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项目不涉及生态保护红线、自然保护区、饮用水水源保护区、自然公园等敏感区。</w:t>
                  </w:r>
                </w:p>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2025年2月20日，项目取得黑水县发展改革和经信商务局出具《关于黑水县卡龙镇才盖村基础设施提升建设项目可行性研究报告的批复》（黑发经商行审[2025]7号）；</w:t>
                  </w:r>
                </w:p>
                <w:p>
                  <w:pPr>
                    <w:pStyle w:val="78"/>
                    <w:spacing w:line="240" w:lineRule="auto"/>
                    <w:ind w:firstLine="0" w:firstLineChars="0"/>
                    <w:rPr>
                      <w:rFonts w:hAnsi="Times New Roman" w:eastAsiaTheme="minorEastAsia"/>
                      <w:color w:val="000000" w:themeColor="text1"/>
                      <w:sz w:val="21"/>
                      <w:szCs w:val="21"/>
                      <w14:textFill>
                        <w14:solidFill>
                          <w14:schemeClr w14:val="tx1"/>
                        </w14:solidFill>
                      </w14:textFill>
                    </w:rPr>
                  </w:pPr>
                  <w:r>
                    <w:rPr>
                      <w:rFonts w:hAnsi="Times New Roman" w:eastAsiaTheme="minorEastAsia"/>
                      <w:color w:val="000000" w:themeColor="text1"/>
                      <w:sz w:val="21"/>
                      <w:szCs w:val="21"/>
                      <w14:textFill>
                        <w14:solidFill>
                          <w14:schemeClr w14:val="tx1"/>
                        </w14:solidFill>
                      </w14:textFill>
                    </w:rPr>
                    <w:t>2025年4月25日，项目取得黑水县住房和城乡建设局《关于黑水县卡龙镇才盖村基础设施提升建设项目初步设计审查的批复》（黑住建发[2025]10号），工程设施符合相关技术规范和满足环保要求。</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2025年12月22日，阿坝州林业和草原局组织专家对《黑水县卡龙镇才盖村基础设施提升建设项目对达古冰山一卡龙沟风景名胜区影响评价报告》进行审查，同意报告结论，项目在达古冰山-卡龙沟风景名胜区三级保护区的建设是可行的。</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不属于管控要求中禁止、限制类生产建设活动。项目运营期不产生废气、废水等污染物。</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此外项目符合《风景名胜区条例》、《四川省风景名胜区条例》、</w:t>
                  </w:r>
                  <w:r>
                    <w:rPr>
                      <w:rFonts w:eastAsiaTheme="minorEastAsia"/>
                      <w:bCs/>
                      <w:color w:val="000000" w:themeColor="text1"/>
                      <w:sz w:val="21"/>
                      <w:szCs w:val="21"/>
                      <w14:textFill>
                        <w14:solidFill>
                          <w14:schemeClr w14:val="tx1"/>
                        </w14:solidFill>
                      </w14:textFill>
                    </w:rPr>
                    <w:t>《黑水县国民经济和社会发展第十四个五年规划和二〇三五年远景目标纲要》等相关要求</w:t>
                  </w:r>
                </w:p>
              </w:tc>
              <w:tc>
                <w:tcPr>
                  <w:tcW w:w="28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污染物排放管控</w:t>
                  </w:r>
                </w:p>
              </w:tc>
              <w:tc>
                <w:tcPr>
                  <w:tcW w:w="1326"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9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8" w:type="pct"/>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环境风险防控</w:t>
                  </w:r>
                </w:p>
              </w:tc>
              <w:tc>
                <w:tcPr>
                  <w:tcW w:w="1326"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9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8" w:type="pct"/>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资源开发利用效率要求</w:t>
                  </w:r>
                </w:p>
              </w:tc>
              <w:tc>
                <w:tcPr>
                  <w:tcW w:w="1326" w:type="pct"/>
                  <w:tcMar>
                    <w:top w:w="50" w:type="dxa"/>
                    <w:left w:w="50" w:type="dxa"/>
                    <w:bottom w:w="50" w:type="dxa"/>
                    <w:right w:w="50" w:type="dxa"/>
                  </w:tcMar>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9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288" w:type="pct"/>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YS513228</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3210001</w:t>
                  </w:r>
                </w:p>
              </w:tc>
              <w:tc>
                <w:tcPr>
                  <w:tcW w:w="35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黑水河-黑水县-色尔古乡-控制单元</w:t>
                  </w:r>
                </w:p>
              </w:tc>
              <w:tc>
                <w:tcPr>
                  <w:tcW w:w="251"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一般管控区</w:t>
                  </w:r>
                </w:p>
              </w:tc>
              <w:tc>
                <w:tcPr>
                  <w:tcW w:w="250"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水</w:t>
                  </w:r>
                </w:p>
              </w:tc>
              <w:tc>
                <w:tcPr>
                  <w:tcW w:w="30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水环境一般管控区</w:t>
                  </w:r>
                </w:p>
              </w:tc>
              <w:tc>
                <w:tcPr>
                  <w:tcW w:w="303" w:type="pct"/>
                  <w:vMerge w:val="restar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阿坝藏族羌族自治州黑水县</w:t>
                  </w: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空间布局约束</w:t>
                  </w:r>
                </w:p>
              </w:tc>
              <w:tc>
                <w:tcPr>
                  <w:tcW w:w="1326"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【禁止开发建设活动的要求】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不再新建、改扩建开采规模在50万吨年以下的磷矿，不再新建露天磷矿。</w:t>
                  </w:r>
                </w:p>
              </w:tc>
              <w:tc>
                <w:tcPr>
                  <w:tcW w:w="923"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本项目为防洪除涝工程。</w:t>
                  </w:r>
                </w:p>
              </w:tc>
              <w:tc>
                <w:tcPr>
                  <w:tcW w:w="28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污染物排放管控</w:t>
                  </w:r>
                </w:p>
              </w:tc>
              <w:tc>
                <w:tcPr>
                  <w:tcW w:w="1326"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【城镇污水污染控制措施要求】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1、持续推进环保基础设施补短板，完善污水收集处理系统。2、保障乡镇污水收集处理设施顺畅运行。3、推进污水直排口排查与整治，落实“一口一策”整改措施。</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【农业面源水污染控制措施要求】</w:t>
                  </w:r>
                </w:p>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1、推进农村污染治理，稳步农村污水处理设施建设，适当预留发展空间，宜集中则集中，宜分散则分散。大力推进农村生活垃圾就地分类减量 和资源化利用，因地制宜选择农村生活垃圾治理模式。严格做好“农家乐”、种植采摘园等范围内的生活及农产品产生污水及垃圾治理。2、以环境承载能力为约束，合理规划水产养殖空间及规模；推进水产生态健康养殖，加强渔业生产过程中抗菌药物使用管控。推进水产养殖治理，水产养殖废水应处理达到《四川省水产养殖业水污染物排放标准》后排放；实施池塘标准化改造，完善循环水和进排水处理设施；推进养殖尾水节水减排。3、以环境承载能力为约束，合理规划畜禽养殖空间及规模；推进畜禽粪污分类处置，根据排放去向或利用方式的不同执行相应的标准规范。不断提高畜禽养殖粪污资源化利用率及利用水平；设有污水排放口的规模化畜禽养殖场应当依法申领排污许可证。4、推进化肥、农药使用量“零增长”，逐步推进农田径流拦截及治理。</w:t>
                  </w:r>
                </w:p>
              </w:tc>
              <w:tc>
                <w:tcPr>
                  <w:tcW w:w="923" w:type="pct"/>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本项目为防洪除涝工程，项目建成运营后不产生污染物。</w:t>
                  </w:r>
                </w:p>
              </w:tc>
              <w:tc>
                <w:tcPr>
                  <w:tcW w:w="288" w:type="pct"/>
                  <w:vAlign w:val="center"/>
                </w:tcPr>
                <w:p>
                  <w:pPr>
                    <w:spacing w:line="240" w:lineRule="auto"/>
                    <w:ind w:firstLine="0" w:firstLineChars="0"/>
                    <w:jc w:val="lef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环境风险防控</w:t>
                  </w:r>
                </w:p>
              </w:tc>
              <w:tc>
                <w:tcPr>
                  <w:tcW w:w="1326"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进一步完善工业企业和矿山环境风险防范和管理体系建设，开展企业风险隐患排查与风险评估，增强企业的环境风险意识，守住环境安全底线。落实“一河一策一图”风险管理和应急响应方案，提升风险应急管理水平。</w:t>
                  </w:r>
                </w:p>
              </w:tc>
              <w:tc>
                <w:tcPr>
                  <w:tcW w:w="923" w:type="pct"/>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本项目为防洪除涝工程，通过采取本报告列出的各项环境保护措施，不会对周围环境产生明显不利影响。</w:t>
                  </w:r>
                </w:p>
              </w:tc>
              <w:tc>
                <w:tcPr>
                  <w:tcW w:w="288" w:type="pct"/>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4"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5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1"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50"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303" w:type="pct"/>
                  <w:vMerge w:val="continue"/>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539"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资源开发利用效率要求</w:t>
                  </w:r>
                </w:p>
              </w:tc>
              <w:tc>
                <w:tcPr>
                  <w:tcW w:w="1326" w:type="pct"/>
                  <w:tcMar>
                    <w:top w:w="50" w:type="dxa"/>
                    <w:left w:w="50" w:type="dxa"/>
                    <w:bottom w:w="50" w:type="dxa"/>
                    <w:right w:w="50" w:type="dxa"/>
                  </w:tcMar>
                  <w:vAlign w:val="center"/>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923" w:type="pct"/>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288" w:type="pct"/>
                </w:tcPr>
                <w:p>
                  <w:pPr>
                    <w:spacing w:line="240" w:lineRule="auto"/>
                    <w:ind w:firstLine="0" w:firstLineChars="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bl>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综上，本项目建设符合生态环境分区管控要求，与四川省人民政府《四川省2023年生态环境分区管控成果动态更新工作方案》（川环函〔2024〕409号）、阿坝州人民政府《阿坝州人民政府关于印发2023年生态环境分区管控动态更新成果的通知》（阿府发〔2024〕4号）相符合。</w:t>
            </w: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tc>
      </w:tr>
    </w:tbl>
    <w:p>
      <w:pPr>
        <w:tabs>
          <w:tab w:val="left" w:pos="1595"/>
        </w:tabs>
        <w:ind w:firstLine="0" w:firstLineChars="0"/>
        <w:rPr>
          <w:rFonts w:eastAsiaTheme="minorEastAsia"/>
          <w:color w:val="000000" w:themeColor="text1"/>
          <w14:textFill>
            <w14:solidFill>
              <w14:schemeClr w14:val="tx1"/>
            </w14:solidFill>
          </w14:textFill>
        </w:rPr>
        <w:sectPr>
          <w:pgSz w:w="16838" w:h="11906" w:orient="landscape"/>
          <w:pgMar w:top="1531" w:right="1701" w:bottom="1531" w:left="1701" w:header="851" w:footer="1077" w:gutter="0"/>
          <w:cols w:space="720" w:num="1"/>
          <w:docGrid w:type="lines" w:linePitch="326" w:charSpace="0"/>
        </w:sectPr>
      </w:pPr>
    </w:p>
    <w:p>
      <w:pPr>
        <w:pStyle w:val="26"/>
        <w:ind w:firstLine="0" w:firstLineChars="0"/>
        <w:jc w:val="center"/>
        <w:outlineLvl w:val="0"/>
        <w:rPr>
          <w:rFonts w:ascii="Times New Roman" w:hAnsi="Times New Roman" w:eastAsiaTheme="minorEastAsia"/>
          <w:b/>
          <w:snapToGrid w:val="0"/>
          <w:color w:val="000000" w:themeColor="text1"/>
          <w:sz w:val="30"/>
          <w:szCs w:val="30"/>
          <w14:textFill>
            <w14:solidFill>
              <w14:schemeClr w14:val="tx1"/>
            </w14:solidFill>
          </w14:textFill>
        </w:rPr>
      </w:pPr>
      <w:bookmarkStart w:id="20" w:name="_Toc155338878"/>
      <w:r>
        <w:rPr>
          <w:rFonts w:ascii="Times New Roman" w:hAnsi="Times New Roman" w:eastAsiaTheme="minorEastAsia"/>
          <w:b/>
          <w:snapToGrid w:val="0"/>
          <w:color w:val="000000" w:themeColor="text1"/>
          <w:sz w:val="30"/>
          <w:szCs w:val="30"/>
          <w14:textFill>
            <w14:solidFill>
              <w14:schemeClr w14:val="tx1"/>
            </w14:solidFill>
          </w14:textFill>
        </w:rPr>
        <w:t>二、建设内容</w:t>
      </w:r>
      <w:bookmarkEnd w:id="20"/>
    </w:p>
    <w:tbl>
      <w:tblPr>
        <w:tblStyle w:val="30"/>
        <w:tblW w:w="498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77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2" w:type="pct"/>
            <w:vAlign w:val="center"/>
          </w:tcPr>
          <w:p>
            <w:pPr>
              <w:pStyle w:val="53"/>
              <w:adjustRightInd/>
              <w:snapToGrid/>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地理</w:t>
            </w:r>
          </w:p>
          <w:p>
            <w:pPr>
              <w:pStyle w:val="53"/>
              <w:adjustRightInd/>
              <w:snapToGrid/>
              <w:ind w:firstLine="0" w:firstLineChars="0"/>
              <w:jc w:val="center"/>
              <w:rPr>
                <w:rFonts w:eastAsiaTheme="minorEastAsia"/>
                <w:b/>
                <w:color w:val="000000" w:themeColor="text1"/>
                <w14:textFill>
                  <w14:solidFill>
                    <w14:schemeClr w14:val="tx1"/>
                  </w14:solidFill>
                </w14:textFill>
              </w:rPr>
            </w:pPr>
            <w:r>
              <w:rPr>
                <w:rFonts w:eastAsiaTheme="minorEastAsia"/>
                <w:color w:val="000000" w:themeColor="text1"/>
                <w14:textFill>
                  <w14:solidFill>
                    <w14:schemeClr w14:val="tx1"/>
                  </w14:solidFill>
                </w14:textFill>
              </w:rPr>
              <w:t>位置</w:t>
            </w:r>
          </w:p>
        </w:tc>
        <w:tc>
          <w:tcPr>
            <w:tcW w:w="4537" w:type="pct"/>
            <w:vAlign w:val="center"/>
          </w:tcPr>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黑水县介于东经102°35′-103°30′，北纬31°35′-32°38′之间，地处四川省西北部，</w:t>
            </w:r>
            <w:r>
              <w:fldChar w:fldCharType="begin"/>
            </w:r>
            <w:r>
              <w:instrText xml:space="preserve"> HYPERLINK "https://baike.so.com/doc/4103583-4302622.html" \t "https://baike.so.com/doc/_blank" </w:instrText>
            </w:r>
            <w:r>
              <w:fldChar w:fldCharType="separate"/>
            </w:r>
            <w:r>
              <w:rPr>
                <w:rStyle w:val="35"/>
                <w:rFonts w:hAnsi="Times New Roman" w:eastAsiaTheme="minorEastAsia"/>
                <w:color w:val="000000" w:themeColor="text1"/>
                <w:u w:val="none"/>
                <w14:textFill>
                  <w14:solidFill>
                    <w14:schemeClr w14:val="tx1"/>
                  </w14:solidFill>
                </w14:textFill>
              </w:rPr>
              <w:t>阿坝藏族羌族自治州</w:t>
            </w:r>
            <w:r>
              <w:rPr>
                <w:rStyle w:val="35"/>
                <w:rFonts w:hAnsi="Times New Roman" w:eastAsiaTheme="minorEastAsia"/>
                <w:color w:val="000000" w:themeColor="text1"/>
                <w:u w:val="none"/>
                <w14:textFill>
                  <w14:solidFill>
                    <w14:schemeClr w14:val="tx1"/>
                  </w14:solidFill>
                </w14:textFill>
              </w:rPr>
              <w:fldChar w:fldCharType="end"/>
            </w:r>
            <w:r>
              <w:rPr>
                <w:rFonts w:hAnsi="Times New Roman" w:eastAsiaTheme="minorEastAsia"/>
                <w:color w:val="000000" w:themeColor="text1"/>
                <w14:textFill>
                  <w14:solidFill>
                    <w14:schemeClr w14:val="tx1"/>
                  </w14:solidFill>
                </w14:textFill>
              </w:rPr>
              <w:t>中部，</w:t>
            </w:r>
            <w:r>
              <w:fldChar w:fldCharType="begin"/>
            </w:r>
            <w:r>
              <w:instrText xml:space="preserve"> HYPERLINK "https://baike.so.com/doc/5308977-5543928.html" \t "https://baike.so.com/doc/_blank" </w:instrText>
            </w:r>
            <w:r>
              <w:fldChar w:fldCharType="separate"/>
            </w:r>
            <w:r>
              <w:rPr>
                <w:rStyle w:val="35"/>
                <w:rFonts w:hAnsi="Times New Roman" w:eastAsiaTheme="minorEastAsia"/>
                <w:color w:val="000000" w:themeColor="text1"/>
                <w:u w:val="none"/>
                <w14:textFill>
                  <w14:solidFill>
                    <w14:schemeClr w14:val="tx1"/>
                  </w14:solidFill>
                </w14:textFill>
              </w:rPr>
              <w:t>青藏高原</w:t>
            </w:r>
            <w:r>
              <w:rPr>
                <w:rStyle w:val="35"/>
                <w:rFonts w:hAnsi="Times New Roman" w:eastAsiaTheme="minorEastAsia"/>
                <w:color w:val="000000" w:themeColor="text1"/>
                <w:u w:val="none"/>
                <w14:textFill>
                  <w14:solidFill>
                    <w14:schemeClr w14:val="tx1"/>
                  </w14:solidFill>
                </w14:textFill>
              </w:rPr>
              <w:fldChar w:fldCharType="end"/>
            </w:r>
            <w:r>
              <w:rPr>
                <w:rFonts w:hAnsi="Times New Roman" w:eastAsiaTheme="minorEastAsia"/>
                <w:color w:val="000000" w:themeColor="text1"/>
                <w14:textFill>
                  <w14:solidFill>
                    <w14:schemeClr w14:val="tx1"/>
                  </w14:solidFill>
                </w14:textFill>
              </w:rPr>
              <w:t>东南缘横断山脉中段北端的岷江上游，与九寨沟毗邻。距省会</w:t>
            </w:r>
            <w:r>
              <w:fldChar w:fldCharType="begin"/>
            </w:r>
            <w:r>
              <w:instrText xml:space="preserve"> HYPERLINK "https://baike.so.com/doc/2453672-2593720.html" \t "https://baike.so.com/doc/_blank" </w:instrText>
            </w:r>
            <w:r>
              <w:fldChar w:fldCharType="separate"/>
            </w:r>
            <w:r>
              <w:rPr>
                <w:rStyle w:val="35"/>
                <w:rFonts w:hAnsi="Times New Roman" w:eastAsiaTheme="minorEastAsia"/>
                <w:color w:val="000000" w:themeColor="text1"/>
                <w:u w:val="none"/>
                <w14:textFill>
                  <w14:solidFill>
                    <w14:schemeClr w14:val="tx1"/>
                  </w14:solidFill>
                </w14:textFill>
              </w:rPr>
              <w:t>成都</w:t>
            </w:r>
            <w:r>
              <w:rPr>
                <w:rStyle w:val="35"/>
                <w:rFonts w:hAnsi="Times New Roman" w:eastAsiaTheme="minorEastAsia"/>
                <w:color w:val="000000" w:themeColor="text1"/>
                <w:u w:val="none"/>
                <w14:textFill>
                  <w14:solidFill>
                    <w14:schemeClr w14:val="tx1"/>
                  </w14:solidFill>
                </w14:textFill>
              </w:rPr>
              <w:fldChar w:fldCharType="end"/>
            </w:r>
            <w:r>
              <w:rPr>
                <w:rFonts w:hAnsi="Times New Roman" w:eastAsiaTheme="minorEastAsia"/>
                <w:color w:val="000000" w:themeColor="text1"/>
                <w14:textFill>
                  <w14:solidFill>
                    <w14:schemeClr w14:val="tx1"/>
                  </w14:solidFill>
                </w14:textFill>
              </w:rPr>
              <w:t>310公里，距州府马尔康176公里。黑水县总面积4142平方公里，东西长约85公里，南北宽约72.5公里。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本次拟建工程</w:t>
            </w:r>
            <w:bookmarkStart w:id="21" w:name="OLE_LINK21"/>
            <w:bookmarkStart w:id="22" w:name="OLE_LINK22"/>
            <w:r>
              <w:rPr>
                <w:rFonts w:hAnsi="Times New Roman" w:eastAsiaTheme="minorEastAsia"/>
                <w:color w:val="000000" w:themeColor="text1"/>
                <w14:textFill>
                  <w14:solidFill>
                    <w14:schemeClr w14:val="tx1"/>
                  </w14:solidFill>
                </w14:textFill>
              </w:rPr>
              <w:t>位于卡龙镇</w:t>
            </w:r>
            <w:bookmarkEnd w:id="21"/>
            <w:bookmarkEnd w:id="22"/>
            <w:r>
              <w:rPr>
                <w:rFonts w:hAnsi="Times New Roman" w:eastAsiaTheme="minorEastAsia"/>
                <w:color w:val="000000" w:themeColor="text1"/>
                <w14:textFill>
                  <w14:solidFill>
                    <w14:schemeClr w14:val="tx1"/>
                  </w14:solidFill>
                </w14:textFill>
              </w:rPr>
              <w:t>才盖村，项目所在地详见附图1。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62" w:type="pct"/>
            <w:tcBorders>
              <w:right w:val="single" w:color="auto" w:sz="4" w:space="0"/>
            </w:tcBorders>
            <w:vAlign w:val="center"/>
          </w:tcPr>
          <w:p>
            <w:pPr>
              <w:pStyle w:val="53"/>
              <w:adjustRightInd/>
              <w:snapToGrid/>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项目组成及规模</w:t>
            </w:r>
          </w:p>
        </w:tc>
        <w:tc>
          <w:tcPr>
            <w:tcW w:w="4537" w:type="pct"/>
            <w:tcBorders>
              <w:left w:val="single" w:color="auto" w:sz="4" w:space="0"/>
              <w:right w:val="single" w:color="auto" w:sz="4" w:space="0"/>
            </w:tcBorders>
            <w:vAlign w:val="center"/>
          </w:tcPr>
          <w:p>
            <w:pPr>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1、项目由来</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黑水县卡龙镇才盖村是传统的藏族群众聚集地，由于生产方式以农耕和放牧为主，村内饮水安全、道路交通、防洪设施及环卫设施不完善。为保护才盖村传统村落、提升当地旅游形象、推动乡村振兴发展。</w:t>
            </w:r>
            <w:r>
              <w:rPr>
                <w:rFonts w:eastAsiaTheme="minorEastAsia"/>
                <w:bCs/>
                <w:color w:val="000000" w:themeColor="text1"/>
                <w14:textFill>
                  <w14:solidFill>
                    <w14:schemeClr w14:val="tx1"/>
                  </w14:solidFill>
                </w14:textFill>
              </w:rPr>
              <w:t>黑水县住房和城乡建设局</w:t>
            </w:r>
            <w:r>
              <w:rPr>
                <w:rFonts w:eastAsiaTheme="minorEastAsia"/>
                <w:color w:val="000000" w:themeColor="text1"/>
                <w14:textFill>
                  <w14:solidFill>
                    <w14:schemeClr w14:val="tx1"/>
                  </w14:solidFill>
                </w14:textFill>
              </w:rPr>
              <w:t>拟投资1763万元建设“黑水县卡龙镇才盖村基础设施提升建设项目”。</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项目拟建设内容为：1.原址新建污水处理站，设计规模300m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d；2.新建污水处理站配套管网，配套一体化预制泵站一座；3.新建公共厕所2座；4.新建引水管6300米，配套取水口及给水支管；5.新建桥梁一座，桥梁全长23米，桥面总宽7.5米；6.道路改造：道路改造长度约318米及配套设施；7.河堤改造，新建河提268米，修复水毁河堤 56 米。</w:t>
            </w:r>
          </w:p>
          <w:p>
            <w:pPr>
              <w:ind w:firstLine="480"/>
              <w:rPr>
                <w:rFonts w:eastAsiaTheme="minorEastAsia"/>
                <w:bCs/>
                <w:color w:val="000000" w:themeColor="text1"/>
                <w14:textFill>
                  <w14:solidFill>
                    <w14:schemeClr w14:val="tx1"/>
                  </w14:solidFill>
                </w14:textFill>
              </w:rPr>
            </w:pPr>
            <w:r>
              <w:rPr>
                <w:rFonts w:eastAsiaTheme="minorEastAsia"/>
                <w:bCs/>
                <w:color w:val="000000" w:themeColor="text1"/>
                <w14:textFill>
                  <w14:solidFill>
                    <w14:schemeClr w14:val="tx1"/>
                  </w14:solidFill>
                </w14:textFill>
              </w:rPr>
              <w:t>根据实际建设内容，对照《建设项目环境影响评价分类管理名录》（2021年版），项目建设内容环评类别判定如下。</w:t>
            </w:r>
          </w:p>
          <w:p>
            <w:pPr>
              <w:pStyle w:val="80"/>
              <w:spacing w:before="166"/>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表2-1  项目类别判定一览表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1103"/>
              <w:gridCol w:w="2451"/>
              <w:gridCol w:w="3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shd w:val="clear" w:color="auto" w:fill="auto"/>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序号</w:t>
                  </w:r>
                </w:p>
              </w:tc>
              <w:tc>
                <w:tcPr>
                  <w:tcW w:w="736" w:type="pct"/>
                  <w:shd w:val="clear" w:color="auto" w:fill="auto"/>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分类</w:t>
                  </w:r>
                </w:p>
              </w:tc>
              <w:tc>
                <w:tcPr>
                  <w:tcW w:w="1635" w:type="pct"/>
                  <w:shd w:val="clear" w:color="auto" w:fill="auto"/>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主要建设内容</w:t>
                  </w:r>
                </w:p>
              </w:tc>
              <w:tc>
                <w:tcPr>
                  <w:tcW w:w="2003" w:type="pct"/>
                  <w:shd w:val="clear" w:color="auto" w:fill="auto"/>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环评类别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736"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生活污水处理站</w:t>
                  </w:r>
                </w:p>
              </w:tc>
              <w:tc>
                <w:tcPr>
                  <w:tcW w:w="1635"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原址新建1座生活污水处理站，设计规模300m</w:t>
                  </w:r>
                  <w:r>
                    <w:rPr>
                      <w:rFonts w:eastAsiaTheme="minorEastAsia"/>
                      <w:color w:val="000000" w:themeColor="text1"/>
                      <w:sz w:val="21"/>
                      <w:szCs w:val="21"/>
                      <w:vertAlign w:val="superscript"/>
                      <w14:textFill>
                        <w14:solidFill>
                          <w14:schemeClr w14:val="tx1"/>
                        </w14:solidFill>
                      </w14:textFill>
                    </w:rPr>
                    <w:t>3</w:t>
                  </w:r>
                  <w:r>
                    <w:rPr>
                      <w:rFonts w:eastAsiaTheme="minorEastAsia"/>
                      <w:color w:val="000000" w:themeColor="text1"/>
                      <w:sz w:val="21"/>
                      <w:szCs w:val="21"/>
                      <w14:textFill>
                        <w14:solidFill>
                          <w14:schemeClr w14:val="tx1"/>
                        </w14:solidFill>
                      </w14:textFill>
                    </w:rPr>
                    <w:t>/d，配套管网及1座泵站</w:t>
                  </w:r>
                </w:p>
              </w:tc>
              <w:tc>
                <w:tcPr>
                  <w:tcW w:w="2003"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属于污水处理及其再生利用91，500 m</w:t>
                  </w:r>
                  <w:r>
                    <w:rPr>
                      <w:rFonts w:eastAsiaTheme="minorEastAsia"/>
                      <w:color w:val="000000" w:themeColor="text1"/>
                      <w:sz w:val="21"/>
                      <w:szCs w:val="21"/>
                      <w:vertAlign w:val="superscript"/>
                      <w14:textFill>
                        <w14:solidFill>
                          <w14:schemeClr w14:val="tx1"/>
                        </w14:solidFill>
                      </w14:textFill>
                    </w:rPr>
                    <w:t>3</w:t>
                  </w:r>
                  <w:r>
                    <w:rPr>
                      <w:rFonts w:eastAsiaTheme="minorEastAsia"/>
                      <w:color w:val="000000" w:themeColor="text1"/>
                      <w:sz w:val="21"/>
                      <w:szCs w:val="21"/>
                      <w14:textFill>
                        <w14:solidFill>
                          <w14:schemeClr w14:val="tx1"/>
                        </w14:solidFill>
                      </w14:textFill>
                    </w:rPr>
                    <w:t>/d以下；</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做</w:t>
                  </w:r>
                  <w:r>
                    <w:rPr>
                      <w:rFonts w:eastAsiaTheme="minorEastAsia"/>
                      <w:b/>
                      <w:color w:val="000000" w:themeColor="text1"/>
                      <w:sz w:val="21"/>
                      <w:szCs w:val="21"/>
                      <w14:textFill>
                        <w14:solidFill>
                          <w14:schemeClr w14:val="tx1"/>
                        </w14:solidFill>
                      </w14:textFill>
                    </w:rPr>
                    <w:t>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w:t>
                  </w:r>
                </w:p>
              </w:tc>
              <w:tc>
                <w:tcPr>
                  <w:tcW w:w="73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公共</w:t>
                  </w:r>
                </w:p>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厕所</w:t>
                  </w:r>
                </w:p>
              </w:tc>
              <w:tc>
                <w:tcPr>
                  <w:tcW w:w="1635"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新建公共厕所2座</w:t>
                  </w:r>
                </w:p>
              </w:tc>
              <w:tc>
                <w:tcPr>
                  <w:tcW w:w="2003"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无需做履行环保手续。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73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农村供水设施</w:t>
                  </w:r>
                </w:p>
              </w:tc>
              <w:tc>
                <w:tcPr>
                  <w:tcW w:w="1635"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新建引水管6300米，配套职水口及给水支管，水厂设计规模为360m</w:t>
                  </w:r>
                  <w:r>
                    <w:rPr>
                      <w:rFonts w:eastAsiaTheme="minorEastAsia"/>
                      <w:color w:val="000000" w:themeColor="text1"/>
                      <w:sz w:val="21"/>
                      <w:szCs w:val="21"/>
                      <w:vertAlign w:val="superscript"/>
                      <w14:textFill>
                        <w14:solidFill>
                          <w14:schemeClr w14:val="tx1"/>
                        </w14:solidFill>
                      </w14:textFill>
                    </w:rPr>
                    <w:t>3</w:t>
                  </w:r>
                  <w:r>
                    <w:rPr>
                      <w:rFonts w:eastAsiaTheme="minorEastAsia"/>
                      <w:color w:val="000000" w:themeColor="text1"/>
                      <w:sz w:val="21"/>
                      <w:szCs w:val="21"/>
                      <w14:textFill>
                        <w14:solidFill>
                          <w14:schemeClr w14:val="tx1"/>
                        </w14:solidFill>
                      </w14:textFill>
                    </w:rPr>
                    <w:t>/d</w:t>
                  </w:r>
                </w:p>
              </w:tc>
              <w:tc>
                <w:tcPr>
                  <w:tcW w:w="2003"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属于自来水生产和供应461(不含供应工程：不含村庄供应工程)；</w:t>
                  </w:r>
                </w:p>
                <w:p>
                  <w:pPr>
                    <w:spacing w:line="240" w:lineRule="auto"/>
                    <w:ind w:firstLine="0" w:firstLineChars="0"/>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属于村庄供应工程，无需做履行环评手续。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w:t>
                  </w:r>
                </w:p>
              </w:tc>
              <w:tc>
                <w:tcPr>
                  <w:tcW w:w="73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桥梁一座</w:t>
                  </w:r>
                </w:p>
              </w:tc>
              <w:tc>
                <w:tcPr>
                  <w:tcW w:w="1635"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桥梁全长23米，桥面总宽7.5米</w:t>
                  </w:r>
                </w:p>
              </w:tc>
              <w:tc>
                <w:tcPr>
                  <w:tcW w:w="2003"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为农村桥梁，不属于城市道路(不含维护:不含支路、人行天桥、人行地道) 131新建快速路、主干路;城市桥梁、隧道；</w:t>
                  </w:r>
                </w:p>
                <w:p>
                  <w:pPr>
                    <w:spacing w:line="240" w:lineRule="auto"/>
                    <w:ind w:firstLine="0" w:firstLineChars="0"/>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无需履行环评手续。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w:t>
                  </w:r>
                </w:p>
              </w:tc>
              <w:tc>
                <w:tcPr>
                  <w:tcW w:w="73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道路</w:t>
                  </w:r>
                </w:p>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改造</w:t>
                  </w:r>
                </w:p>
              </w:tc>
              <w:tc>
                <w:tcPr>
                  <w:tcW w:w="1635"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道路改造长度约318米及配套设施</w:t>
                  </w:r>
                </w:p>
              </w:tc>
              <w:tc>
                <w:tcPr>
                  <w:tcW w:w="2003"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为农村道路改造，涉及标准未达到等级公路标准。</w:t>
                  </w:r>
                </w:p>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无需履行环评手续。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w:t>
                  </w:r>
                </w:p>
              </w:tc>
              <w:tc>
                <w:tcPr>
                  <w:tcW w:w="736" w:type="pct"/>
                  <w:shd w:val="clear" w:color="auto" w:fill="auto"/>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河提</w:t>
                  </w:r>
                </w:p>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改造</w:t>
                  </w:r>
                </w:p>
              </w:tc>
              <w:tc>
                <w:tcPr>
                  <w:tcW w:w="1635"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新建河提268 米，修复水毁河堤 56 米。</w:t>
                  </w:r>
                </w:p>
              </w:tc>
              <w:tc>
                <w:tcPr>
                  <w:tcW w:w="2003" w:type="pct"/>
                  <w:shd w:val="clear" w:color="auto" w:fill="auto"/>
                  <w:vAlign w:val="center"/>
                </w:tcPr>
                <w:p>
                  <w:pPr>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属于防洪除涝工程127；</w:t>
                  </w:r>
                </w:p>
                <w:p>
                  <w:pPr>
                    <w:spacing w:line="240" w:lineRule="auto"/>
                    <w:ind w:firstLine="0" w:firstLineChars="0"/>
                    <w:rPr>
                      <w:rFonts w:eastAsiaTheme="minorEastAsia"/>
                      <w:b/>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做</w:t>
                  </w:r>
                  <w:r>
                    <w:rPr>
                      <w:rFonts w:eastAsiaTheme="minorEastAsia"/>
                      <w:b/>
                      <w:color w:val="000000" w:themeColor="text1"/>
                      <w:sz w:val="21"/>
                      <w:szCs w:val="21"/>
                      <w14:textFill>
                        <w14:solidFill>
                          <w14:schemeClr w14:val="tx1"/>
                        </w14:solidFill>
                      </w14:textFill>
                    </w:rPr>
                    <w:t>报告表</w:t>
                  </w:r>
                </w:p>
              </w:tc>
            </w:tr>
          </w:tbl>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故，本次主要开展河堤</w:t>
            </w:r>
            <w:r>
              <w:rPr>
                <w:rFonts w:eastAsiaTheme="minorEastAsia"/>
                <w:b/>
                <w:bCs/>
                <w:color w:val="000000" w:themeColor="text1"/>
                <w14:textFill>
                  <w14:solidFill>
                    <w14:schemeClr w14:val="tx1"/>
                  </w14:solidFill>
                </w14:textFill>
              </w:rPr>
              <w:t>改造</w:t>
            </w:r>
            <w:r>
              <w:rPr>
                <w:rFonts w:eastAsiaTheme="minorEastAsia"/>
                <w:b/>
                <w:color w:val="000000" w:themeColor="text1"/>
                <w14:textFill>
                  <w14:solidFill>
                    <w14:schemeClr w14:val="tx1"/>
                  </w14:solidFill>
                </w14:textFill>
              </w:rPr>
              <w:t>工程的环境影响评价工作，</w:t>
            </w:r>
            <w:r>
              <w:rPr>
                <w:rFonts w:eastAsiaTheme="minorEastAsia"/>
                <w:b/>
                <w:bCs/>
                <w:color w:val="000000" w:themeColor="text1"/>
                <w14:textFill>
                  <w14:solidFill>
                    <w14:schemeClr w14:val="tx1"/>
                  </w14:solidFill>
                </w14:textFill>
              </w:rPr>
              <w:t>《建设项目环境影响评价分类管理名录》</w:t>
            </w:r>
            <w:r>
              <w:rPr>
                <w:rFonts w:eastAsiaTheme="minorEastAsia"/>
                <w:b/>
                <w:color w:val="000000" w:themeColor="text1"/>
                <w14:textFill>
                  <w14:solidFill>
                    <w14:schemeClr w14:val="tx1"/>
                  </w14:solidFill>
                </w14:textFill>
              </w:rPr>
              <w:t>未作规定的建设内容，不纳入本次环境影响评价。</w:t>
            </w:r>
          </w:p>
          <w:p>
            <w:pPr>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项目河堤改造工程保护对象为黑水县卡龙镇才盖村居民房屋以及耕地，保护人口约427人。根据《水利水电工程等级划分及洪水标准》（SL 252-2017）中“3 水利水电工程等别”，工程级别为Ⅴ级，为小（2）型项目</w:t>
            </w:r>
            <w:r>
              <w:rPr>
                <w:rFonts w:eastAsiaTheme="minorEastAsia"/>
                <w:color w:val="000000" w:themeColor="text1"/>
                <w14:textFill>
                  <w14:solidFill>
                    <w14:schemeClr w14:val="tx1"/>
                  </w14:solidFill>
                </w14:textFill>
              </w:rPr>
              <w:t>。</w:t>
            </w:r>
          </w:p>
          <w:p>
            <w:pPr>
              <w:pStyle w:val="80"/>
              <w:spacing w:before="166"/>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表2-2  水利水电工程分等指标（防洪部分）</w:t>
            </w:r>
          </w:p>
          <w:tbl>
            <w:tblPr>
              <w:tblStyle w:val="31"/>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195"/>
              <w:gridCol w:w="1611"/>
              <w:gridCol w:w="1899"/>
              <w:gridCol w:w="2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Merge w:val="restar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工程级别</w:t>
                  </w:r>
                </w:p>
              </w:tc>
              <w:tc>
                <w:tcPr>
                  <w:tcW w:w="799" w:type="pct"/>
                  <w:vMerge w:val="restar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工程规模</w:t>
                  </w:r>
                </w:p>
              </w:tc>
              <w:tc>
                <w:tcPr>
                  <w:tcW w:w="3702" w:type="pct"/>
                  <w:gridSpan w:val="3"/>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防洪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799"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1077"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保护人口</w:t>
                  </w:r>
                </w:p>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w:t>
                  </w:r>
                  <w:r>
                    <w:rPr>
                      <w:rFonts w:eastAsiaTheme="minorEastAsia"/>
                      <w:color w:val="000000" w:themeColor="text1"/>
                      <w:sz w:val="21"/>
                      <w:szCs w:val="21"/>
                      <w:vertAlign w:val="superscript"/>
                      <w14:textFill>
                        <w14:solidFill>
                          <w14:schemeClr w14:val="tx1"/>
                        </w14:solidFill>
                      </w14:textFill>
                    </w:rPr>
                    <w:t>4</w:t>
                  </w:r>
                  <w:r>
                    <w:rPr>
                      <w:rFonts w:eastAsiaTheme="minorEastAsia"/>
                      <w:color w:val="000000" w:themeColor="text1"/>
                      <w:sz w:val="21"/>
                      <w:szCs w:val="21"/>
                      <w14:textFill>
                        <w14:solidFill>
                          <w14:schemeClr w14:val="tx1"/>
                        </w14:solidFill>
                      </w14:textFill>
                    </w:rPr>
                    <w:t>人</w:t>
                  </w:r>
                </w:p>
              </w:tc>
              <w:tc>
                <w:tcPr>
                  <w:tcW w:w="1270"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保护农田面积</w:t>
                  </w:r>
                </w:p>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w:t>
                  </w:r>
                  <w:r>
                    <w:rPr>
                      <w:rFonts w:eastAsiaTheme="minorEastAsia"/>
                      <w:color w:val="000000" w:themeColor="text1"/>
                      <w:sz w:val="21"/>
                      <w:szCs w:val="21"/>
                      <w:vertAlign w:val="superscript"/>
                      <w14:textFill>
                        <w14:solidFill>
                          <w14:schemeClr w14:val="tx1"/>
                        </w14:solidFill>
                      </w14:textFill>
                    </w:rPr>
                    <w:t>4</w:t>
                  </w:r>
                  <w:r>
                    <w:rPr>
                      <w:rFonts w:eastAsiaTheme="minorEastAsia"/>
                      <w:color w:val="000000" w:themeColor="text1"/>
                      <w:sz w:val="21"/>
                      <w:szCs w:val="21"/>
                      <w14:textFill>
                        <w14:solidFill>
                          <w14:schemeClr w14:val="tx1"/>
                        </w14:solidFill>
                      </w14:textFill>
                    </w:rPr>
                    <w:t>亩</w:t>
                  </w:r>
                </w:p>
              </w:tc>
              <w:tc>
                <w:tcPr>
                  <w:tcW w:w="1355"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保护区当量经济规模10</w:t>
                  </w:r>
                  <w:r>
                    <w:rPr>
                      <w:rFonts w:eastAsiaTheme="minorEastAsia"/>
                      <w:color w:val="000000" w:themeColor="text1"/>
                      <w:sz w:val="21"/>
                      <w:szCs w:val="21"/>
                      <w:vertAlign w:val="superscript"/>
                      <w14:textFill>
                        <w14:solidFill>
                          <w14:schemeClr w14:val="tx1"/>
                        </w14:solidFill>
                      </w14:textFill>
                    </w:rPr>
                    <w:t>4</w:t>
                  </w:r>
                  <w:r>
                    <w:rPr>
                      <w:rFonts w:eastAsiaTheme="minorEastAsia"/>
                      <w:color w:val="000000" w:themeColor="text1"/>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Ⅰ</w:t>
                  </w:r>
                </w:p>
              </w:tc>
              <w:tc>
                <w:tcPr>
                  <w:tcW w:w="799"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大（1）型</w:t>
                  </w:r>
                </w:p>
              </w:tc>
              <w:tc>
                <w:tcPr>
                  <w:tcW w:w="1077"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≥150</w:t>
                  </w:r>
                </w:p>
              </w:tc>
              <w:tc>
                <w:tcPr>
                  <w:tcW w:w="1270"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≥500</w:t>
                  </w:r>
                </w:p>
              </w:tc>
              <w:tc>
                <w:tcPr>
                  <w:tcW w:w="1355"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Ⅱ</w:t>
                  </w:r>
                </w:p>
              </w:tc>
              <w:tc>
                <w:tcPr>
                  <w:tcW w:w="799" w:type="pct"/>
                  <w:shd w:val="clear" w:color="auto" w:fill="auto"/>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大（2）型</w:t>
                  </w:r>
                </w:p>
              </w:tc>
              <w:tc>
                <w:tcPr>
                  <w:tcW w:w="1077"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&lt;150，≥50</w:t>
                  </w:r>
                </w:p>
              </w:tc>
              <w:tc>
                <w:tcPr>
                  <w:tcW w:w="1270"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&lt;500，≥100</w:t>
                  </w:r>
                </w:p>
              </w:tc>
              <w:tc>
                <w:tcPr>
                  <w:tcW w:w="1355"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&lt;300，≥100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9"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Ⅲ</w:t>
                  </w:r>
                </w:p>
              </w:tc>
              <w:tc>
                <w:tcPr>
                  <w:tcW w:w="799"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中型</w:t>
                  </w:r>
                </w:p>
              </w:tc>
              <w:tc>
                <w:tcPr>
                  <w:tcW w:w="1077"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&lt;50，≥20</w:t>
                  </w:r>
                </w:p>
              </w:tc>
              <w:tc>
                <w:tcPr>
                  <w:tcW w:w="1270"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&lt;100，≥30</w:t>
                  </w:r>
                </w:p>
              </w:tc>
              <w:tc>
                <w:tcPr>
                  <w:tcW w:w="1355"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&lt;100，≥40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Ⅳ</w:t>
                  </w:r>
                </w:p>
              </w:tc>
              <w:tc>
                <w:tcPr>
                  <w:tcW w:w="799"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小（1）型</w:t>
                  </w:r>
                </w:p>
              </w:tc>
              <w:tc>
                <w:tcPr>
                  <w:tcW w:w="1077"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&lt;20，≥5</w:t>
                  </w:r>
                </w:p>
              </w:tc>
              <w:tc>
                <w:tcPr>
                  <w:tcW w:w="1270"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&lt;30，≥5</w:t>
                  </w:r>
                </w:p>
              </w:tc>
              <w:tc>
                <w:tcPr>
                  <w:tcW w:w="1355"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&lt;40，≥10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Ⅴ</w:t>
                  </w:r>
                </w:p>
              </w:tc>
              <w:tc>
                <w:tcPr>
                  <w:tcW w:w="799"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小（2）型</w:t>
                  </w:r>
                </w:p>
              </w:tc>
              <w:tc>
                <w:tcPr>
                  <w:tcW w:w="1077"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&lt;5</w:t>
                  </w:r>
                </w:p>
              </w:tc>
              <w:tc>
                <w:tcPr>
                  <w:tcW w:w="1270"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&lt;5</w:t>
                  </w:r>
                </w:p>
              </w:tc>
              <w:tc>
                <w:tcPr>
                  <w:tcW w:w="1355"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&lt;10</w:t>
                  </w:r>
                </w:p>
              </w:tc>
            </w:tr>
          </w:tbl>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中华人民共和国生态环境法典》、《建设项目环境保护管理条例》，河堤改造工程应开展环境影响评价工作。根据《建设项目环境影响评价分类管理名录》（2021年版）的有关规定，河堤改造工程属于“五十一、水利127防洪除涝工程”中的“其他（小型沟渠的护坡除外；城镇排涝河流水闸、排涝泵站除外）”，应编制环境影响报告表。</w:t>
            </w:r>
          </w:p>
          <w:p>
            <w:pPr>
              <w:pStyle w:val="79"/>
              <w:spacing w:before="166"/>
              <w:ind w:firstLine="4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表2-3 项目所属环评类别分析表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296"/>
              <w:gridCol w:w="1150"/>
              <w:gridCol w:w="1984"/>
              <w:gridCol w:w="1270"/>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57" w:type="dxa"/>
                  <w:gridSpan w:val="2"/>
                  <w:vAlign w:val="center"/>
                </w:tcPr>
                <w:p>
                  <w:pPr>
                    <w:autoSpaceDE w:val="0"/>
                    <w:spacing w:line="240" w:lineRule="auto"/>
                    <w:ind w:firstLine="0" w:firstLineChars="0"/>
                    <w:jc w:val="right"/>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环评类别</w:t>
                  </w:r>
                </w:p>
                <w:p>
                  <w:pPr>
                    <w:autoSpaceDE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项目类别</w:t>
                  </w:r>
                </w:p>
              </w:tc>
              <w:tc>
                <w:tcPr>
                  <w:tcW w:w="1087"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报告书</w:t>
                  </w:r>
                </w:p>
              </w:tc>
              <w:tc>
                <w:tcPr>
                  <w:tcW w:w="1875"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报告表</w:t>
                  </w:r>
                </w:p>
              </w:tc>
              <w:tc>
                <w:tcPr>
                  <w:tcW w:w="1200"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登记表</w:t>
                  </w:r>
                </w:p>
              </w:tc>
              <w:tc>
                <w:tcPr>
                  <w:tcW w:w="961"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环境敏感区含义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80" w:type="dxa"/>
                  <w:gridSpan w:val="6"/>
                  <w:vAlign w:val="center"/>
                </w:tcPr>
                <w:p>
                  <w:pPr>
                    <w:widowControl/>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五十一、水利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32"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127</w:t>
                  </w:r>
                </w:p>
              </w:tc>
              <w:tc>
                <w:tcPr>
                  <w:tcW w:w="1225"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bookmarkStart w:id="23" w:name="OLE_LINK14"/>
                  <w:bookmarkStart w:id="24" w:name="OLE_LINK15"/>
                  <w:r>
                    <w:rPr>
                      <w:rFonts w:eastAsiaTheme="minorEastAsia"/>
                      <w:color w:val="000000" w:themeColor="text1"/>
                      <w:sz w:val="21"/>
                      <w:szCs w:val="21"/>
                      <w14:textFill>
                        <w14:solidFill>
                          <w14:schemeClr w14:val="tx1"/>
                        </w14:solidFill>
                      </w14:textFill>
                    </w:rPr>
                    <w:t>防洪除涝工程</w:t>
                  </w:r>
                  <w:bookmarkEnd w:id="23"/>
                  <w:bookmarkEnd w:id="24"/>
                </w:p>
              </w:tc>
              <w:tc>
                <w:tcPr>
                  <w:tcW w:w="1087"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新建</w:t>
                  </w:r>
                </w:p>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大中型</w:t>
                  </w:r>
                </w:p>
              </w:tc>
              <w:tc>
                <w:tcPr>
                  <w:tcW w:w="1875" w:type="dxa"/>
                  <w:vAlign w:val="center"/>
                </w:tcPr>
                <w:p>
                  <w:pPr>
                    <w:autoSpaceDE w:val="0"/>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其他</w:t>
                  </w:r>
                  <w:r>
                    <w:rPr>
                      <w:rFonts w:eastAsiaTheme="minorEastAsia"/>
                      <w:bCs/>
                      <w:color w:val="000000" w:themeColor="text1"/>
                      <w:sz w:val="21"/>
                      <w:szCs w:val="21"/>
                      <w14:textFill>
                        <w14:solidFill>
                          <w14:schemeClr w14:val="tx1"/>
                        </w14:solidFill>
                      </w14:textFill>
                    </w:rPr>
                    <w:t>(小型沟渠的护坡除外；城镇排涝河流水闸、排涝泵站除外)</w:t>
                  </w:r>
                </w:p>
              </w:tc>
              <w:tc>
                <w:tcPr>
                  <w:tcW w:w="1200"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城镇排涝河流水闸、排涝泵站</w:t>
                  </w:r>
                </w:p>
              </w:tc>
              <w:tc>
                <w:tcPr>
                  <w:tcW w:w="961"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57" w:type="dxa"/>
                  <w:gridSpan w:val="2"/>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w:t>
                  </w:r>
                </w:p>
              </w:tc>
              <w:tc>
                <w:tcPr>
                  <w:tcW w:w="1087"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1875" w:type="dxa"/>
                  <w:vAlign w:val="center"/>
                </w:tcPr>
                <w:p>
                  <w:pPr>
                    <w:autoSpaceDE w:val="0"/>
                    <w:spacing w:line="240" w:lineRule="auto"/>
                    <w:ind w:firstLine="0" w:firstLineChars="0"/>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 xml:space="preserve">项目主要为防洪除涝工程中其他 </w:t>
                  </w:r>
                </w:p>
              </w:tc>
              <w:tc>
                <w:tcPr>
                  <w:tcW w:w="1200"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961" w:type="dxa"/>
                  <w:vAlign w:val="center"/>
                </w:tcPr>
                <w:p>
                  <w:pPr>
                    <w:autoSpaceDE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bl>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为此，黑水县住房和城乡建设局委托我单位开展河堤工程（以下简称“本项目”）的环境影响评价工作，我单位接受委托后，立即开展了现场踏勘、资料收集及监测工作，在掌握了充分的资料数据基础上，对有关环境现状和可能产生的环境影响进行分析，编制了本项目生态环境影响报告表，现上报审查。</w:t>
            </w:r>
          </w:p>
          <w:p>
            <w:pPr>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2、项目基本概况</w:t>
            </w:r>
          </w:p>
          <w:p>
            <w:pPr>
              <w:pStyle w:val="53"/>
              <w:adjustRightInd/>
              <w:snapToGrid/>
              <w:ind w:firstLine="482"/>
              <w:jc w:val="both"/>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（1）项目的名称、性质、地点</w:t>
            </w:r>
          </w:p>
          <w:p>
            <w:pPr>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项目名称</w:t>
            </w:r>
            <w:r>
              <w:rPr>
                <w:rFonts w:eastAsiaTheme="minorEastAsia"/>
                <w:color w:val="000000" w:themeColor="text1"/>
                <w14:textFill>
                  <w14:solidFill>
                    <w14:schemeClr w14:val="tx1"/>
                  </w14:solidFill>
                </w14:textFill>
              </w:rPr>
              <w:t>：黑水县卡龙镇才盖村基础设施提升建设项目</w:t>
            </w:r>
          </w:p>
          <w:p>
            <w:pPr>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建设单位</w:t>
            </w:r>
            <w:r>
              <w:rPr>
                <w:rFonts w:eastAsiaTheme="minorEastAsia"/>
                <w:color w:val="000000" w:themeColor="text1"/>
                <w14:textFill>
                  <w14:solidFill>
                    <w14:schemeClr w14:val="tx1"/>
                  </w14:solidFill>
                </w14:textFill>
              </w:rPr>
              <w:t>：黑水县住房和城乡建设局</w:t>
            </w:r>
          </w:p>
          <w:p>
            <w:pPr>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建设性质</w:t>
            </w:r>
            <w:r>
              <w:rPr>
                <w:rFonts w:eastAsiaTheme="minorEastAsia"/>
                <w:color w:val="000000" w:themeColor="text1"/>
                <w14:textFill>
                  <w14:solidFill>
                    <w14:schemeClr w14:val="tx1"/>
                  </w14:solidFill>
                </w14:textFill>
              </w:rPr>
              <w:t>：新建</w:t>
            </w:r>
          </w:p>
          <w:p>
            <w:pPr>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项目投资</w:t>
            </w:r>
            <w:r>
              <w:rPr>
                <w:rFonts w:eastAsiaTheme="minorEastAsia"/>
                <w:color w:val="000000" w:themeColor="text1"/>
                <w14:textFill>
                  <w14:solidFill>
                    <w14:schemeClr w14:val="tx1"/>
                  </w14:solidFill>
                </w14:textFill>
              </w:rPr>
              <w:t>：河堤工程总投资350万元</w:t>
            </w:r>
          </w:p>
          <w:p>
            <w:pPr>
              <w:ind w:firstLine="482"/>
              <w:rPr>
                <w:rFonts w:eastAsiaTheme="minorEastAsia"/>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建设地点：</w:t>
            </w:r>
            <w:r>
              <w:rPr>
                <w:rFonts w:eastAsiaTheme="minorEastAsia"/>
                <w:bCs/>
                <w:color w:val="000000" w:themeColor="text1"/>
                <w14:textFill>
                  <w14:solidFill>
                    <w14:schemeClr w14:val="tx1"/>
                  </w14:solidFill>
                </w14:textFill>
              </w:rPr>
              <w:t>黑水县卡龙镇才盖村</w:t>
            </w:r>
          </w:p>
          <w:p>
            <w:pPr>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（2）工程等别及防洪标准</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根据《防洪标准》（GB50201-2014）、《水利水电工程等级划分及洪水标准》（SL252-2017）、《堤防工程设计规范》（GB50286-2013）的规定，工程防洪标准为10 年一遇。</w:t>
            </w:r>
          </w:p>
          <w:p>
            <w:pPr>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（3）建设内容</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河堤工程位于黑水县卡龙镇才盖村，河堤改造，新建河提268米，修复水毁河堤 56 米。</w:t>
            </w:r>
            <w:r>
              <w:rPr>
                <w:rFonts w:eastAsiaTheme="minorEastAsia"/>
                <w:b/>
                <w:color w:val="000000" w:themeColor="text1"/>
                <w14:textFill>
                  <w14:solidFill>
                    <w14:schemeClr w14:val="tx1"/>
                  </w14:solidFill>
                </w14:textFill>
              </w:rPr>
              <w:t>不涉及河道清淤。</w:t>
            </w:r>
          </w:p>
          <w:p>
            <w:pPr>
              <w:pStyle w:val="53"/>
              <w:adjustRightInd/>
              <w:snapToGrid/>
              <w:ind w:firstLine="197" w:firstLineChars="82"/>
              <w:jc w:val="both"/>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3、工程项目组成及主要环境问题</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项目组成及主要环境问题见下表。</w:t>
            </w:r>
          </w:p>
          <w:p>
            <w:pPr>
              <w:pStyle w:val="80"/>
              <w:spacing w:before="166"/>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表2-4 项目的组成及主要环境问题</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02"/>
              <w:gridCol w:w="893"/>
              <w:gridCol w:w="4448"/>
              <w:gridCol w:w="950"/>
              <w:gridCol w:w="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863" w:type="pct"/>
                  <w:gridSpan w:val="2"/>
                  <w:vMerge w:val="restart"/>
                  <w:vAlign w:val="center"/>
                </w:tcPr>
                <w:p>
                  <w:pPr>
                    <w:snapToGrid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项目名称</w:t>
                  </w:r>
                </w:p>
              </w:tc>
              <w:tc>
                <w:tcPr>
                  <w:tcW w:w="2968" w:type="pct"/>
                  <w:vMerge w:val="restart"/>
                  <w:vAlign w:val="center"/>
                </w:tcPr>
                <w:p>
                  <w:pPr>
                    <w:snapToGrid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项目内容及规模</w:t>
                  </w:r>
                </w:p>
              </w:tc>
              <w:tc>
                <w:tcPr>
                  <w:tcW w:w="1169" w:type="pct"/>
                  <w:gridSpan w:val="2"/>
                  <w:vAlign w:val="center"/>
                </w:tcPr>
                <w:p>
                  <w:pPr>
                    <w:snapToGrid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环境影响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863" w:type="pct"/>
                  <w:gridSpan w:val="2"/>
                  <w:vMerge w:val="continue"/>
                  <w:vAlign w:val="center"/>
                </w:tcPr>
                <w:p>
                  <w:pPr>
                    <w:snapToGrid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p>
              </w:tc>
              <w:tc>
                <w:tcPr>
                  <w:tcW w:w="2968" w:type="pct"/>
                  <w:vMerge w:val="continue"/>
                  <w:vAlign w:val="center"/>
                </w:tcPr>
                <w:p>
                  <w:pPr>
                    <w:snapToGrid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p>
              </w:tc>
              <w:tc>
                <w:tcPr>
                  <w:tcW w:w="634" w:type="pct"/>
                  <w:vAlign w:val="center"/>
                </w:tcPr>
                <w:p>
                  <w:pPr>
                    <w:snapToGrid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施工期</w:t>
                  </w:r>
                </w:p>
              </w:tc>
              <w:tc>
                <w:tcPr>
                  <w:tcW w:w="535" w:type="pct"/>
                  <w:vAlign w:val="center"/>
                </w:tcPr>
                <w:p>
                  <w:pPr>
                    <w:snapToGrid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营运期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主体工程</w:t>
                  </w: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堤防</w:t>
                  </w:r>
                </w:p>
              </w:tc>
              <w:tc>
                <w:tcPr>
                  <w:tcW w:w="2968" w:type="pct"/>
                  <w:vAlign w:val="center"/>
                </w:tcPr>
                <w:p>
                  <w:pPr>
                    <w:pStyle w:val="54"/>
                    <w:snapToGrid w:val="0"/>
                    <w:spacing w:line="240" w:lineRule="auto"/>
                    <w:ind w:firstLine="0" w:firstLineChars="0"/>
                    <w:jc w:val="both"/>
                    <w:rPr>
                      <w:rFonts w:ascii="Times New Roman" w:hAnsi="Times New Roman" w:eastAsiaTheme="minorEastAsia"/>
                      <w:color w:val="000000" w:themeColor="text1"/>
                      <w:sz w:val="21"/>
                      <w:szCs w:val="21"/>
                      <w:lang w:eastAsia="zh-CN"/>
                      <w14:textFill>
                        <w14:solidFill>
                          <w14:schemeClr w14:val="tx1"/>
                        </w14:solidFill>
                      </w14:textFill>
                    </w:rPr>
                  </w:pPr>
                  <w:r>
                    <w:rPr>
                      <w:rFonts w:ascii="Times New Roman" w:hAnsi="Times New Roman" w:eastAsiaTheme="minorEastAsia"/>
                      <w:color w:val="000000" w:themeColor="text1"/>
                      <w:sz w:val="21"/>
                      <w:szCs w:val="21"/>
                      <w:lang w:eastAsia="zh-CN"/>
                      <w14:textFill>
                        <w14:solidFill>
                          <w14:schemeClr w14:val="tx1"/>
                        </w14:solidFill>
                      </w14:textFill>
                    </w:rPr>
                    <w:t>新建河提268米，修复水毁河堤 56 米。</w:t>
                  </w:r>
                </w:p>
              </w:tc>
              <w:tc>
                <w:tcPr>
                  <w:tcW w:w="634" w:type="pct"/>
                  <w:vMerge w:val="restar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施工废气、生活污水、施工噪声、 施工固废、土地占用、植被破坏、水土流失</w:t>
                  </w:r>
                </w:p>
              </w:tc>
              <w:tc>
                <w:tcPr>
                  <w:tcW w:w="535"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restar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辅助工程</w:t>
                  </w: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w:t>
                  </w:r>
                </w:p>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导流</w:t>
                  </w:r>
                </w:p>
              </w:tc>
              <w:tc>
                <w:tcPr>
                  <w:tcW w:w="2968" w:type="pc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采用分段岸边围堰束窄河床的导流方式，围堰采用工程开挖漂卵砾石夹砂料填筑围堰，围堰迎水面采用编织袋加固，复合土工膜防渗。</w:t>
                  </w:r>
                </w:p>
              </w:tc>
              <w:tc>
                <w:tcPr>
                  <w:tcW w:w="634"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35" w:type="pct"/>
                  <w:vMerge w:val="restar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恢复植被、改善环境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w:t>
                  </w:r>
                </w:p>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便道</w:t>
                  </w:r>
                </w:p>
              </w:tc>
              <w:tc>
                <w:tcPr>
                  <w:tcW w:w="2968" w:type="pc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利用周围现有道路，不设施工便道</w:t>
                  </w:r>
                </w:p>
              </w:tc>
              <w:tc>
                <w:tcPr>
                  <w:tcW w:w="634"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35"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w:t>
                  </w:r>
                </w:p>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场地</w:t>
                  </w:r>
                </w:p>
              </w:tc>
              <w:tc>
                <w:tcPr>
                  <w:tcW w:w="2968" w:type="pc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本项目不设施工场地，项目外购罐装商品混凝土，现场不设拌合站。</w:t>
                  </w:r>
                </w:p>
              </w:tc>
              <w:tc>
                <w:tcPr>
                  <w:tcW w:w="634"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35"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取、弃土场</w:t>
                  </w:r>
                </w:p>
              </w:tc>
              <w:tc>
                <w:tcPr>
                  <w:tcW w:w="2968" w:type="pc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本项目不设施取土场、弃土场。</w:t>
                  </w:r>
                </w:p>
              </w:tc>
              <w:tc>
                <w:tcPr>
                  <w:tcW w:w="634"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35"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w:t>
                  </w:r>
                </w:p>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营地</w:t>
                  </w:r>
                </w:p>
              </w:tc>
              <w:tc>
                <w:tcPr>
                  <w:tcW w:w="2968" w:type="pc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本项目不设置施工营地。</w:t>
                  </w:r>
                </w:p>
              </w:tc>
              <w:tc>
                <w:tcPr>
                  <w:tcW w:w="634"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35"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restar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公用工程</w:t>
                  </w: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供水</w:t>
                  </w:r>
                </w:p>
              </w:tc>
              <w:tc>
                <w:tcPr>
                  <w:tcW w:w="2968" w:type="pct"/>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工程施工供水可直接抽取河水，生活用水采用自来水。</w:t>
                  </w:r>
                </w:p>
              </w:tc>
              <w:tc>
                <w:tcPr>
                  <w:tcW w:w="634"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535"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供电</w:t>
                  </w:r>
                </w:p>
              </w:tc>
              <w:tc>
                <w:tcPr>
                  <w:tcW w:w="2968" w:type="pct"/>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本工程施工供电可从附近的380V电网线路上接入，向生产生活设施供电。同时配备2台50kW柴油发电机作为备用电源。</w:t>
                  </w:r>
                </w:p>
              </w:tc>
              <w:tc>
                <w:tcPr>
                  <w:tcW w:w="634"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535"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restar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环保工程</w:t>
                  </w: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废水</w:t>
                  </w:r>
                </w:p>
              </w:tc>
              <w:tc>
                <w:tcPr>
                  <w:tcW w:w="2968" w:type="pc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生活污水：利用租用民房化粪池处置后，用于农肥</w:t>
                  </w:r>
                  <w:r>
                    <w:rPr>
                      <w:rFonts w:eastAsiaTheme="minorEastAsia"/>
                      <w:color w:val="000000" w:themeColor="text1"/>
                      <w:sz w:val="21"/>
                      <w:szCs w:val="21"/>
                      <w14:textFill>
                        <w14:solidFill>
                          <w14:schemeClr w14:val="tx1"/>
                        </w14:solidFill>
                      </w14:textFill>
                    </w:rPr>
                    <w:t>。</w:t>
                  </w:r>
                </w:p>
                <w:p>
                  <w:pPr>
                    <w:snapToGrid w:val="0"/>
                    <w:spacing w:line="240" w:lineRule="auto"/>
                    <w:ind w:firstLine="0" w:firstLineChars="0"/>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基坑排水：沉淀后排入地表水体。</w:t>
                  </w:r>
                </w:p>
              </w:tc>
              <w:tc>
                <w:tcPr>
                  <w:tcW w:w="634" w:type="pct"/>
                  <w:vMerge w:val="restar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535" w:type="pct"/>
                  <w:vMerge w:val="restar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废气</w:t>
                  </w:r>
                </w:p>
              </w:tc>
              <w:tc>
                <w:tcPr>
                  <w:tcW w:w="2968" w:type="pc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施工扬尘：施工区域设置围挡，文明施工，施工围挡上方安装喷淋装置，洒水降尘；</w:t>
                  </w:r>
                </w:p>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车辆运输扬尘：加强管理，密闭运输、限速行驶；</w:t>
                  </w:r>
                </w:p>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施工机械燃油废气：定期检修与保养。</w:t>
                  </w:r>
                </w:p>
              </w:tc>
              <w:tc>
                <w:tcPr>
                  <w:tcW w:w="634"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35"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噪声</w:t>
                  </w:r>
                </w:p>
              </w:tc>
              <w:tc>
                <w:tcPr>
                  <w:tcW w:w="2968" w:type="pc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施工期围挡、选用低噪声设备、合理布局、合理安排施工进度，禁止夜间施工等</w:t>
                  </w:r>
                </w:p>
              </w:tc>
              <w:tc>
                <w:tcPr>
                  <w:tcW w:w="634"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35"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固废</w:t>
                  </w:r>
                </w:p>
              </w:tc>
              <w:tc>
                <w:tcPr>
                  <w:tcW w:w="2968" w:type="pc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生活垃圾：经过袋装收集后，由环卫部门统一清运处理；</w:t>
                  </w:r>
                </w:p>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开挖土石方用于堤防工程回填。</w:t>
                  </w:r>
                </w:p>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建筑垃圾：可回收利用的外卖废物收购站处理，其他不可回收利用的及时运至政府指定的建筑垃圾堆放场。</w:t>
                  </w:r>
                </w:p>
              </w:tc>
              <w:tc>
                <w:tcPr>
                  <w:tcW w:w="634"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35"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68"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96" w:type="pct"/>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生态</w:t>
                  </w:r>
                </w:p>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措施</w:t>
                  </w:r>
                </w:p>
              </w:tc>
              <w:tc>
                <w:tcPr>
                  <w:tcW w:w="2968" w:type="pct"/>
                  <w:vAlign w:val="center"/>
                </w:tcPr>
                <w:p>
                  <w:pPr>
                    <w:snapToGrid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加强施工管理，避免生活污水的直接排放；禁止随意倾倒废渣，合理布局高噪声施工设备。加强有关野生动物保护的宣传教育，严禁施工人员在施工区及其周围非法猎捕、杀害野生动物；在施工过程中尽量控制临时占地，对施工人员进行生态教育，施工期结束后对临时用地进行迹地恢复。严禁入河捕捞。</w:t>
                  </w:r>
                </w:p>
              </w:tc>
              <w:tc>
                <w:tcPr>
                  <w:tcW w:w="634"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535" w:type="pct"/>
                  <w:vMerge w:val="continue"/>
                  <w:vAlign w:val="center"/>
                </w:tcPr>
                <w:p>
                  <w:pPr>
                    <w:snapToGri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r>
          </w:tbl>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4、原辅材料用量</w:t>
            </w:r>
          </w:p>
          <w:p>
            <w:pPr>
              <w:pStyle w:val="53"/>
              <w:adjustRightInd/>
              <w:snapToGrid/>
              <w:ind w:firstLine="480"/>
              <w:jc w:val="both"/>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工程所需的回填料和筑堤材料采用基坑开挖的砂卵石，其他原辅材料均为外购，具体原辅材料及能源消耗见下表。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表2-5 工程主要原辅材料及能源消耗</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1281"/>
              <w:gridCol w:w="1395"/>
              <w:gridCol w:w="1697"/>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6" w:type="pct"/>
                  <w:noWrap/>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序号</w:t>
                  </w:r>
                </w:p>
              </w:tc>
              <w:tc>
                <w:tcPr>
                  <w:tcW w:w="855" w:type="pct"/>
                  <w:noWrap/>
                  <w:vAlign w:val="center"/>
                </w:tcPr>
                <w:p>
                  <w:pPr>
                    <w:widowControl/>
                    <w:spacing w:line="240" w:lineRule="auto"/>
                    <w:ind w:firstLine="0" w:firstLineChars="0"/>
                    <w:jc w:val="center"/>
                    <w:rPr>
                      <w:rFonts w:eastAsiaTheme="minorEastAsia"/>
                      <w:b/>
                      <w:bCs/>
                      <w:color w:val="000000" w:themeColor="text1"/>
                      <w:kern w:val="0"/>
                      <w:sz w:val="21"/>
                      <w:szCs w:val="21"/>
                      <w14:textFill>
                        <w14:solidFill>
                          <w14:schemeClr w14:val="tx1"/>
                        </w14:solidFill>
                      </w14:textFill>
                    </w:rPr>
                  </w:pPr>
                  <w:r>
                    <w:rPr>
                      <w:rFonts w:eastAsiaTheme="minorEastAsia"/>
                      <w:b/>
                      <w:bCs/>
                      <w:color w:val="000000" w:themeColor="text1"/>
                      <w:kern w:val="0"/>
                      <w:sz w:val="21"/>
                      <w:szCs w:val="21"/>
                      <w14:textFill>
                        <w14:solidFill>
                          <w14:schemeClr w14:val="tx1"/>
                        </w14:solidFill>
                      </w14:textFill>
                    </w:rPr>
                    <w:t>项目</w:t>
                  </w:r>
                </w:p>
              </w:tc>
              <w:tc>
                <w:tcPr>
                  <w:tcW w:w="931" w:type="pct"/>
                  <w:noWrap/>
                  <w:vAlign w:val="center"/>
                </w:tcPr>
                <w:p>
                  <w:pPr>
                    <w:widowControl/>
                    <w:spacing w:line="240" w:lineRule="auto"/>
                    <w:ind w:firstLine="0" w:firstLineChars="0"/>
                    <w:jc w:val="center"/>
                    <w:rPr>
                      <w:rFonts w:eastAsiaTheme="minorEastAsia"/>
                      <w:b/>
                      <w:bCs/>
                      <w:color w:val="000000" w:themeColor="text1"/>
                      <w:kern w:val="0"/>
                      <w:sz w:val="21"/>
                      <w:szCs w:val="21"/>
                      <w14:textFill>
                        <w14:solidFill>
                          <w14:schemeClr w14:val="tx1"/>
                        </w14:solidFill>
                      </w14:textFill>
                    </w:rPr>
                  </w:pPr>
                  <w:r>
                    <w:rPr>
                      <w:rFonts w:eastAsiaTheme="minorEastAsia"/>
                      <w:b/>
                      <w:bCs/>
                      <w:color w:val="000000" w:themeColor="text1"/>
                      <w:kern w:val="0"/>
                      <w:sz w:val="21"/>
                      <w:szCs w:val="21"/>
                      <w14:textFill>
                        <w14:solidFill>
                          <w14:schemeClr w14:val="tx1"/>
                        </w14:solidFill>
                      </w14:textFill>
                    </w:rPr>
                    <w:t>单位</w:t>
                  </w:r>
                </w:p>
              </w:tc>
              <w:tc>
                <w:tcPr>
                  <w:tcW w:w="1133" w:type="pct"/>
                  <w:noWrap/>
                  <w:vAlign w:val="center"/>
                </w:tcPr>
                <w:p>
                  <w:pPr>
                    <w:widowControl/>
                    <w:spacing w:line="240" w:lineRule="auto"/>
                    <w:ind w:firstLine="0" w:firstLineChars="0"/>
                    <w:jc w:val="center"/>
                    <w:rPr>
                      <w:rFonts w:eastAsiaTheme="minorEastAsia"/>
                      <w:b/>
                      <w:bCs/>
                      <w:color w:val="000000" w:themeColor="text1"/>
                      <w:kern w:val="0"/>
                      <w:sz w:val="21"/>
                      <w:szCs w:val="21"/>
                      <w14:textFill>
                        <w14:solidFill>
                          <w14:schemeClr w14:val="tx1"/>
                        </w14:solidFill>
                      </w14:textFill>
                    </w:rPr>
                  </w:pPr>
                  <w:r>
                    <w:rPr>
                      <w:rFonts w:eastAsiaTheme="minorEastAsia"/>
                      <w:b/>
                      <w:bCs/>
                      <w:color w:val="000000" w:themeColor="text1"/>
                      <w:kern w:val="0"/>
                      <w:sz w:val="21"/>
                      <w:szCs w:val="21"/>
                      <w14:textFill>
                        <w14:solidFill>
                          <w14:schemeClr w14:val="tx1"/>
                        </w14:solidFill>
                      </w14:textFill>
                    </w:rPr>
                    <w:t>用量</w:t>
                  </w:r>
                </w:p>
              </w:tc>
              <w:tc>
                <w:tcPr>
                  <w:tcW w:w="1375" w:type="pct"/>
                  <w:noWrap/>
                  <w:vAlign w:val="center"/>
                </w:tcPr>
                <w:p>
                  <w:pPr>
                    <w:widowControl/>
                    <w:spacing w:line="240" w:lineRule="auto"/>
                    <w:ind w:firstLine="0" w:firstLineChars="0"/>
                    <w:jc w:val="center"/>
                    <w:rPr>
                      <w:rFonts w:eastAsiaTheme="minorEastAsia"/>
                      <w:b/>
                      <w:bCs/>
                      <w:color w:val="000000" w:themeColor="text1"/>
                      <w:kern w:val="0"/>
                      <w:sz w:val="21"/>
                      <w:szCs w:val="21"/>
                      <w14:textFill>
                        <w14:solidFill>
                          <w14:schemeClr w14:val="tx1"/>
                        </w14:solidFill>
                      </w14:textFill>
                    </w:rPr>
                  </w:pPr>
                  <w:r>
                    <w:rPr>
                      <w:rFonts w:eastAsiaTheme="minorEastAsia"/>
                      <w:b/>
                      <w:bCs/>
                      <w:color w:val="000000" w:themeColor="text1"/>
                      <w:kern w:val="0"/>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6" w:type="pct"/>
                  <w:noWrap/>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w:t>
                  </w:r>
                </w:p>
              </w:tc>
              <w:tc>
                <w:tcPr>
                  <w:tcW w:w="855" w:type="pct"/>
                  <w:noWrap/>
                  <w:vAlign w:val="center"/>
                </w:tcPr>
                <w:p>
                  <w:pPr>
                    <w:pStyle w:val="1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柴油</w:t>
                  </w:r>
                </w:p>
              </w:tc>
              <w:tc>
                <w:tcPr>
                  <w:tcW w:w="931" w:type="pct"/>
                  <w:noWrap/>
                  <w:vAlign w:val="center"/>
                </w:tcPr>
                <w:p>
                  <w:pPr>
                    <w:pStyle w:val="1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t</w:t>
                  </w:r>
                </w:p>
              </w:tc>
              <w:tc>
                <w:tcPr>
                  <w:tcW w:w="1133" w:type="pct"/>
                  <w:noWrap/>
                  <w:vAlign w:val="center"/>
                </w:tcPr>
                <w:p>
                  <w:pPr>
                    <w:pStyle w:val="1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2.0</w:t>
                  </w:r>
                </w:p>
              </w:tc>
              <w:tc>
                <w:tcPr>
                  <w:tcW w:w="1375" w:type="pct"/>
                  <w:noWrap/>
                  <w:vAlign w:val="center"/>
                </w:tcPr>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6" w:type="pct"/>
                  <w:noWrap/>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w:t>
                  </w:r>
                </w:p>
              </w:tc>
              <w:tc>
                <w:tcPr>
                  <w:tcW w:w="855" w:type="pct"/>
                  <w:noWrap/>
                  <w:vAlign w:val="center"/>
                </w:tcPr>
                <w:p>
                  <w:pPr>
                    <w:pStyle w:val="1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混凝土</w:t>
                  </w:r>
                </w:p>
              </w:tc>
              <w:tc>
                <w:tcPr>
                  <w:tcW w:w="931" w:type="pct"/>
                  <w:noWrap/>
                  <w:vAlign w:val="center"/>
                </w:tcPr>
                <w:p>
                  <w:pPr>
                    <w:pStyle w:val="1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万m</w:t>
                  </w:r>
                  <w:r>
                    <w:rPr>
                      <w:rFonts w:eastAsiaTheme="minorEastAsia"/>
                      <w:color w:val="000000" w:themeColor="text1"/>
                      <w:vertAlign w:val="superscript"/>
                      <w14:textFill>
                        <w14:solidFill>
                          <w14:schemeClr w14:val="tx1"/>
                        </w14:solidFill>
                      </w14:textFill>
                    </w:rPr>
                    <w:t>3</w:t>
                  </w:r>
                </w:p>
              </w:tc>
              <w:tc>
                <w:tcPr>
                  <w:tcW w:w="1133" w:type="pct"/>
                  <w:noWrap/>
                  <w:vAlign w:val="center"/>
                </w:tcPr>
                <w:p>
                  <w:pPr>
                    <w:pStyle w:val="1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0.6</w:t>
                  </w:r>
                </w:p>
              </w:tc>
              <w:tc>
                <w:tcPr>
                  <w:tcW w:w="1375" w:type="pct"/>
                  <w:noWrap/>
                  <w:vAlign w:val="center"/>
                </w:tcPr>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6" w:type="pct"/>
                  <w:noWrap/>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3</w:t>
                  </w:r>
                </w:p>
              </w:tc>
              <w:tc>
                <w:tcPr>
                  <w:tcW w:w="855" w:type="pct"/>
                  <w:noWrap/>
                  <w:vAlign w:val="center"/>
                </w:tcPr>
                <w:p>
                  <w:pPr>
                    <w:pStyle w:val="1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钢筋</w:t>
                  </w:r>
                </w:p>
              </w:tc>
              <w:tc>
                <w:tcPr>
                  <w:tcW w:w="931" w:type="pct"/>
                  <w:noWrap/>
                  <w:vAlign w:val="center"/>
                </w:tcPr>
                <w:p>
                  <w:pPr>
                    <w:pStyle w:val="1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t</w:t>
                  </w:r>
                </w:p>
              </w:tc>
              <w:tc>
                <w:tcPr>
                  <w:tcW w:w="1133" w:type="pct"/>
                  <w:noWrap/>
                  <w:vAlign w:val="center"/>
                </w:tcPr>
                <w:p>
                  <w:pPr>
                    <w:pStyle w:val="1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2.0</w:t>
                  </w:r>
                </w:p>
              </w:tc>
              <w:tc>
                <w:tcPr>
                  <w:tcW w:w="1375" w:type="pct"/>
                  <w:noWrap/>
                  <w:vAlign w:val="center"/>
                </w:tcPr>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6" w:type="pct"/>
                  <w:noWrap/>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4</w:t>
                  </w:r>
                </w:p>
              </w:tc>
              <w:tc>
                <w:tcPr>
                  <w:tcW w:w="855" w:type="pct"/>
                  <w:noWrap/>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w:t>
                  </w:r>
                </w:p>
              </w:tc>
              <w:tc>
                <w:tcPr>
                  <w:tcW w:w="931" w:type="pct"/>
                  <w:noWrap/>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m</w:t>
                  </w:r>
                  <w:r>
                    <w:rPr>
                      <w:rFonts w:eastAsiaTheme="minorEastAsia"/>
                      <w:color w:val="000000" w:themeColor="text1"/>
                      <w:sz w:val="21"/>
                      <w:szCs w:val="21"/>
                      <w:vertAlign w:val="superscript"/>
                      <w14:textFill>
                        <w14:solidFill>
                          <w14:schemeClr w14:val="tx1"/>
                        </w14:solidFill>
                      </w14:textFill>
                    </w:rPr>
                    <w:t>3</w:t>
                  </w:r>
                </w:p>
              </w:tc>
              <w:tc>
                <w:tcPr>
                  <w:tcW w:w="1133" w:type="pct"/>
                  <w:noWrap/>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w:t>
                  </w:r>
                </w:p>
              </w:tc>
              <w:tc>
                <w:tcPr>
                  <w:tcW w:w="1375" w:type="pct"/>
                  <w:noWrap/>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抽取河水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6" w:type="pct"/>
                  <w:noWrap/>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5</w:t>
                  </w:r>
                </w:p>
              </w:tc>
              <w:tc>
                <w:tcPr>
                  <w:tcW w:w="855" w:type="pct"/>
                  <w:noWrap/>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电</w:t>
                  </w:r>
                </w:p>
              </w:tc>
              <w:tc>
                <w:tcPr>
                  <w:tcW w:w="931" w:type="pct"/>
                  <w:noWrap/>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万kWh</w:t>
                  </w:r>
                </w:p>
              </w:tc>
              <w:tc>
                <w:tcPr>
                  <w:tcW w:w="1133" w:type="pct"/>
                  <w:noWrap/>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w:t>
                  </w:r>
                </w:p>
              </w:tc>
              <w:tc>
                <w:tcPr>
                  <w:tcW w:w="1375" w:type="pct"/>
                  <w:noWrap/>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市政电网</w:t>
                  </w:r>
                </w:p>
              </w:tc>
            </w:tr>
          </w:tbl>
          <w:p>
            <w:pPr>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6、主要设备</w:t>
            </w:r>
          </w:p>
          <w:p>
            <w:pPr>
              <w:pStyle w:val="53"/>
              <w:adjustRightInd/>
              <w:snapToGrid/>
              <w:ind w:firstLine="480"/>
              <w:jc w:val="both"/>
              <w:rPr>
                <w:rFonts w:eastAsiaTheme="minorEastAsia"/>
                <w:color w:val="000000" w:themeColor="text1"/>
                <w14:textFill>
                  <w14:solidFill>
                    <w14:schemeClr w14:val="tx1"/>
                  </w14:solidFill>
                </w14:textFill>
              </w:rPr>
            </w:pPr>
            <w:r>
              <w:rPr>
                <w:rFonts w:eastAsiaTheme="minorEastAsia"/>
                <w:color w:val="000000" w:themeColor="text1"/>
                <w:szCs w:val="24"/>
                <w14:textFill>
                  <w14:solidFill>
                    <w14:schemeClr w14:val="tx1"/>
                  </w14:solidFill>
                </w14:textFill>
              </w:rPr>
              <w:t>本工程建设使用的主要施工机械设备见下表。</w:t>
            </w:r>
          </w:p>
          <w:p>
            <w:pPr>
              <w:pStyle w:val="80"/>
              <w:spacing w:before="166"/>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表2-6  施工机械一览表</w:t>
            </w:r>
          </w:p>
          <w:tbl>
            <w:tblPr>
              <w:tblStyle w:val="30"/>
              <w:tblW w:w="5000" w:type="pct"/>
              <w:jc w:val="center"/>
              <w:tblLayout w:type="autofit"/>
              <w:tblCellMar>
                <w:top w:w="0" w:type="dxa"/>
                <w:left w:w="108" w:type="dxa"/>
                <w:bottom w:w="0" w:type="dxa"/>
                <w:right w:w="108" w:type="dxa"/>
              </w:tblCellMar>
            </w:tblPr>
            <w:tblGrid>
              <w:gridCol w:w="917"/>
              <w:gridCol w:w="3225"/>
              <w:gridCol w:w="917"/>
              <w:gridCol w:w="917"/>
              <w:gridCol w:w="1528"/>
            </w:tblGrid>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序号</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名 称 及 规 格</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单位</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数量</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备注</w:t>
                  </w: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挖掘机1.0m³液压反铲</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挖掘机1.6m³液压反铲</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挖掘机2.0m³液压反铲</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移动式油动</w:t>
                  </w:r>
                  <w:bookmarkStart w:id="25" w:name="OLE_LINK41"/>
                  <w:bookmarkStart w:id="26" w:name="OLE_LINK42"/>
                  <w:r>
                    <w:rPr>
                      <w:rFonts w:eastAsiaTheme="minorEastAsia"/>
                      <w:color w:val="000000" w:themeColor="text1"/>
                      <w14:textFill>
                        <w14:solidFill>
                          <w14:schemeClr w14:val="tx1"/>
                        </w14:solidFill>
                      </w14:textFill>
                    </w:rPr>
                    <w:t>空压机</w:t>
                  </w:r>
                  <w:bookmarkEnd w:id="25"/>
                  <w:bookmarkEnd w:id="26"/>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一备一用</w:t>
                  </w: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自卸汽车 5t</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辆</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6</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自卸汽车 8t</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辆</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7</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自卸汽车 10t</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辆</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推土机 59kw</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9</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推土机 74kw</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10</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蛙式打夯机（2.8kw）</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14</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振捣器 平板式 2.2kw</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15</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振捣器 插入式 2.2kw</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16</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IS100-65-160抽水泵</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一备一用</w:t>
                  </w: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17</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IS80-50-200抽水泵</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一备一用</w:t>
                  </w:r>
                </w:p>
              </w:tc>
            </w:tr>
            <w:tr>
              <w:tblPrEx>
                <w:tblCellMar>
                  <w:top w:w="0" w:type="dxa"/>
                  <w:left w:w="108" w:type="dxa"/>
                  <w:bottom w:w="0" w:type="dxa"/>
                  <w:right w:w="108" w:type="dxa"/>
                </w:tblCellMar>
              </w:tblPrEx>
              <w:trPr>
                <w:trHeight w:val="23" w:hRule="atLeast"/>
                <w:jc w:val="center"/>
              </w:trPr>
              <w:tc>
                <w:tcPr>
                  <w:tcW w:w="611" w:type="pct"/>
                  <w:tcBorders>
                    <w:top w:val="single" w:color="000000" w:sz="4" w:space="0"/>
                    <w:left w:val="single" w:color="000000" w:sz="4" w:space="0"/>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18</w:t>
                  </w:r>
                </w:p>
              </w:tc>
              <w:tc>
                <w:tcPr>
                  <w:tcW w:w="2149"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50kw柴油发电机</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台</w:t>
                  </w:r>
                </w:p>
              </w:tc>
              <w:tc>
                <w:tcPr>
                  <w:tcW w:w="611"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1018" w:type="pct"/>
                  <w:tcBorders>
                    <w:top w:val="single" w:color="000000" w:sz="4" w:space="0"/>
                    <w:left w:val="nil"/>
                    <w:bottom w:val="single" w:color="000000" w:sz="4" w:space="0"/>
                    <w:right w:val="single" w:color="000000" w:sz="4" w:space="0"/>
                  </w:tcBorders>
                  <w:vAlign w:val="center"/>
                </w:tcPr>
                <w:p>
                  <w:pPr>
                    <w:pStyle w:val="10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一备一用</w:t>
                  </w:r>
                </w:p>
              </w:tc>
            </w:tr>
          </w:tbl>
          <w:p>
            <w:pPr>
              <w:pStyle w:val="53"/>
              <w:adjustRightInd/>
              <w:snapToGrid/>
              <w:ind w:firstLine="482"/>
              <w:jc w:val="both"/>
              <w:rPr>
                <w:rFonts w:eastAsiaTheme="minorEastAsia"/>
                <w:b/>
                <w:bCs/>
                <w:color w:val="000000" w:themeColor="text1"/>
                <w:szCs w:val="24"/>
                <w14:textFill>
                  <w14:solidFill>
                    <w14:schemeClr w14:val="tx1"/>
                  </w14:solidFill>
                </w14:textFill>
              </w:rPr>
            </w:pPr>
            <w:r>
              <w:rPr>
                <w:rFonts w:eastAsiaTheme="minorEastAsia"/>
                <w:b/>
                <w:bCs/>
                <w:color w:val="000000" w:themeColor="text1"/>
                <w:szCs w:val="24"/>
                <w14:textFill>
                  <w14:solidFill>
                    <w14:schemeClr w14:val="tx1"/>
                  </w14:solidFill>
                </w14:textFill>
              </w:rPr>
              <w:t>7、土石方平衡</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本工程土石方挖方总量约0.57万m</w:t>
            </w:r>
            <w:r>
              <w:rPr>
                <w:rFonts w:hAnsi="Times New Roman" w:eastAsiaTheme="minorEastAsia"/>
                <w:color w:val="000000" w:themeColor="text1"/>
                <w:vertAlign w:val="superscript"/>
                <w14:textFill>
                  <w14:solidFill>
                    <w14:schemeClr w14:val="tx1"/>
                  </w14:solidFill>
                </w14:textFill>
              </w:rPr>
              <w:t>3</w:t>
            </w:r>
            <w:r>
              <w:rPr>
                <w:rFonts w:hAnsi="Times New Roman" w:eastAsiaTheme="minorEastAsia"/>
                <w:color w:val="000000" w:themeColor="text1"/>
                <w14:textFill>
                  <w14:solidFill>
                    <w14:schemeClr w14:val="tx1"/>
                  </w14:solidFill>
                </w14:textFill>
              </w:rPr>
              <w:t>（自然方、下同），填方总量0.48万m</w:t>
            </w:r>
            <w:r>
              <w:rPr>
                <w:rFonts w:hAnsi="Times New Roman" w:eastAsiaTheme="minorEastAsia"/>
                <w:color w:val="000000" w:themeColor="text1"/>
                <w:vertAlign w:val="superscript"/>
                <w14:textFill>
                  <w14:solidFill>
                    <w14:schemeClr w14:val="tx1"/>
                  </w14:solidFill>
                </w14:textFill>
              </w:rPr>
              <w:t>3</w:t>
            </w:r>
            <w:r>
              <w:rPr>
                <w:rFonts w:hAnsi="Times New Roman" w:eastAsiaTheme="minorEastAsia"/>
                <w:color w:val="000000" w:themeColor="text1"/>
                <w14:textFill>
                  <w14:solidFill>
                    <w14:schemeClr w14:val="tx1"/>
                  </w14:solidFill>
                </w14:textFill>
              </w:rPr>
              <w:t>。经土方平衡分析，余方0.09万m</w:t>
            </w:r>
            <w:r>
              <w:rPr>
                <w:rFonts w:hAnsi="Times New Roman" w:eastAsiaTheme="minorEastAsia"/>
                <w:color w:val="000000" w:themeColor="text1"/>
                <w:vertAlign w:val="superscript"/>
                <w14:textFill>
                  <w14:solidFill>
                    <w14:schemeClr w14:val="tx1"/>
                  </w14:solidFill>
                </w14:textFill>
              </w:rPr>
              <w:t>3</w:t>
            </w:r>
            <w:r>
              <w:rPr>
                <w:rFonts w:hAnsi="Times New Roman" w:eastAsiaTheme="minorEastAsia"/>
                <w:color w:val="000000" w:themeColor="text1"/>
                <w14:textFill>
                  <w14:solidFill>
                    <w14:schemeClr w14:val="tx1"/>
                  </w14:solidFill>
                </w14:textFill>
              </w:rPr>
              <w:t>，用于堤后回填，工程无弃方。</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土石方平衡见下表。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表2-7 项目土石方平衡一览表  单位：万m</w:t>
            </w:r>
            <w:r>
              <w:rPr>
                <w:color w:val="000000" w:themeColor="text1"/>
                <w:vertAlign w:val="superscript"/>
                <w14:textFill>
                  <w14:solidFill>
                    <w14:schemeClr w14:val="tx1"/>
                  </w14:solidFill>
                </w14:textFill>
              </w:rPr>
              <w:t>3</w:t>
            </w:r>
          </w:p>
          <w:tbl>
            <w:tblPr>
              <w:tblStyle w:val="30"/>
              <w:tblW w:w="5000" w:type="pct"/>
              <w:jc w:val="center"/>
              <w:tblLayout w:type="autofit"/>
              <w:tblCellMar>
                <w:top w:w="0" w:type="dxa"/>
                <w:left w:w="108" w:type="dxa"/>
                <w:bottom w:w="0" w:type="dxa"/>
                <w:right w:w="108" w:type="dxa"/>
              </w:tblCellMar>
            </w:tblPr>
            <w:tblGrid>
              <w:gridCol w:w="759"/>
              <w:gridCol w:w="785"/>
              <w:gridCol w:w="714"/>
              <w:gridCol w:w="896"/>
              <w:gridCol w:w="745"/>
              <w:gridCol w:w="711"/>
              <w:gridCol w:w="618"/>
              <w:gridCol w:w="537"/>
              <w:gridCol w:w="618"/>
              <w:gridCol w:w="537"/>
              <w:gridCol w:w="584"/>
            </w:tblGrid>
            <w:tr>
              <w:tblPrEx>
                <w:tblCellMar>
                  <w:top w:w="0" w:type="dxa"/>
                  <w:left w:w="108" w:type="dxa"/>
                  <w:bottom w:w="0" w:type="dxa"/>
                  <w:right w:w="108" w:type="dxa"/>
                </w:tblCellMar>
              </w:tblPrEx>
              <w:trPr>
                <w:trHeight w:val="324" w:hRule="atLeast"/>
                <w:jc w:val="center"/>
              </w:trPr>
              <w:tc>
                <w:tcPr>
                  <w:tcW w:w="510" w:type="pct"/>
                  <w:vMerge w:val="restart"/>
                  <w:tcBorders>
                    <w:top w:val="single" w:color="000000" w:sz="4" w:space="0"/>
                    <w:left w:val="single" w:color="000000" w:sz="4" w:space="0"/>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项目组成</w:t>
                  </w:r>
                </w:p>
              </w:tc>
              <w:tc>
                <w:tcPr>
                  <w:tcW w:w="1007" w:type="pct"/>
                  <w:gridSpan w:val="2"/>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挖方</w:t>
                  </w:r>
                </w:p>
              </w:tc>
              <w:tc>
                <w:tcPr>
                  <w:tcW w:w="1101" w:type="pct"/>
                  <w:gridSpan w:val="2"/>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填方</w:t>
                  </w:r>
                </w:p>
              </w:tc>
              <w:tc>
                <w:tcPr>
                  <w:tcW w:w="477"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借方</w:t>
                  </w:r>
                </w:p>
              </w:tc>
              <w:tc>
                <w:tcPr>
                  <w:tcW w:w="776" w:type="pct"/>
                  <w:gridSpan w:val="2"/>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调入</w:t>
                  </w:r>
                </w:p>
              </w:tc>
              <w:tc>
                <w:tcPr>
                  <w:tcW w:w="776" w:type="pct"/>
                  <w:gridSpan w:val="2"/>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调出</w:t>
                  </w:r>
                </w:p>
              </w:tc>
              <w:tc>
                <w:tcPr>
                  <w:tcW w:w="353" w:type="pct"/>
                  <w:vMerge w:val="restar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弃方</w:t>
                  </w:r>
                </w:p>
              </w:tc>
            </w:tr>
            <w:tr>
              <w:tblPrEx>
                <w:tblCellMar>
                  <w:top w:w="0" w:type="dxa"/>
                  <w:left w:w="108" w:type="dxa"/>
                  <w:bottom w:w="0" w:type="dxa"/>
                  <w:right w:w="108" w:type="dxa"/>
                </w:tblCellMar>
              </w:tblPrEx>
              <w:trPr>
                <w:trHeight w:val="324" w:hRule="atLeast"/>
                <w:jc w:val="center"/>
              </w:trPr>
              <w:tc>
                <w:tcPr>
                  <w:tcW w:w="510" w:type="pct"/>
                  <w:vMerge w:val="continue"/>
                  <w:tcBorders>
                    <w:top w:val="single" w:color="000000" w:sz="4" w:space="0"/>
                    <w:left w:val="single" w:color="000000" w:sz="4" w:space="0"/>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p>
              </w:tc>
              <w:tc>
                <w:tcPr>
                  <w:tcW w:w="527"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石方</w:t>
                  </w:r>
                </w:p>
              </w:tc>
              <w:tc>
                <w:tcPr>
                  <w:tcW w:w="480"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小计</w:t>
                  </w:r>
                </w:p>
              </w:tc>
              <w:tc>
                <w:tcPr>
                  <w:tcW w:w="601"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石方</w:t>
                  </w:r>
                </w:p>
              </w:tc>
              <w:tc>
                <w:tcPr>
                  <w:tcW w:w="500"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小计</w:t>
                  </w:r>
                </w:p>
              </w:tc>
              <w:tc>
                <w:tcPr>
                  <w:tcW w:w="477"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来源</w:t>
                  </w:r>
                </w:p>
              </w:tc>
              <w:tc>
                <w:tcPr>
                  <w:tcW w:w="415"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数量</w:t>
                  </w:r>
                </w:p>
              </w:tc>
              <w:tc>
                <w:tcPr>
                  <w:tcW w:w="361"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来源</w:t>
                  </w:r>
                </w:p>
              </w:tc>
              <w:tc>
                <w:tcPr>
                  <w:tcW w:w="415"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数量</w:t>
                  </w:r>
                </w:p>
              </w:tc>
              <w:tc>
                <w:tcPr>
                  <w:tcW w:w="361"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去向</w:t>
                  </w:r>
                </w:p>
              </w:tc>
              <w:tc>
                <w:tcPr>
                  <w:tcW w:w="353" w:type="pct"/>
                  <w:vMerge w:val="continue"/>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24" w:hRule="atLeast"/>
                <w:jc w:val="center"/>
              </w:trPr>
              <w:tc>
                <w:tcPr>
                  <w:tcW w:w="510" w:type="pct"/>
                  <w:tcBorders>
                    <w:top w:val="single" w:color="000000" w:sz="4" w:space="0"/>
                    <w:left w:val="single" w:color="000000" w:sz="4" w:space="0"/>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堤防工程</w:t>
                  </w:r>
                </w:p>
              </w:tc>
              <w:tc>
                <w:tcPr>
                  <w:tcW w:w="527"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0.57</w:t>
                  </w:r>
                </w:p>
              </w:tc>
              <w:tc>
                <w:tcPr>
                  <w:tcW w:w="480"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0.57</w:t>
                  </w:r>
                </w:p>
              </w:tc>
              <w:tc>
                <w:tcPr>
                  <w:tcW w:w="601"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0.48</w:t>
                  </w:r>
                </w:p>
              </w:tc>
              <w:tc>
                <w:tcPr>
                  <w:tcW w:w="500"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0.48</w:t>
                  </w:r>
                </w:p>
              </w:tc>
              <w:tc>
                <w:tcPr>
                  <w:tcW w:w="477"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p>
              </w:tc>
              <w:tc>
                <w:tcPr>
                  <w:tcW w:w="415"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p>
              </w:tc>
              <w:tc>
                <w:tcPr>
                  <w:tcW w:w="361"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p>
              </w:tc>
              <w:tc>
                <w:tcPr>
                  <w:tcW w:w="415"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p>
              </w:tc>
              <w:tc>
                <w:tcPr>
                  <w:tcW w:w="361"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p>
              </w:tc>
              <w:tc>
                <w:tcPr>
                  <w:tcW w:w="353" w:type="pct"/>
                  <w:tcBorders>
                    <w:top w:val="single" w:color="000000" w:sz="4" w:space="0"/>
                    <w:left w:val="nil"/>
                    <w:bottom w:val="single" w:color="000000" w:sz="4" w:space="0"/>
                    <w:right w:val="single" w:color="000000" w:sz="4" w:space="0"/>
                  </w:tcBorders>
                  <w:vAlign w:val="center"/>
                </w:tcPr>
                <w:p>
                  <w:pPr>
                    <w:pStyle w:val="105"/>
                    <w:snapToGrid/>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0.09堤后回填</w:t>
                  </w:r>
                </w:p>
              </w:tc>
            </w:tr>
          </w:tbl>
          <w:p>
            <w:pPr>
              <w:pStyle w:val="53"/>
              <w:adjustRightInd/>
              <w:snapToGrid/>
              <w:ind w:firstLine="482"/>
              <w:jc w:val="both"/>
              <w:rPr>
                <w:rFonts w:eastAsiaTheme="minorEastAsia"/>
                <w:b/>
                <w:bCs/>
                <w:color w:val="000000" w:themeColor="text1"/>
                <w:szCs w:val="24"/>
                <w14:textFill>
                  <w14:solidFill>
                    <w14:schemeClr w14:val="tx1"/>
                  </w14:solidFill>
                </w14:textFill>
              </w:rPr>
            </w:pPr>
            <w:r>
              <w:rPr>
                <w:rFonts w:eastAsiaTheme="minorEastAsia"/>
                <w:b/>
                <w:bCs/>
                <w:color w:val="000000" w:themeColor="text1"/>
                <w:szCs w:val="24"/>
                <w14:textFill>
                  <w14:solidFill>
                    <w14:schemeClr w14:val="tx1"/>
                  </w14:solidFill>
                </w14:textFill>
              </w:rPr>
              <w:t>8、劳动定员及工作制度</w:t>
            </w:r>
          </w:p>
          <w:p>
            <w:pPr>
              <w:pStyle w:val="13"/>
              <w:spacing w:after="0"/>
              <w:ind w:right="30" w:firstLine="496"/>
              <w:rPr>
                <w:rFonts w:ascii="Times New Roman" w:hAnsi="Times New Roman" w:eastAsiaTheme="minorEastAsia"/>
                <w:color w:val="000000" w:themeColor="text1"/>
                <w:spacing w:val="4"/>
                <w14:textFill>
                  <w14:solidFill>
                    <w14:schemeClr w14:val="tx1"/>
                  </w14:solidFill>
                </w14:textFill>
              </w:rPr>
            </w:pPr>
            <w:r>
              <w:rPr>
                <w:rFonts w:ascii="Times New Roman" w:hAnsi="Times New Roman" w:eastAsiaTheme="minorEastAsia"/>
                <w:color w:val="000000" w:themeColor="text1"/>
                <w:spacing w:val="4"/>
                <w14:textFill>
                  <w14:solidFill>
                    <w14:schemeClr w14:val="tx1"/>
                  </w14:solidFill>
                </w14:textFill>
              </w:rPr>
              <w:t>本工程施工高峰期人员约20人。每日工作8小时，夜间不施工。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2" w:type="pct"/>
            <w:vAlign w:val="center"/>
          </w:tcPr>
          <w:p>
            <w:pPr>
              <w:pStyle w:val="13"/>
              <w:spacing w:after="0"/>
              <w:ind w:firstLine="0" w:firstLineChars="0"/>
              <w:rPr>
                <w:rFonts w:ascii="Times New Roman" w:hAnsi="Times New Roman" w:eastAsiaTheme="minorEastAsia"/>
                <w:color w:val="000000" w:themeColor="text1"/>
                <w:kern w:val="0"/>
                <w:szCs w:val="2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总平面及现场布置</w:t>
            </w:r>
          </w:p>
        </w:tc>
        <w:tc>
          <w:tcPr>
            <w:tcW w:w="4537" w:type="pct"/>
            <w:vAlign w:val="center"/>
          </w:tcPr>
          <w:p>
            <w:pPr>
              <w:pStyle w:val="53"/>
              <w:adjustRightInd/>
              <w:snapToGrid/>
              <w:ind w:firstLine="482"/>
              <w:jc w:val="both"/>
              <w:rPr>
                <w:rFonts w:eastAsiaTheme="minorEastAsia"/>
                <w:b/>
                <w:bCs/>
                <w:color w:val="000000" w:themeColor="text1"/>
                <w:szCs w:val="24"/>
                <w14:textFill>
                  <w14:solidFill>
                    <w14:schemeClr w14:val="tx1"/>
                  </w14:solidFill>
                </w14:textFill>
              </w:rPr>
            </w:pPr>
            <w:r>
              <w:rPr>
                <w:rFonts w:eastAsiaTheme="minorEastAsia"/>
                <w:b/>
                <w:bCs/>
                <w:color w:val="000000" w:themeColor="text1"/>
                <w:szCs w:val="24"/>
                <w14:textFill>
                  <w14:solidFill>
                    <w14:schemeClr w14:val="tx1"/>
                  </w14:solidFill>
                </w14:textFill>
              </w:rPr>
              <w:t>一、项目总平面布置</w:t>
            </w:r>
          </w:p>
          <w:p>
            <w:pPr>
              <w:ind w:firstLine="480"/>
              <w:rPr>
                <w:rFonts w:eastAsiaTheme="minorEastAsia"/>
                <w:bCs/>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本工程河段新建堤（岸）轴线基本沿河道自然堤线平顺布置，分为2处，其中新建河提268米，修复水毁河堤56米。</w:t>
            </w:r>
            <w:r>
              <w:rPr>
                <w:rFonts w:eastAsiaTheme="minorEastAsia"/>
                <w:bCs/>
                <w:color w:val="000000" w:themeColor="text1"/>
                <w14:textFill>
                  <w14:solidFill>
                    <w14:schemeClr w14:val="tx1"/>
                  </w14:solidFill>
                </w14:textFill>
              </w:rPr>
              <w:t>河道由北至南，顺接现状河堤，河堤设计点位1起终点坐标为：X=3587912.924，Y=622757.620；终点坐标为：X=3587861.063，Y=622731.049；河堤设计点位2起点坐标为：X=3587777.714，Y=622672.262；终点坐标为：X=3587525.631，Y=622591.027。</w:t>
            </w:r>
          </w:p>
          <w:p>
            <w:pPr>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二、施工平面布置</w:t>
            </w:r>
          </w:p>
          <w:p>
            <w:pPr>
              <w:pStyle w:val="53"/>
              <w:ind w:firstLine="480"/>
              <w:jc w:val="both"/>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本项目堤防建设施工生产、办公生活用房就近租用当地村民民房，不设施工营地。</w:t>
            </w:r>
            <w:r>
              <w:rPr>
                <w:rFonts w:eastAsiaTheme="minorEastAsia"/>
                <w:color w:val="000000" w:themeColor="text1"/>
                <w:szCs w:val="24"/>
                <w14:textFill>
                  <w14:solidFill>
                    <w14:schemeClr w14:val="tx1"/>
                  </w14:solidFill>
                </w14:textFill>
              </w:rPr>
              <w:t>本项目堤防紧邻道路，不设置施工便道。堤防采用商品混凝土，不设置施工场地。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2" w:type="pct"/>
            <w:vAlign w:val="center"/>
          </w:tcPr>
          <w:p>
            <w:pPr>
              <w:pStyle w:val="13"/>
              <w:spacing w:after="0"/>
              <w:ind w:firstLine="0" w:firstLineChars="0"/>
              <w:jc w:val="center"/>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施工</w:t>
            </w:r>
          </w:p>
          <w:p>
            <w:pPr>
              <w:pStyle w:val="13"/>
              <w:spacing w:after="0"/>
              <w:ind w:firstLine="0" w:firstLineChars="0"/>
              <w:jc w:val="center"/>
              <w:rPr>
                <w:rFonts w:ascii="Times New Roman" w:hAnsi="Times New Roman" w:eastAsiaTheme="minorEastAsia"/>
                <w:color w:val="000000" w:themeColor="text1"/>
                <w:kern w:val="0"/>
                <w:szCs w:val="2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方案</w:t>
            </w:r>
          </w:p>
        </w:tc>
        <w:tc>
          <w:tcPr>
            <w:tcW w:w="4537" w:type="pct"/>
            <w:vAlign w:val="center"/>
          </w:tcPr>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一、施工工艺</w:t>
            </w:r>
          </w:p>
          <w:p>
            <w:pPr>
              <w:pStyle w:val="53"/>
              <w:adjustRightInd/>
              <w:snapToGrid/>
              <w:ind w:firstLine="468"/>
              <w:jc w:val="both"/>
              <w:rPr>
                <w:rFonts w:eastAsiaTheme="minorEastAsia"/>
                <w:color w:val="000000" w:themeColor="text1"/>
                <w:spacing w:val="-3"/>
                <w14:textFill>
                  <w14:solidFill>
                    <w14:schemeClr w14:val="tx1"/>
                  </w14:solidFill>
                </w14:textFill>
              </w:rPr>
            </w:pPr>
            <w:r>
              <w:rPr>
                <w:rFonts w:eastAsiaTheme="minorEastAsia"/>
                <w:color w:val="000000" w:themeColor="text1"/>
                <w:spacing w:val="-3"/>
                <w14:textFill>
                  <w14:solidFill>
                    <w14:schemeClr w14:val="tx1"/>
                  </w14:solidFill>
                </w14:textFill>
              </w:rPr>
              <w:t>本项目堤防建设属于防洪除涝工程，运营期不产生污染物，主要污染来源于施工期，因此施工期是评价的重点。施工工艺流程如下图所示。</w:t>
            </w:r>
          </w:p>
          <w:p>
            <w:pPr>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object>
                <v:shape id="_x0000_i1025" o:spt="75" type="#_x0000_t75" style="height:347.5pt;width:347.5pt;" o:ole="t" filled="f" o:preferrelative="t" stroked="f" coordsize="21600,21600">
                  <v:path/>
                  <v:fill on="f" focussize="0,0"/>
                  <v:stroke on="f" joinstyle="miter"/>
                  <v:imagedata r:id="rId17" o:title=""/>
                  <o:lock v:ext="edit" aspectratio="f"/>
                  <w10:wrap type="none"/>
                  <w10:anchorlock/>
                </v:shape>
                <o:OLEObject Type="Embed" ProgID="Visio.Drawing.15" ShapeID="_x0000_i1025" DrawAspect="Content" ObjectID="_1468075725">
                  <o:LockedField>false</o:LockedField>
                </o:OLEObject>
              </w:object>
            </w:r>
          </w:p>
          <w:p>
            <w:pPr>
              <w:pStyle w:val="13"/>
              <w:spacing w:after="0"/>
              <w:ind w:firstLine="410"/>
              <w:jc w:val="center"/>
              <w:rPr>
                <w:rFonts w:ascii="Times New Roman" w:hAnsi="Times New Roman" w:eastAsiaTheme="minorEastAsia"/>
                <w:b/>
                <w:color w:val="000000" w:themeColor="text1"/>
                <w:spacing w:val="-3"/>
                <w:sz w:val="21"/>
                <w:szCs w:val="21"/>
                <w14:textFill>
                  <w14:solidFill>
                    <w14:schemeClr w14:val="tx1"/>
                  </w14:solidFill>
                </w14:textFill>
              </w:rPr>
            </w:pPr>
            <w:r>
              <w:rPr>
                <w:rFonts w:ascii="Times New Roman" w:hAnsi="Times New Roman" w:eastAsiaTheme="minorEastAsia"/>
                <w:b/>
                <w:color w:val="000000" w:themeColor="text1"/>
                <w:spacing w:val="-3"/>
                <w:sz w:val="21"/>
                <w:szCs w:val="21"/>
                <w14:textFill>
                  <w14:solidFill>
                    <w14:schemeClr w14:val="tx1"/>
                  </w14:solidFill>
                </w14:textFill>
              </w:rPr>
              <w:t>图2-1 施工期堤防工程施工工艺流程图</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（1）施工导流</w:t>
            </w:r>
          </w:p>
          <w:p>
            <w:pPr>
              <w:ind w:firstLine="468"/>
              <w:rPr>
                <w:rFonts w:eastAsiaTheme="minorEastAsia"/>
                <w:color w:val="000000" w:themeColor="text1"/>
                <w:spacing w:val="-3"/>
                <w14:textFill>
                  <w14:solidFill>
                    <w14:schemeClr w14:val="tx1"/>
                  </w14:solidFill>
                </w14:textFill>
              </w:rPr>
            </w:pPr>
            <w:r>
              <w:rPr>
                <w:rFonts w:eastAsiaTheme="minorEastAsia"/>
                <w:color w:val="000000" w:themeColor="text1"/>
                <w:spacing w:val="-3"/>
                <w14:textFill>
                  <w14:solidFill>
                    <w14:schemeClr w14:val="tx1"/>
                  </w14:solidFill>
                </w14:textFill>
              </w:rPr>
              <w:t>本工程安排在枯水期施工，因第一年11月和第二年3月河道流量较小，类比当地其他防洪除涝工程施工经验，本工程施工导流方式均采用束窄河床，分段（分期）围堰导流，沿河道修建纵向围堰，根据施工部位分段布置横向围堰挡水，围堰迎水面采用土工</w:t>
            </w:r>
            <w:bookmarkStart w:id="27" w:name="OLE_LINK8"/>
            <w:r>
              <w:rPr>
                <w:rFonts w:eastAsiaTheme="minorEastAsia"/>
                <w:color w:val="000000" w:themeColor="text1"/>
                <w:spacing w:val="-3"/>
                <w14:textFill>
                  <w14:solidFill>
                    <w14:schemeClr w14:val="tx1"/>
                  </w14:solidFill>
                </w14:textFill>
              </w:rPr>
              <w:t>膜</w:t>
            </w:r>
            <w:bookmarkEnd w:id="27"/>
            <w:r>
              <w:rPr>
                <w:rFonts w:eastAsiaTheme="minorEastAsia"/>
                <w:color w:val="000000" w:themeColor="text1"/>
                <w:spacing w:val="-3"/>
                <w14:textFill>
                  <w14:solidFill>
                    <w14:schemeClr w14:val="tx1"/>
                  </w14:solidFill>
                </w14:textFill>
              </w:rPr>
              <w:t>防渗，保证河道干地施工。为平衡施工时段内施工和过流的矛盾，工程采用分段实施。</w:t>
            </w:r>
          </w:p>
          <w:p>
            <w:pPr>
              <w:ind w:firstLine="482"/>
              <w:rPr>
                <w:rFonts w:eastAsiaTheme="minorEastAsia"/>
                <w:b/>
                <w:color w:val="000000" w:themeColor="text1"/>
                <w:lang w:val="zh-CN"/>
                <w14:textFill>
                  <w14:solidFill>
                    <w14:schemeClr w14:val="tx1"/>
                  </w14:solidFill>
                </w14:textFill>
              </w:rPr>
            </w:pPr>
            <w:r>
              <w:rPr>
                <w:rFonts w:eastAsiaTheme="minorEastAsia"/>
                <w:b/>
                <w:color w:val="000000" w:themeColor="text1"/>
                <w:lang w:val="zh-CN"/>
                <w14:textFill>
                  <w14:solidFill>
                    <w14:schemeClr w14:val="tx1"/>
                  </w14:solidFill>
                </w14:textFill>
              </w:rPr>
              <w:t>（</w:t>
            </w:r>
            <w:r>
              <w:rPr>
                <w:rFonts w:eastAsiaTheme="minorEastAsia"/>
                <w:b/>
                <w:color w:val="000000" w:themeColor="text1"/>
                <w14:textFill>
                  <w14:solidFill>
                    <w14:schemeClr w14:val="tx1"/>
                  </w14:solidFill>
                </w14:textFill>
              </w:rPr>
              <w:t>2</w:t>
            </w:r>
            <w:r>
              <w:rPr>
                <w:rFonts w:eastAsiaTheme="minorEastAsia"/>
                <w:b/>
                <w:color w:val="000000" w:themeColor="text1"/>
                <w:lang w:val="zh-CN"/>
                <w14:textFill>
                  <w14:solidFill>
                    <w14:schemeClr w14:val="tx1"/>
                  </w14:solidFill>
                </w14:textFill>
              </w:rPr>
              <w:t>）围堰设计</w:t>
            </w:r>
          </w:p>
          <w:p>
            <w:pPr>
              <w:pStyle w:val="68"/>
              <w:adjustRightInd w:val="0"/>
              <w:ind w:firstLine="468"/>
              <w:rPr>
                <w:rFonts w:eastAsiaTheme="minorEastAsia"/>
                <w:color w:val="000000" w:themeColor="text1"/>
                <w:spacing w:val="-3"/>
                <w14:textFill>
                  <w14:solidFill>
                    <w14:schemeClr w14:val="tx1"/>
                  </w14:solidFill>
                </w14:textFill>
              </w:rPr>
            </w:pPr>
            <w:r>
              <w:rPr>
                <w:rFonts w:eastAsiaTheme="minorEastAsia"/>
                <w:color w:val="000000" w:themeColor="text1"/>
                <w:spacing w:val="-3"/>
                <w14:textFill>
                  <w14:solidFill>
                    <w14:schemeClr w14:val="tx1"/>
                  </w14:solidFill>
                </w14:textFill>
              </w:rPr>
              <w:t>本着就地取材，充分利用开挖料和便于施工等目的，工程均采用土石围堰。</w:t>
            </w:r>
          </w:p>
          <w:p>
            <w:pPr>
              <w:pStyle w:val="68"/>
              <w:adjustRightInd w:val="0"/>
              <w:ind w:firstLine="468"/>
              <w:rPr>
                <w:rFonts w:eastAsiaTheme="minorEastAsia"/>
                <w:color w:val="000000" w:themeColor="text1"/>
                <w:lang w:val="zh-CN"/>
                <w14:textFill>
                  <w14:solidFill>
                    <w14:schemeClr w14:val="tx1"/>
                  </w14:solidFill>
                </w14:textFill>
              </w:rPr>
            </w:pPr>
            <w:r>
              <w:rPr>
                <w:rFonts w:eastAsiaTheme="minorEastAsia"/>
                <w:color w:val="000000" w:themeColor="text1"/>
                <w:spacing w:val="-3"/>
                <w14:textFill>
                  <w14:solidFill>
                    <w14:schemeClr w14:val="tx1"/>
                  </w14:solidFill>
                </w14:textFill>
              </w:rPr>
              <w:t>分段（分期）施工围堰：采用袋装土石围堰，利用开挖料进行回填，中间铺设复合土工布防渗确定围堰顶宽1.0m，平均堰高约0.8m，迎水面、背水面边坡比分别为1:1、1:1.5。采用土石围堰填筑，围堰的防渗采用沿围堰迎水面铺设复合土工膜进行防渗，土工膜迎水面再50cm厚编织袋装土石围堰防冲护坡。围堰堰体应保证足够的稳定性，堰顶有足够的施工工作面。堰顶高程不低于设计洪水位加安全超高加波浪高度，安全超高为0.5m。</w:t>
            </w:r>
          </w:p>
          <w:p>
            <w:pPr>
              <w:pStyle w:val="68"/>
              <w:adjustRightInd w:val="0"/>
              <w:ind w:firstLine="482"/>
              <w:rPr>
                <w:rFonts w:eastAsiaTheme="minorEastAsia"/>
                <w:b/>
                <w:bCs/>
                <w:color w:val="000000" w:themeColor="text1"/>
                <w:spacing w:val="-3"/>
                <w14:textFill>
                  <w14:solidFill>
                    <w14:schemeClr w14:val="tx1"/>
                  </w14:solidFill>
                </w14:textFill>
              </w:rPr>
            </w:pPr>
            <w:r>
              <w:rPr>
                <w:rFonts w:eastAsiaTheme="minorEastAsia"/>
                <w:b/>
                <w:bCs/>
                <w:color w:val="000000" w:themeColor="text1"/>
                <w14:textFill>
                  <w14:solidFill>
                    <w14:schemeClr w14:val="tx1"/>
                  </w14:solidFill>
                </w14:textFill>
              </w:rPr>
              <w:t>（</w:t>
            </w:r>
            <w:r>
              <w:rPr>
                <w:rFonts w:eastAsiaTheme="minorEastAsia"/>
                <w:b/>
                <w:bCs/>
                <w:color w:val="000000" w:themeColor="text1"/>
                <w:spacing w:val="-3"/>
                <w14:textFill>
                  <w14:solidFill>
                    <w14:schemeClr w14:val="tx1"/>
                  </w14:solidFill>
                </w14:textFill>
              </w:rPr>
              <w:t>3）基坑排水</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初期排水包括围堰施工完毕，基坑开挖前基坑内积水及围堰渗水、雨水等，采用2台水泵抽排。经常性排水包括围堰渗水及施工过程中的降雨，采用4台水泵抽排。</w:t>
            </w:r>
          </w:p>
          <w:p>
            <w:pPr>
              <w:ind w:firstLine="470"/>
              <w:rPr>
                <w:rFonts w:eastAsiaTheme="minorEastAsia"/>
                <w:b/>
                <w:bCs/>
                <w:color w:val="000000" w:themeColor="text1"/>
                <w:spacing w:val="-3"/>
                <w14:textFill>
                  <w14:solidFill>
                    <w14:schemeClr w14:val="tx1"/>
                  </w14:solidFill>
                </w14:textFill>
              </w:rPr>
            </w:pPr>
            <w:r>
              <w:rPr>
                <w:rFonts w:eastAsiaTheme="minorEastAsia"/>
                <w:b/>
                <w:bCs/>
                <w:color w:val="000000" w:themeColor="text1"/>
                <w:spacing w:val="-3"/>
                <w14:textFill>
                  <w14:solidFill>
                    <w14:schemeClr w14:val="tx1"/>
                  </w14:solidFill>
                </w14:textFill>
              </w:rPr>
              <w:t>（4）围堰施工</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①</w:t>
            </w:r>
            <w:r>
              <w:rPr>
                <w:rFonts w:hAnsi="Times New Roman" w:eastAsiaTheme="minorEastAsia"/>
                <w:color w:val="000000" w:themeColor="text1"/>
                <w14:textFill>
                  <w14:solidFill>
                    <w14:schemeClr w14:val="tx1"/>
                  </w14:solidFill>
                </w14:textFill>
              </w:rPr>
              <w:t>土石围堰填筑</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土石围堰填筑料充分利用工程开挖料，推土机推运后分层填筑，每层厚度约为30cm，满足整体稳固抗冲刷，不下沉坍塌。反铲挖装自卸汽车运输作为辅助上料方式。直至围堰填筑满足施工断面要求和设计围堰高程。在围堰填筑施工过程中，其施工工艺和质量要求均应按碾压土石坝施工规范进行，并达到施工要求。</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②</w:t>
            </w:r>
            <w:r>
              <w:rPr>
                <w:rFonts w:hAnsi="Times New Roman" w:eastAsiaTheme="minorEastAsia"/>
                <w:color w:val="000000" w:themeColor="text1"/>
                <w14:textFill>
                  <w14:solidFill>
                    <w14:schemeClr w14:val="tx1"/>
                  </w14:solidFill>
                </w14:textFill>
              </w:rPr>
              <w:t>土工膜施工</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土工膜在专业加工厂拼成符合设计要求尺寸的块体（尽量宽幅），卷在钢管上，妥善运输至施工现场。人工铺设土工膜。</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③</w:t>
            </w:r>
            <w:r>
              <w:rPr>
                <w:rFonts w:hAnsi="Times New Roman" w:eastAsiaTheme="minorEastAsia"/>
                <w:color w:val="000000" w:themeColor="text1"/>
                <w14:textFill>
                  <w14:solidFill>
                    <w14:schemeClr w14:val="tx1"/>
                  </w14:solidFill>
                </w14:textFill>
              </w:rPr>
              <w:t>编织袋装漂卵砾石夹砂回填</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采用编织袋装漂卵砾石夹砂，充分利用工程开挖料，人工堆筑护坡。</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④</w:t>
            </w:r>
            <w:r>
              <w:rPr>
                <w:rFonts w:hAnsi="Times New Roman" w:eastAsiaTheme="minorEastAsia"/>
                <w:color w:val="000000" w:themeColor="text1"/>
                <w14:textFill>
                  <w14:solidFill>
                    <w14:schemeClr w14:val="tx1"/>
                  </w14:solidFill>
                </w14:textFill>
              </w:rPr>
              <w:t>围堰拆除</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围堰枯水期拆除，选用挖掘机后退法开挖，先下游围堰，再上游围堰。先用反铲拆除至略高于当时河水位，再用反铲退挖，尽量利用反铲的挖深能力，采用反铲挖装自卸汽车运至堤后回填，推土机摊平，围堰拆除料考虑用于工程回填。</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（5）主体工程施工</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①</w:t>
            </w:r>
            <w:r>
              <w:rPr>
                <w:rFonts w:hAnsi="Times New Roman" w:eastAsiaTheme="minorEastAsia"/>
                <w:color w:val="000000" w:themeColor="text1"/>
                <w14:textFill>
                  <w14:solidFill>
                    <w14:schemeClr w14:val="tx1"/>
                  </w14:solidFill>
                </w14:textFill>
              </w:rPr>
              <w:t>测量放样：在开挖前先进行测量放样，实测地形线和开挖横断面图，确定开挖边线，计算出开挖工程量并编制施工进度计划。</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②</w:t>
            </w:r>
            <w:r>
              <w:rPr>
                <w:rFonts w:hAnsi="Times New Roman" w:eastAsiaTheme="minorEastAsia"/>
                <w:color w:val="000000" w:themeColor="text1"/>
                <w14:textFill>
                  <w14:solidFill>
                    <w14:schemeClr w14:val="tx1"/>
                  </w14:solidFill>
                </w14:textFill>
              </w:rPr>
              <w:t>基础清理：用推土机将堤线范围内杂草、垃圾、废渣土方推运至一起，采用液压挖掘机装，10t自卸汽车运输至临时堆料点。</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③</w:t>
            </w:r>
            <w:r>
              <w:rPr>
                <w:rFonts w:hAnsi="Times New Roman" w:eastAsiaTheme="minorEastAsia"/>
                <w:color w:val="000000" w:themeColor="text1"/>
                <w14:textFill>
                  <w14:solidFill>
                    <w14:schemeClr w14:val="tx1"/>
                  </w14:solidFill>
                </w14:textFill>
              </w:rPr>
              <w:t>基础开挖：堤防基础开挖土石料，采用反铲挖掘机开挖，开挖料就近堆存于开挖沿线备用。开挖过程中适当加高培厚围堰。开挖边坡按稳定边坡控制，根据实际情况可考虑放缓边坡或采用适当支护措施。</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④</w:t>
            </w:r>
            <w:r>
              <w:rPr>
                <w:rFonts w:hAnsi="Times New Roman" w:eastAsiaTheme="minorEastAsia"/>
                <w:color w:val="000000" w:themeColor="text1"/>
                <w14:textFill>
                  <w14:solidFill>
                    <w14:schemeClr w14:val="tx1"/>
                  </w14:solidFill>
                </w14:textFill>
              </w:rPr>
              <w:t>土石填筑：本回填工程为挡墙堤后砂卵石回填、堤脚大卵石回填，回填料优先利用工程开挖料，质量及数量满足要求。本工程回填量较小，采用机械化施工为主，局部辅以人工。</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⑤</w:t>
            </w:r>
            <w:r>
              <w:rPr>
                <w:rFonts w:hAnsi="Times New Roman" w:eastAsiaTheme="minorEastAsia"/>
                <w:color w:val="000000" w:themeColor="text1"/>
                <w14:textFill>
                  <w14:solidFill>
                    <w14:schemeClr w14:val="tx1"/>
                  </w14:solidFill>
                </w14:textFill>
              </w:rPr>
              <w:t>砼浇筑：本工程混凝土工程施工主要为挡墙部分。主要施工工艺：基础开挖→表面平整、压实→立模→浇筑→拆模→养护。商品混凝土运至工地现场后入仓，并加强振捣，不得过振及漏振。</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基础混凝土，经料斗配合溜槽入仓，人工平仓，插入式振捣器振捣，组合钢模施工。挡墙混凝土，经料斗配合溜槽入仓，插入式振捣器振捣，钢模施工。路面砼直接入仓，插入式振捣器振捣，组合钢模施工。每一处振动完毕后，应边振动边徐徐提出，对每一振动部分必须振动到该部分混凝土密实为止，密实的标志是混凝土停止下沉，不再冒出气泡、表面呈现平坦、泛浆。应避免振动棒碰撞模板、钢筋及其他预埋件。</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混凝土浇筑一般应放在春秋季，应避开高温和低温季节，尤其对工程的主要部位，若实在因进度的需要回避不了时，必须采取适当的措施，以保证混凝土的浇筑质量。混凝土浇筑完毕后，应及时洒水养护，在养护期内始终保持混凝土表面湿润，且连续养护时间不宜少于28d。养护应有专人负责，并应做好养护记录。</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模板工程以组合钢模板为主，局部采用木模拼装。模板拆除按规范要求决定拆模的时间，防止因抢工期提前拆模。采用湿砂或草袋覆盖，人工洒水保护。</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⑥</w:t>
            </w:r>
            <w:r>
              <w:rPr>
                <w:rFonts w:hAnsi="Times New Roman" w:eastAsiaTheme="minorEastAsia"/>
                <w:color w:val="000000" w:themeColor="text1"/>
                <w14:textFill>
                  <w14:solidFill>
                    <w14:schemeClr w14:val="tx1"/>
                  </w14:solidFill>
                </w14:textFill>
              </w:rPr>
              <w:t>基槽回填：采用砂卵石碾压回填，砂卵石回填料采用1.6m</w:t>
            </w:r>
            <w:r>
              <w:rPr>
                <w:rFonts w:hAnsi="Times New Roman" w:eastAsiaTheme="minorEastAsia"/>
                <w:color w:val="000000" w:themeColor="text1"/>
                <w:vertAlign w:val="superscript"/>
                <w14:textFill>
                  <w14:solidFill>
                    <w14:schemeClr w14:val="tx1"/>
                  </w14:solidFill>
                </w14:textFill>
              </w:rPr>
              <w:t>3</w:t>
            </w:r>
            <w:r>
              <w:rPr>
                <w:rFonts w:hAnsi="Times New Roman" w:eastAsiaTheme="minorEastAsia"/>
                <w:color w:val="000000" w:themeColor="text1"/>
                <w14:textFill>
                  <w14:solidFill>
                    <w14:schemeClr w14:val="tx1"/>
                  </w14:solidFill>
                </w14:textFill>
              </w:rPr>
              <w:t>挖掘机就近取用基础开挖料，碾压施工采用挖掘机结合蛙式打夯机等小型机具，且须在墙身混凝土达到设计强度的85%以上方可施工。</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二、施工时序及周期</w:t>
            </w:r>
          </w:p>
          <w:p>
            <w:pPr>
              <w:ind w:firstLine="480"/>
              <w:rPr>
                <w:rFonts w:eastAsiaTheme="minorEastAsia"/>
                <w:color w:val="000000" w:themeColor="text1"/>
                <w14:textFill>
                  <w14:solidFill>
                    <w14:schemeClr w14:val="tx1"/>
                  </w14:solidFill>
                </w14:textFill>
              </w:rPr>
            </w:pPr>
            <w:r>
              <w:rPr>
                <w:rFonts w:eastAsiaTheme="minorEastAsia"/>
                <w:color w:val="000000" w:themeColor="text1"/>
                <w:lang w:val="zh-CN"/>
                <w14:textFill>
                  <w14:solidFill>
                    <w14:schemeClr w14:val="tx1"/>
                  </w14:solidFill>
                </w14:textFill>
              </w:rPr>
              <w:t>本工程施工总工期</w:t>
            </w:r>
            <w:r>
              <w:rPr>
                <w:rFonts w:eastAsiaTheme="minorEastAsia"/>
                <w:color w:val="000000" w:themeColor="text1"/>
                <w14:textFill>
                  <w14:solidFill>
                    <w14:schemeClr w14:val="tx1"/>
                  </w14:solidFill>
                </w14:textFill>
              </w:rPr>
              <w:t>7个月</w:t>
            </w:r>
            <w:r>
              <w:rPr>
                <w:rFonts w:eastAsiaTheme="minorEastAsia"/>
                <w:color w:val="000000" w:themeColor="text1"/>
                <w:lang w:val="zh-CN"/>
                <w14:textFill>
                  <w14:solidFill>
                    <w14:schemeClr w14:val="tx1"/>
                  </w14:solidFill>
                </w14:textFill>
              </w:rPr>
              <w:t>，</w:t>
            </w:r>
            <w:r>
              <w:rPr>
                <w:rFonts w:eastAsiaTheme="minorEastAsia"/>
                <w:color w:val="000000" w:themeColor="text1"/>
                <w14:textFill>
                  <w14:solidFill>
                    <w14:schemeClr w14:val="tx1"/>
                  </w14:solidFill>
                </w14:textFill>
              </w:rPr>
              <w:t>其中工程准备工期1个月，主体工程工期3个月，完建期1个月。施工单位从11月下旬进场开展初期准备，从12月到次年2月进行主体工程施工，次年2月完成主体工程施工，3月完成工程扫尾工作。具体工期按实际情况进行调整。</w:t>
            </w:r>
          </w:p>
          <w:p>
            <w:pPr>
              <w:pStyle w:val="53"/>
              <w:adjustRightInd/>
              <w:snapToGrid/>
              <w:ind w:firstLine="482"/>
              <w:jc w:val="both"/>
              <w:rPr>
                <w:rFonts w:eastAsiaTheme="minorEastAsia"/>
                <w:b/>
                <w:bCs/>
                <w:color w:val="000000" w:themeColor="text1"/>
                <w:szCs w:val="24"/>
                <w14:textFill>
                  <w14:solidFill>
                    <w14:schemeClr w14:val="tx1"/>
                  </w14:solidFill>
                </w14:textFill>
              </w:rPr>
            </w:pPr>
            <w:r>
              <w:rPr>
                <w:rFonts w:eastAsiaTheme="minorEastAsia"/>
                <w:b/>
                <w:bCs/>
                <w:color w:val="000000" w:themeColor="text1"/>
                <w:szCs w:val="24"/>
                <w14:textFill>
                  <w14:solidFill>
                    <w14:schemeClr w14:val="tx1"/>
                  </w14:solidFill>
                </w14:textFill>
              </w:rPr>
              <w:t>三、工程布置及建筑物</w:t>
            </w:r>
          </w:p>
          <w:p>
            <w:pPr>
              <w:pStyle w:val="53"/>
              <w:adjustRightInd/>
              <w:snapToGrid/>
              <w:ind w:firstLine="482"/>
              <w:jc w:val="both"/>
              <w:rPr>
                <w:rFonts w:eastAsiaTheme="minorEastAsia"/>
                <w:b/>
                <w:bCs/>
                <w:color w:val="000000" w:themeColor="text1"/>
                <w:szCs w:val="24"/>
                <w14:textFill>
                  <w14:solidFill>
                    <w14:schemeClr w14:val="tx1"/>
                  </w14:solidFill>
                </w14:textFill>
              </w:rPr>
            </w:pPr>
            <w:r>
              <w:rPr>
                <w:rFonts w:eastAsiaTheme="minorEastAsia"/>
                <w:b/>
                <w:bCs/>
                <w:color w:val="000000" w:themeColor="text1"/>
                <w:szCs w:val="24"/>
                <w14:textFill>
                  <w14:solidFill>
                    <w14:schemeClr w14:val="tx1"/>
                  </w14:solidFill>
                </w14:textFill>
              </w:rPr>
              <w:t>1、工程等级及标准</w:t>
            </w:r>
          </w:p>
          <w:p>
            <w:pPr>
              <w:ind w:firstLine="480"/>
              <w:rPr>
                <w:rFonts w:eastAsiaTheme="minorEastAsia"/>
                <w:snapToGrid w:val="0"/>
                <w:color w:val="000000" w:themeColor="text1"/>
                <w14:textFill>
                  <w14:solidFill>
                    <w14:schemeClr w14:val="tx1"/>
                  </w14:solidFill>
                </w14:textFill>
              </w:rPr>
            </w:pPr>
            <w:r>
              <w:rPr>
                <w:rFonts w:eastAsiaTheme="minorEastAsia"/>
                <w:snapToGrid w:val="0"/>
                <w:color w:val="000000" w:themeColor="text1"/>
                <w14:textFill>
                  <w14:solidFill>
                    <w14:schemeClr w14:val="tx1"/>
                  </w14:solidFill>
                </w14:textFill>
              </w:rPr>
              <w:t>（1）工程任务</w:t>
            </w:r>
          </w:p>
          <w:p>
            <w:pPr>
              <w:ind w:firstLine="480"/>
              <w:rPr>
                <w:rFonts w:eastAsiaTheme="minorEastAsia"/>
                <w:snapToGrid w:val="0"/>
                <w:color w:val="000000" w:themeColor="text1"/>
                <w14:textFill>
                  <w14:solidFill>
                    <w14:schemeClr w14:val="tx1"/>
                  </w14:solidFill>
                </w14:textFill>
              </w:rPr>
            </w:pPr>
            <w:r>
              <w:rPr>
                <w:rFonts w:eastAsiaTheme="minorEastAsia"/>
                <w:snapToGrid w:val="0"/>
                <w:color w:val="000000" w:themeColor="text1"/>
                <w14:textFill>
                  <w14:solidFill>
                    <w14:schemeClr w14:val="tx1"/>
                  </w14:solidFill>
                </w14:textFill>
              </w:rPr>
              <w:t>本工程的建设任务是提高工程河段的防洪能力，完善项目区防洪排涝体系，确保防护对象在设计洪水标准内不遭受洪涝灾害，以保护沿线居民的生命财产安全。工程主要保护对象为居民房屋以及耕地。</w:t>
            </w:r>
          </w:p>
          <w:p>
            <w:pPr>
              <w:ind w:firstLine="480"/>
              <w:rPr>
                <w:rFonts w:eastAsiaTheme="minorEastAsia"/>
                <w:snapToGrid w:val="0"/>
                <w:color w:val="000000" w:themeColor="text1"/>
                <w14:textFill>
                  <w14:solidFill>
                    <w14:schemeClr w14:val="tx1"/>
                  </w14:solidFill>
                </w14:textFill>
              </w:rPr>
            </w:pPr>
            <w:r>
              <w:rPr>
                <w:rFonts w:eastAsiaTheme="minorEastAsia"/>
                <w:snapToGrid w:val="0"/>
                <w:color w:val="000000" w:themeColor="text1"/>
                <w14:textFill>
                  <w14:solidFill>
                    <w14:schemeClr w14:val="tx1"/>
                  </w14:solidFill>
                </w14:textFill>
              </w:rPr>
              <w:t>（2）工程等别及防洪标准</w:t>
            </w:r>
          </w:p>
          <w:p>
            <w:pPr>
              <w:ind w:firstLine="480"/>
              <w:rPr>
                <w:rFonts w:eastAsiaTheme="minorEastAsia"/>
                <w:snapToGrid w:val="0"/>
                <w:color w:val="000000" w:themeColor="text1"/>
                <w14:textFill>
                  <w14:solidFill>
                    <w14:schemeClr w14:val="tx1"/>
                  </w14:solidFill>
                </w14:textFill>
              </w:rPr>
            </w:pPr>
            <w:r>
              <w:rPr>
                <w:rFonts w:eastAsiaTheme="minorEastAsia"/>
                <w:snapToGrid w:val="0"/>
                <w:color w:val="000000" w:themeColor="text1"/>
                <w14:textFill>
                  <w14:solidFill>
                    <w14:schemeClr w14:val="tx1"/>
                  </w14:solidFill>
                </w14:textFill>
              </w:rPr>
              <w:t>根据《防洪标准》（GB50201-2014）、《水利水电工程等级划分及洪水标准》（SL252-2017）、《堤防工程设计规范》（GB50286-2013）的规定，工程防洪标准为10 年一遇洪水重现期。</w:t>
            </w:r>
          </w:p>
          <w:p>
            <w:pPr>
              <w:pStyle w:val="13"/>
              <w:spacing w:after="0"/>
              <w:ind w:right="30" w:firstLine="482"/>
              <w:rPr>
                <w:rFonts w:ascii="Times New Roman" w:hAnsi="Times New Roman" w:eastAsiaTheme="minorEastAsia"/>
                <w:b/>
                <w:bCs/>
                <w:color w:val="000000" w:themeColor="text1"/>
                <w14:textFill>
                  <w14:solidFill>
                    <w14:schemeClr w14:val="tx1"/>
                  </w14:solidFill>
                </w14:textFill>
              </w:rPr>
            </w:pPr>
            <w:r>
              <w:rPr>
                <w:rFonts w:ascii="Times New Roman" w:hAnsi="Times New Roman" w:eastAsiaTheme="minorEastAsia"/>
                <w:b/>
                <w:bCs/>
                <w:color w:val="000000" w:themeColor="text1"/>
                <w14:textFill>
                  <w14:solidFill>
                    <w14:schemeClr w14:val="tx1"/>
                  </w14:solidFill>
                </w14:textFill>
              </w:rPr>
              <w:t>2、堤线选择</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本工程河段新建堤（岸）轴线基本沿河道自然堤线平顺布置，总体上与原堤线保持不变。</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3、堤型选择</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根据地形现状，同时考虑河道与岸坡地形现状及地质条件，为减少工程开挖与工程开挖对沿岸道路房屋等已建建筑的影响，同时考虑工程施工与已建挡墙因素，确定本段堤防采用C25砼</w:t>
            </w:r>
            <w:r>
              <w:rPr>
                <w:rFonts w:hAnsi="Times New Roman" w:eastAsiaTheme="minorEastAsia"/>
                <w:b/>
                <w:color w:val="000000" w:themeColor="text1"/>
                <w14:textFill>
                  <w14:solidFill>
                    <w14:schemeClr w14:val="tx1"/>
                  </w14:solidFill>
                </w14:textFill>
              </w:rPr>
              <w:t>重力式挡墙</w:t>
            </w:r>
            <w:r>
              <w:rPr>
                <w:rFonts w:hAnsi="Times New Roman" w:eastAsiaTheme="minorEastAsia"/>
                <w:color w:val="000000" w:themeColor="text1"/>
                <w14:textFill>
                  <w14:solidFill>
                    <w14:schemeClr w14:val="tx1"/>
                  </w14:solidFill>
                </w14:textFill>
              </w:rPr>
              <w:t xml:space="preserve">。 </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堤防采用C25砼重力式挡墙，顶宽0.5m，面坡3:1，背坡垂直，基础采用M10浆砌片石，片石强度为MU30，基础外展宽度为1.0m，基础高度1.0m；挡墙自设计河底高程0.5m起，按横向间距2.0m，间距2.0m梅花状布置Φ100PVC管排水孔，孔后设墙后铺设两层无纺布滤层（50×50×2mm）。堤身填筑前先对原地面清挖30~50cm，采用场地开挖土石渣填筑，分层碾压，单层厚度控制在30~50cm，孔隙率小于24%，压实度不小于0.95；挡墙基础置于经夯实或换填处理的稍密卵石层或基岩，基础埋深应埋置于冲刷深度以下，冲刷埋置深度不小于2.5m，基槽采用块石压脚。挡墙、压顶与堤顶道路和排水沟每间隔10.0m设置沥青木板伸缩缝兼沉降缝，缝宽2cm，地质变化处增设沉降缝。</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结构形式详见下图。</w:t>
            </w:r>
          </w:p>
          <w:p>
            <w:pPr>
              <w:pStyle w:val="11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4340860" cy="2607945"/>
                  <wp:effectExtent l="0" t="0" r="2540" b="1905"/>
                  <wp:docPr id="8" name="图片 8" descr="C:\Users\Admin\AppData\Local\Temp\ksohtml9472\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AppData\Local\Temp\ksohtml9472\wps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372599" cy="2626881"/>
                          </a:xfrm>
                          <a:prstGeom prst="rect">
                            <a:avLst/>
                          </a:prstGeom>
                          <a:noFill/>
                          <a:ln>
                            <a:noFill/>
                          </a:ln>
                        </pic:spPr>
                      </pic:pic>
                    </a:graphicData>
                  </a:graphic>
                </wp:inline>
              </w:drawing>
            </w:r>
          </w:p>
          <w:p>
            <w:pPr>
              <w:pStyle w:val="78"/>
              <w:ind w:firstLine="0" w:firstLineChars="0"/>
              <w:jc w:val="center"/>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图2-2  仰斜式横断面示意图</w:t>
            </w:r>
          </w:p>
          <w:p>
            <w:pPr>
              <w:pStyle w:val="53"/>
              <w:adjustRightInd/>
              <w:snapToGrid/>
              <w:ind w:firstLine="482"/>
              <w:jc w:val="both"/>
              <w:rPr>
                <w:rFonts w:eastAsiaTheme="minorEastAsia"/>
                <w:b/>
                <w:bCs/>
                <w:color w:val="000000" w:themeColor="text1"/>
                <w:spacing w:val="-3"/>
                <w14:textFill>
                  <w14:solidFill>
                    <w14:schemeClr w14:val="tx1"/>
                  </w14:solidFill>
                </w14:textFill>
              </w:rPr>
            </w:pPr>
            <w:r>
              <w:rPr>
                <w:rFonts w:eastAsiaTheme="minorEastAsia"/>
                <w:b/>
                <w:bCs/>
                <w:color w:val="000000" w:themeColor="text1"/>
                <w:szCs w:val="24"/>
                <w14:textFill>
                  <w14:solidFill>
                    <w14:schemeClr w14:val="tx1"/>
                  </w14:solidFill>
                </w14:textFill>
              </w:rPr>
              <w:t>四、施工组织设计</w:t>
            </w:r>
          </w:p>
          <w:p>
            <w:pPr>
              <w:pStyle w:val="13"/>
              <w:spacing w:after="0"/>
              <w:ind w:firstLine="470"/>
              <w:jc w:val="left"/>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1、施工条件</w:t>
            </w:r>
          </w:p>
          <w:p>
            <w:pPr>
              <w:ind w:firstLine="470"/>
              <w:rPr>
                <w:rFonts w:eastAsiaTheme="minorEastAsia"/>
                <w:b/>
                <w:color w:val="000000" w:themeColor="text1"/>
                <w:spacing w:val="-3"/>
                <w14:textFill>
                  <w14:solidFill>
                    <w14:schemeClr w14:val="tx1"/>
                  </w14:solidFill>
                </w14:textFill>
              </w:rPr>
            </w:pPr>
            <w:r>
              <w:rPr>
                <w:rFonts w:eastAsiaTheme="minorEastAsia"/>
                <w:b/>
                <w:color w:val="000000" w:themeColor="text1"/>
                <w:spacing w:val="-3"/>
                <w14:textFill>
                  <w14:solidFill>
                    <w14:schemeClr w14:val="tx1"/>
                  </w14:solidFill>
                </w14:textFill>
              </w:rPr>
              <w:t>（1）自然条件</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①</w:t>
            </w:r>
            <w:r>
              <w:rPr>
                <w:rFonts w:hAnsi="Times New Roman" w:eastAsiaTheme="minorEastAsia"/>
                <w:color w:val="000000" w:themeColor="text1"/>
                <w14:textFill>
                  <w14:solidFill>
                    <w14:schemeClr w14:val="tx1"/>
                  </w14:solidFill>
                </w14:textFill>
              </w:rPr>
              <w:t>地理位置条件</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黑水县介于东经102°35′-103°30′，北纬31°35′-32°38′之间，地处四川省西北部，阿坝藏族羌族自治州中部，青藏高原东南缘横断山脉中段北端的岷江上游，与九寨沟毗邻。距省会成都310公里，距州府马尔康176公里。黑水县总面积4356平方公里，东西长约85公里，南北宽约72.5公里。</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②</w:t>
            </w:r>
            <w:r>
              <w:rPr>
                <w:rFonts w:hAnsi="Times New Roman" w:eastAsiaTheme="minorEastAsia"/>
                <w:color w:val="000000" w:themeColor="text1"/>
                <w14:textFill>
                  <w14:solidFill>
                    <w14:schemeClr w14:val="tx1"/>
                  </w14:solidFill>
                </w14:textFill>
              </w:rPr>
              <w:t>气象</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工程所在地无气象观测资料，流域内有黑水县气象站，距本工程约15km，确定采用黑水县气象站气象观测资料，该气象站海拔高程为2400m。据黑水县气象台气象要素统计，多年平均气温9℃，极端最高气温33.5℃，极端最低气温-14.4℃，多年平均年降水量835.3mm，最大一日降水量52.3mm，多年平均风速1.9m/s，最大风速15.0m/s，多年平均相对湿度64%。</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③</w:t>
            </w:r>
            <w:r>
              <w:rPr>
                <w:rFonts w:hAnsi="Times New Roman" w:eastAsiaTheme="minorEastAsia"/>
                <w:color w:val="000000" w:themeColor="text1"/>
                <w14:textFill>
                  <w14:solidFill>
                    <w14:schemeClr w14:val="tx1"/>
                  </w14:solidFill>
                </w14:textFill>
              </w:rPr>
              <w:t>地形地貌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黑水县位于四川省西北部，阿坝藏族羌族自治州中部，青藏高原东南缘横断山脉中段北端的岷江上游，岷山与邛崃山脉交汇处。东南与茂县连接，西南与理县毗邻，西接红原县，东与松潘接壤，介于东经102°35'～103°30'，北纬31°35'～32°38'之间。全县幅员面积4356平方公里，平均海拔3544米，东西长约85公里，南北宽约72.5公里。地形地貌具有山地向高原过渡的特征，属浅丘浑圆、地势平坦的丘状高原。丘状高原区，河流蜿蜒曲折，水流平缓，工程区河流叉沟多，两岸为一级阶地，河床中分布心滩、边滩，牛轭湖发育，蛇曲明显，具游荡性河谷地貌特征。海拔高程2400～2800m。工区附近山体走向与河流走向近于平行，山体均为浑圆状山丘。谷坡较缓，坡角10°～20°。</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④</w:t>
            </w:r>
            <w:r>
              <w:rPr>
                <w:rFonts w:hAnsi="Times New Roman" w:eastAsiaTheme="minorEastAsia"/>
                <w:color w:val="000000" w:themeColor="text1"/>
                <w14:textFill>
                  <w14:solidFill>
                    <w14:schemeClr w14:val="tx1"/>
                  </w14:solidFill>
                </w14:textFill>
              </w:rPr>
              <w:t>地层岩性</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工程区处于松潘-甘孜地槽褶皱系巴颜喀拉冒地槽褶皱带之茂汶-丹巴地背斜，属印支运动发展起来的线型—紧密褶皱。根据《中国地震动参数区划图》（1：400万GB18306-2015）：本工程所在工程区的地震动峰值加速度为0.1g，地震动加速度反应谱特征周期为0.45s，地震基本烈度为Ⅶ度，区域构造稳定性较好。</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（2）建材及水电等供应条件</w:t>
            </w:r>
          </w:p>
          <w:p>
            <w:pPr>
              <w:ind w:firstLine="480"/>
              <w:rPr>
                <w:rFonts w:eastAsiaTheme="minorEastAsia"/>
                <w:color w:val="000000" w:themeColor="text1"/>
                <w14:textFill>
                  <w14:solidFill>
                    <w14:schemeClr w14:val="tx1"/>
                  </w14:solidFill>
                </w14:textFill>
              </w:rPr>
            </w:pPr>
            <w:bookmarkStart w:id="28" w:name="OLE_LINK3"/>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天然建筑材料</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工程区距离卡龙镇较近且混凝土用量不大，混凝土可在就近在当地商混站购买。工程紧邻公路，交通便利。回填料、大卵石料利用开挖料。</w:t>
            </w:r>
          </w:p>
          <w:bookmarkEnd w:id="28"/>
          <w:p>
            <w:pPr>
              <w:ind w:firstLine="480"/>
              <w:rPr>
                <w:rFonts w:eastAsiaTheme="minorEastAsia"/>
                <w:color w:val="000000" w:themeColor="text1"/>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lang w:val="zh-CN"/>
                <w14:textFill>
                  <w14:solidFill>
                    <w14:schemeClr w14:val="tx1"/>
                  </w14:solidFill>
                </w14:textFill>
              </w:rPr>
              <w:t>水电供应条件</w:t>
            </w:r>
          </w:p>
          <w:p>
            <w:pPr>
              <w:ind w:firstLine="480"/>
              <w:rPr>
                <w:rFonts w:eastAsiaTheme="minorEastAsia"/>
                <w:color w:val="000000" w:themeColor="text1"/>
                <w:lang w:val="zh-CN"/>
                <w14:textFill>
                  <w14:solidFill>
                    <w14:schemeClr w14:val="tx1"/>
                  </w14:solidFill>
                </w14:textFill>
              </w:rPr>
            </w:pPr>
            <w:r>
              <w:rPr>
                <w:rFonts w:eastAsiaTheme="minorEastAsia"/>
                <w:color w:val="000000" w:themeColor="text1"/>
                <w:lang w:val="zh-CN"/>
                <w14:textFill>
                  <w14:solidFill>
                    <w14:schemeClr w14:val="tx1"/>
                  </w14:solidFill>
                </w14:textFill>
              </w:rPr>
              <w:t>用水：工程施工供水可直接抽取河水，生活用水采用自来水。</w:t>
            </w:r>
          </w:p>
          <w:p>
            <w:pPr>
              <w:ind w:firstLine="480"/>
              <w:rPr>
                <w:rFonts w:eastAsiaTheme="minorEastAsia"/>
                <w:color w:val="000000" w:themeColor="text1"/>
                <w:lang w:val="zh-CN"/>
                <w14:textFill>
                  <w14:solidFill>
                    <w14:schemeClr w14:val="tx1"/>
                  </w14:solidFill>
                </w14:textFill>
              </w:rPr>
            </w:pPr>
            <w:r>
              <w:rPr>
                <w:rFonts w:eastAsiaTheme="minorEastAsia"/>
                <w:color w:val="000000" w:themeColor="text1"/>
                <w:lang w:val="zh-CN"/>
                <w14:textFill>
                  <w14:solidFill>
                    <w14:schemeClr w14:val="tx1"/>
                  </w14:solidFill>
                </w14:textFill>
              </w:rPr>
              <w:t>用电：</w:t>
            </w:r>
            <w:r>
              <w:rPr>
                <w:rFonts w:eastAsiaTheme="minorEastAsia"/>
                <w:color w:val="000000" w:themeColor="text1"/>
                <w14:textFill>
                  <w14:solidFill>
                    <w14:schemeClr w14:val="tx1"/>
                  </w14:solidFill>
                </w14:textFill>
              </w:rPr>
              <w:t>本工程施工供电可从附近的380V电网线路上接入，向生产生活设施供电。同时配备2台50kW柴油发电机作为备用电源。</w:t>
            </w:r>
          </w:p>
          <w:p>
            <w:pPr>
              <w:ind w:firstLine="480"/>
              <w:rPr>
                <w:rFonts w:eastAsiaTheme="minorEastAsia"/>
                <w:color w:val="000000" w:themeColor="text1"/>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lang w:val="zh-CN"/>
                <w14:textFill>
                  <w14:solidFill>
                    <w14:schemeClr w14:val="tx1"/>
                  </w14:solidFill>
                </w14:textFill>
              </w:rPr>
              <w:t>机械修配能力</w:t>
            </w:r>
          </w:p>
          <w:p>
            <w:pPr>
              <w:ind w:firstLine="480"/>
              <w:rPr>
                <w:rFonts w:eastAsiaTheme="minorEastAsia"/>
                <w:color w:val="000000" w:themeColor="text1"/>
                <w:lang w:val="zh-CN"/>
                <w14:textFill>
                  <w14:solidFill>
                    <w14:schemeClr w14:val="tx1"/>
                  </w14:solidFill>
                </w14:textFill>
              </w:rPr>
            </w:pPr>
            <w:r>
              <w:rPr>
                <w:rFonts w:eastAsiaTheme="minorEastAsia"/>
                <w:color w:val="000000" w:themeColor="text1"/>
                <w14:textFill>
                  <w14:solidFill>
                    <w14:schemeClr w14:val="tx1"/>
                  </w14:solidFill>
                </w14:textFill>
              </w:rPr>
              <w:t>黑水县境内</w:t>
            </w:r>
            <w:r>
              <w:rPr>
                <w:rFonts w:eastAsiaTheme="minorEastAsia"/>
                <w:color w:val="000000" w:themeColor="text1"/>
                <w:lang w:val="zh-CN"/>
                <w14:textFill>
                  <w14:solidFill>
                    <w14:schemeClr w14:val="tx1"/>
                  </w14:solidFill>
                </w14:textFill>
              </w:rPr>
              <w:t>具有一定的机修和汽修能力，能为工程施工提供修配服务，</w:t>
            </w:r>
            <w:r>
              <w:rPr>
                <w:rFonts w:eastAsiaTheme="minorEastAsia"/>
                <w:color w:val="000000" w:themeColor="text1"/>
                <w14:textFill>
                  <w14:solidFill>
                    <w14:schemeClr w14:val="tx1"/>
                  </w14:solidFill>
                </w14:textFill>
              </w:rPr>
              <w:t>项目距离县城较近</w:t>
            </w:r>
            <w:r>
              <w:rPr>
                <w:rFonts w:eastAsiaTheme="minorEastAsia"/>
                <w:color w:val="000000" w:themeColor="text1"/>
                <w:lang w:val="zh-CN"/>
                <w14:textFill>
                  <w14:solidFill>
                    <w14:schemeClr w14:val="tx1"/>
                  </w14:solidFill>
                </w14:textFill>
              </w:rPr>
              <w:t>，不设置专门的机械修配厂。</w:t>
            </w:r>
          </w:p>
          <w:p>
            <w:pPr>
              <w:ind w:firstLine="480"/>
              <w:rPr>
                <w:rFonts w:eastAsiaTheme="minorEastAsia"/>
                <w:color w:val="000000" w:themeColor="text1"/>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lang w:val="zh-CN"/>
                <w14:textFill>
                  <w14:solidFill>
                    <w14:schemeClr w14:val="tx1"/>
                  </w14:solidFill>
                </w14:textFill>
              </w:rPr>
              <w:t>柴油木材的供应</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本工程所需的主要建筑材料包括木材、汽油、柴油等，可从黑水县县城直接购买。</w:t>
            </w:r>
          </w:p>
          <w:p>
            <w:pPr>
              <w:ind w:firstLine="480"/>
              <w:rPr>
                <w:rFonts w:eastAsiaTheme="minorEastAsia"/>
                <w:color w:val="000000" w:themeColor="text1"/>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rFonts w:eastAsiaTheme="minorEastAsia"/>
                <w:color w:val="000000" w:themeColor="text1"/>
                <w:lang w:val="zh-CN"/>
                <w14:textFill>
                  <w14:solidFill>
                    <w14:schemeClr w14:val="tx1"/>
                  </w14:solidFill>
                </w14:textFill>
              </w:rPr>
              <w:t>劳动力供应</w:t>
            </w:r>
          </w:p>
          <w:p>
            <w:pPr>
              <w:ind w:firstLine="480"/>
              <w:rPr>
                <w:rFonts w:eastAsiaTheme="minorEastAsia"/>
                <w:color w:val="000000" w:themeColor="text1"/>
                <w14:textFill>
                  <w14:solidFill>
                    <w14:schemeClr w14:val="tx1"/>
                  </w14:solidFill>
                </w14:textFill>
              </w:rPr>
            </w:pPr>
            <w:r>
              <w:rPr>
                <w:rFonts w:eastAsiaTheme="minorEastAsia"/>
                <w:color w:val="000000" w:themeColor="text1"/>
                <w:lang w:val="zh-CN"/>
                <w14:textFill>
                  <w14:solidFill>
                    <w14:schemeClr w14:val="tx1"/>
                  </w14:solidFill>
                </w14:textFill>
              </w:rPr>
              <w:t>工程区劳动力丰富，能为工程提供丰富的劳动力资源。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2" w:type="pct"/>
            <w:vAlign w:val="center"/>
          </w:tcPr>
          <w:p>
            <w:pPr>
              <w:adjustRightInd w:val="0"/>
              <w:snapToGrid w:val="0"/>
              <w:ind w:firstLine="0" w:firstLineChars="0"/>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其他</w:t>
            </w:r>
          </w:p>
        </w:tc>
        <w:tc>
          <w:tcPr>
            <w:tcW w:w="4537" w:type="pct"/>
            <w:vAlign w:val="center"/>
          </w:tcPr>
          <w:p>
            <w:pPr>
              <w:pStyle w:val="13"/>
              <w:spacing w:after="0"/>
              <w:ind w:firstLine="480"/>
              <w:jc w:val="center"/>
              <w:rPr>
                <w:rFonts w:ascii="Times New Roman" w:hAnsi="Times New Roman" w:eastAsiaTheme="minorEastAsia"/>
                <w:color w:val="000000" w:themeColor="text1"/>
                <w:lang w:val="zh-CN"/>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无</w:t>
            </w:r>
          </w:p>
        </w:tc>
      </w:tr>
    </w:tbl>
    <w:p>
      <w:pPr>
        <w:pStyle w:val="26"/>
        <w:ind w:firstLine="0" w:firstLineChars="0"/>
        <w:jc w:val="center"/>
        <w:outlineLvl w:val="0"/>
        <w:rPr>
          <w:rFonts w:ascii="Times New Roman" w:hAnsi="Times New Roman" w:eastAsiaTheme="minorEastAsia"/>
          <w:b/>
          <w:snapToGrid w:val="0"/>
          <w:color w:val="000000" w:themeColor="text1"/>
          <w:sz w:val="30"/>
          <w:szCs w:val="30"/>
          <w14:textFill>
            <w14:solidFill>
              <w14:schemeClr w14:val="tx1"/>
            </w14:solidFill>
          </w14:textFill>
        </w:rPr>
      </w:pPr>
      <w:r>
        <w:rPr>
          <w:rFonts w:ascii="Times New Roman" w:hAnsi="Times New Roman" w:eastAsiaTheme="minorEastAsia"/>
          <w:b/>
          <w:bCs/>
          <w:color w:val="000000" w:themeColor="text1"/>
          <w14:textFill>
            <w14:solidFill>
              <w14:schemeClr w14:val="tx1"/>
            </w14:solidFill>
          </w14:textFill>
        </w:rPr>
        <w:br w:type="page"/>
      </w:r>
      <w:bookmarkStart w:id="29" w:name="_Toc155338879"/>
      <w:r>
        <w:rPr>
          <w:rFonts w:ascii="Times New Roman" w:hAnsi="Times New Roman" w:eastAsiaTheme="minorEastAsia"/>
          <w:b/>
          <w:snapToGrid w:val="0"/>
          <w:color w:val="000000" w:themeColor="text1"/>
          <w:sz w:val="30"/>
          <w:szCs w:val="30"/>
          <w14:textFill>
            <w14:solidFill>
              <w14:schemeClr w14:val="tx1"/>
            </w14:solidFill>
          </w14:textFill>
        </w:rPr>
        <w:t>三、生态环境现状、保护目标及评价标准</w:t>
      </w:r>
      <w:bookmarkEnd w:id="29"/>
    </w:p>
    <w:tbl>
      <w:tblPr>
        <w:tblStyle w:val="30"/>
        <w:tblW w:w="497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6"/>
        <w:gridCol w:w="767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75" w:type="pct"/>
            <w:vAlign w:val="center"/>
          </w:tcPr>
          <w:p>
            <w:pPr>
              <w:adjustRightInd w:val="0"/>
              <w:snapToGrid w:val="0"/>
              <w:ind w:firstLine="0" w:firstLineChars="0"/>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生态环境现状</w:t>
            </w:r>
          </w:p>
        </w:tc>
        <w:tc>
          <w:tcPr>
            <w:tcW w:w="4524" w:type="pct"/>
            <w:tcBorders>
              <w:bottom w:val="single" w:color="auto" w:sz="4" w:space="0"/>
            </w:tcBorders>
            <w:vAlign w:val="center"/>
          </w:tcPr>
          <w:p>
            <w:pPr>
              <w:adjustRightInd w:val="0"/>
              <w:snapToGrid w:val="0"/>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一、生态功能区规划</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根据《四川省生态功能区划》（川府函〔2006〕100 号，2006年5月31日），本项目所在区域属于四川省生态功能区划中的：Ⅲ川西高山高原亚热带－温带－寒温带生态区—Ⅲ2 岷山－邛崃山云杉冷杉林－高山草丛生态亚区—Ⅲ2-2 岷江上游水源涵养与土壤保持生态功能区。</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项目区生态功能分区特征见下表。</w:t>
            </w:r>
          </w:p>
          <w:p>
            <w:pPr>
              <w:pStyle w:val="79"/>
              <w:spacing w:before="166"/>
              <w:ind w:firstLine="4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表3-1 项目区生态功能分区特征表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15"/>
              <w:gridCol w:w="1558"/>
              <w:gridCol w:w="895"/>
              <w:gridCol w:w="972"/>
              <w:gridCol w:w="832"/>
              <w:gridCol w:w="1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bCs/>
                      <w:color w:val="000000" w:themeColor="text1"/>
                      <w:kern w:val="0"/>
                      <w:sz w:val="21"/>
                      <w:szCs w:val="21"/>
                      <w14:textFill>
                        <w14:solidFill>
                          <w14:schemeClr w14:val="tx1"/>
                        </w14:solidFill>
                      </w14:textFill>
                    </w:rPr>
                    <w:t>生态功能区划</w:t>
                  </w:r>
                </w:p>
              </w:tc>
              <w:tc>
                <w:tcPr>
                  <w:tcW w:w="34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bCs/>
                      <w:color w:val="000000" w:themeColor="text1"/>
                      <w:kern w:val="0"/>
                      <w:sz w:val="21"/>
                      <w:szCs w:val="21"/>
                      <w14:textFill>
                        <w14:solidFill>
                          <w14:schemeClr w14:val="tx1"/>
                        </w14:solidFill>
                      </w14:textFill>
                    </w:rPr>
                    <w:t>行政区域</w:t>
                  </w:r>
                </w:p>
              </w:tc>
              <w:tc>
                <w:tcPr>
                  <w:tcW w:w="104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bCs/>
                      <w:color w:val="000000" w:themeColor="text1"/>
                      <w:kern w:val="0"/>
                      <w:sz w:val="21"/>
                      <w:szCs w:val="21"/>
                      <w14:textFill>
                        <w14:solidFill>
                          <w14:schemeClr w14:val="tx1"/>
                        </w14:solidFill>
                      </w14:textFill>
                    </w:rPr>
                    <w:t>主要生态</w:t>
                  </w:r>
                </w:p>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bCs/>
                      <w:color w:val="000000" w:themeColor="text1"/>
                      <w:kern w:val="0"/>
                      <w:sz w:val="21"/>
                      <w:szCs w:val="21"/>
                      <w14:textFill>
                        <w14:solidFill>
                          <w14:schemeClr w14:val="tx1"/>
                        </w14:solidFill>
                      </w14:textFill>
                    </w:rPr>
                    <w:t>特征</w:t>
                  </w:r>
                </w:p>
              </w:tc>
              <w:tc>
                <w:tcPr>
                  <w:tcW w:w="600"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bCs/>
                      <w:color w:val="000000" w:themeColor="text1"/>
                      <w:kern w:val="0"/>
                      <w:sz w:val="21"/>
                      <w:szCs w:val="21"/>
                      <w14:textFill>
                        <w14:solidFill>
                          <w14:schemeClr w14:val="tx1"/>
                        </w14:solidFill>
                      </w14:textFill>
                    </w:rPr>
                    <w:t>主要生态问题</w:t>
                  </w:r>
                </w:p>
              </w:tc>
              <w:tc>
                <w:tcPr>
                  <w:tcW w:w="652"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bCs/>
                      <w:color w:val="000000" w:themeColor="text1"/>
                      <w:kern w:val="0"/>
                      <w:sz w:val="21"/>
                      <w:szCs w:val="21"/>
                      <w14:textFill>
                        <w14:solidFill>
                          <w14:schemeClr w14:val="tx1"/>
                        </w14:solidFill>
                      </w14:textFill>
                    </w:rPr>
                    <w:t>生态环境敏感性</w:t>
                  </w:r>
                </w:p>
              </w:tc>
              <w:tc>
                <w:tcPr>
                  <w:tcW w:w="5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bCs/>
                      <w:color w:val="000000" w:themeColor="text1"/>
                      <w:kern w:val="0"/>
                      <w:sz w:val="21"/>
                      <w:szCs w:val="21"/>
                      <w14:textFill>
                        <w14:solidFill>
                          <w14:schemeClr w14:val="tx1"/>
                        </w14:solidFill>
                      </w14:textFill>
                    </w:rPr>
                    <w:t>主要生态服务功能</w:t>
                  </w:r>
                </w:p>
              </w:tc>
              <w:tc>
                <w:tcPr>
                  <w:tcW w:w="1279"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eastAsiaTheme="minorEastAsia"/>
                      <w:bCs/>
                      <w:color w:val="000000" w:themeColor="text1"/>
                      <w:kern w:val="0"/>
                      <w:sz w:val="21"/>
                      <w:szCs w:val="21"/>
                      <w14:textFill>
                        <w14:solidFill>
                          <w14:schemeClr w14:val="tx1"/>
                        </w14:solidFill>
                      </w14:textFill>
                    </w:rPr>
                  </w:pPr>
                  <w:r>
                    <w:rPr>
                      <w:rFonts w:eastAsiaTheme="minorEastAsia"/>
                      <w:bCs/>
                      <w:color w:val="000000" w:themeColor="text1"/>
                      <w:kern w:val="0"/>
                      <w:sz w:val="21"/>
                      <w:szCs w:val="21"/>
                      <w14:textFill>
                        <w14:solidFill>
                          <w14:schemeClr w14:val="tx1"/>
                        </w14:solidFill>
                      </w14:textFill>
                    </w:rPr>
                    <w:t>生态保护与发展方向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Ⅲ2-2岷江上游水源涵养与土壤保持生态功能区</w:t>
                  </w:r>
                </w:p>
              </w:tc>
              <w:tc>
                <w:tcPr>
                  <w:tcW w:w="345" w:type="pct"/>
                  <w:tcBorders>
                    <w:top w:val="single" w:color="auto" w:sz="4" w:space="0"/>
                    <w:left w:val="single" w:color="auto" w:sz="4" w:space="0"/>
                    <w:bottom w:val="single" w:color="auto" w:sz="4" w:space="0"/>
                    <w:right w:val="single" w:color="auto" w:sz="4" w:space="0"/>
                  </w:tcBorders>
                  <w:vAlign w:val="center"/>
                </w:tcPr>
                <w:p>
                  <w:pPr>
                    <w:pStyle w:val="13"/>
                    <w:spacing w:after="0"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黑水县</w:t>
                  </w:r>
                </w:p>
              </w:tc>
              <w:tc>
                <w:tcPr>
                  <w:tcW w:w="104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地貌以高山、深切河谷为主年平均温度为5.8~9.1℃，≥10℃积温1300~2500℃，年降水量617~830毫米。河流属岷江水系。森林植被中，岷江冷杉林或混交林占极大优势。生物多样性和水资源丰富</w:t>
                  </w:r>
                </w:p>
              </w:tc>
              <w:tc>
                <w:tcPr>
                  <w:tcW w:w="600"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崩塌泥石流滑坡强烈发育，水土流失严重，雪线上移，干旱河谷扩大。水电梯级开发对岷江上游生态环境存在不利影响</w:t>
                  </w:r>
                </w:p>
              </w:tc>
              <w:tc>
                <w:tcPr>
                  <w:tcW w:w="652"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土壤侵蚀极敏感，野生动物生境极敏感，水环境污染中度敏感，沙漠化轻度敏感</w:t>
                  </w:r>
                </w:p>
              </w:tc>
              <w:tc>
                <w:tcPr>
                  <w:tcW w:w="5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水源涵养功能，土壤保持功能，生物多样性保护功能，农林产品提供功能。</w:t>
                  </w:r>
                </w:p>
              </w:tc>
              <w:tc>
                <w:tcPr>
                  <w:tcW w:w="1279"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保护森林和草地植被，保护生物多样性；巩固天然林保护和退耕还林成果。加强地质灾害的综合整治；加强植被修复和水土流失防治。科学发展农林牧业，发展绿色食品和有机食品。开发藏羌人文景观资源，发展旅游业。规范和严格管理水电、矿产、资源开发。禁止建设对生态环境污染和破坏的项目</w:t>
                  </w:r>
                </w:p>
              </w:tc>
            </w:tr>
          </w:tbl>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工程的建设任务是提高工程河段的防洪能力，完善项目区防洪排涝体系，确保防护对象在设计洪水标准内不遭受洪涝灾害，以保护沿线居民的生命财产安全；同时促进地区国民经济可持续发展，符合《四川省生态功能区划》中对该区域的主体功能定位。</w:t>
            </w:r>
          </w:p>
          <w:p>
            <w:pPr>
              <w:ind w:firstLine="482"/>
              <w:rPr>
                <w:rFonts w:eastAsiaTheme="minorEastAsia"/>
                <w:b/>
                <w:bCs/>
                <w:color w:val="000000" w:themeColor="text1"/>
                <w:lang w:val="zh-CN"/>
                <w14:textFill>
                  <w14:solidFill>
                    <w14:schemeClr w14:val="tx1"/>
                  </w14:solidFill>
                </w14:textFill>
              </w:rPr>
            </w:pPr>
            <w:r>
              <w:rPr>
                <w:rFonts w:eastAsiaTheme="minorEastAsia"/>
                <w:b/>
                <w:bCs/>
                <w:color w:val="000000" w:themeColor="text1"/>
                <w:lang w:val="zh-CN"/>
                <w14:textFill>
                  <w14:solidFill>
                    <w14:schemeClr w14:val="tx1"/>
                  </w14:solidFill>
                </w14:textFill>
              </w:rPr>
              <w:t>二、流域概况</w:t>
            </w:r>
          </w:p>
          <w:p>
            <w:pPr>
              <w:ind w:firstLine="482"/>
              <w:rPr>
                <w:rFonts w:eastAsiaTheme="minorEastAsia"/>
                <w:b/>
                <w:bCs/>
                <w:color w:val="000000" w:themeColor="text1"/>
                <w:lang w:val="zh-CN"/>
                <w14:textFill>
                  <w14:solidFill>
                    <w14:schemeClr w14:val="tx1"/>
                  </w14:solidFill>
                </w14:textFill>
              </w:rPr>
            </w:pPr>
            <w:r>
              <w:rPr>
                <w:rFonts w:eastAsiaTheme="minorEastAsia"/>
                <w:b/>
                <w:bCs/>
                <w:color w:val="000000" w:themeColor="text1"/>
                <w:lang w:val="zh-CN"/>
                <w14:textFill>
                  <w14:solidFill>
                    <w14:schemeClr w14:val="tx1"/>
                  </w14:solidFill>
                </w14:textFill>
              </w:rPr>
              <w:t>1、流域水系概况</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岷江是长江上游一大支流，位于四川省西部地区。流域的地理坐标介于东经99°42′～104°50′，北纬28°17′～33°38′之间。发源于四川省与甘肃省交界处的岷山南麓，分东西两源，东源发源于松潘县弓杠岭斗鸡台；西源发源于松潘县的郎加岭；两源汇流于黑水县扎窝镇后始称岷江。干流自北向南流，穿过松潘县城，在镇江关接纳小姓沟。再南下20km至茂县太平乡，太平至较场13km为大小海子区，海子的平均宽度约200m左右，最宽处可达300m左右，为正常河宽的5～6倍，最深处可达60～70m，因此；大小海子对洪水有明显的调节作用。岷江出较场小海子口南下28km至两河口汇入黑水河，再南流70km，过茂县到汶川有岷江上游右岸第二大支流杂谷脑河汇入。继续南下92km至都江堰，岷江上游段结束。岷江穿越成都平原后，经青神、在乐山市接纳大渡河和青衣江，再转向东南，至宜宾注入长江。岷江全长750km，流域面积为135547km</w:t>
            </w:r>
            <w:r>
              <w:rPr>
                <w:rFonts w:hAnsi="Times New Roman" w:eastAsiaTheme="minorEastAsia"/>
                <w:color w:val="000000" w:themeColor="text1"/>
                <w:vertAlign w:val="superscript"/>
                <w14:textFill>
                  <w14:solidFill>
                    <w14:schemeClr w14:val="tx1"/>
                  </w14:solidFill>
                </w14:textFill>
              </w:rPr>
              <w:t>2</w:t>
            </w:r>
            <w:r>
              <w:rPr>
                <w:rFonts w:hAnsi="Times New Roman" w:eastAsiaTheme="minorEastAsia"/>
                <w:color w:val="000000" w:themeColor="text1"/>
                <w14:textFill>
                  <w14:solidFill>
                    <w14:schemeClr w14:val="tx1"/>
                  </w14:solidFill>
                </w14:textFill>
              </w:rPr>
              <w:t>，平均比降5.01‰，流域略呈西北～东南的长条形状。岷江在都江堰市以上为上游，都江堰市～乐山市为中游，乐山市以下为下游。岷江上游河长341km，集水面积23000km</w:t>
            </w:r>
            <w:r>
              <w:rPr>
                <w:rFonts w:hAnsi="Times New Roman" w:eastAsiaTheme="minorEastAsia"/>
                <w:color w:val="000000" w:themeColor="text1"/>
                <w:vertAlign w:val="superscript"/>
                <w14:textFill>
                  <w14:solidFill>
                    <w14:schemeClr w14:val="tx1"/>
                  </w14:solidFill>
                </w14:textFill>
              </w:rPr>
              <w:t>2</w:t>
            </w:r>
            <w:r>
              <w:rPr>
                <w:rFonts w:hAnsi="Times New Roman" w:eastAsiaTheme="minorEastAsia"/>
                <w:color w:val="000000" w:themeColor="text1"/>
                <w14:textFill>
                  <w14:solidFill>
                    <w14:schemeClr w14:val="tx1"/>
                  </w14:solidFill>
                </w14:textFill>
              </w:rPr>
              <w:t>，河道平均比降约7.5‰。</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岷江上游三面高山环绕，海拔均在4000m以上，北及东北面有岷山山脉与白龙江为界，东面为雪宝顶，九顶山与涪江相邻，西面为鹧鸪山、邛崃山脉与大渡河分界。</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2、工程河段概况</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小黑水位于阿坝州黑水县东北部，是黑水河右岸一级支流，岷江二级支流，发源于松潘县红冈山系辣子岭。上源称包洛柯，南入黑水县境，称麦扎沟。南过卡龙镇，左纳卡龙沟。以下即称小黑水。又南左纳达安沟；于卡龙镇才盖村前左纳弼石沟；又东南至两河口，汇入黑水河。河长70km，流域面积594km</w:t>
            </w:r>
            <w:r>
              <w:rPr>
                <w:rFonts w:hAnsi="Times New Roman" w:eastAsiaTheme="minorEastAsia"/>
                <w:color w:val="000000" w:themeColor="text1"/>
                <w:vertAlign w:val="superscript"/>
                <w14:textFill>
                  <w14:solidFill>
                    <w14:schemeClr w14:val="tx1"/>
                  </w14:solidFill>
                </w14:textFill>
              </w:rPr>
              <w:t>2</w:t>
            </w:r>
            <w:r>
              <w:rPr>
                <w:rFonts w:hAnsi="Times New Roman" w:eastAsiaTheme="minorEastAsia"/>
                <w:color w:val="000000" w:themeColor="text1"/>
                <w14:textFill>
                  <w14:solidFill>
                    <w14:schemeClr w14:val="tx1"/>
                  </w14:solidFill>
                </w14:textFill>
              </w:rPr>
              <w:t>。</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小黑水河干流工程河段河道宽度约6.2~17.6m，工程末端断面以上河长27.8km，平均比降约为38.1‰，集雨面积为184.0km</w:t>
            </w:r>
            <w:r>
              <w:rPr>
                <w:rFonts w:hAnsi="Times New Roman" w:eastAsiaTheme="minorEastAsia"/>
                <w:color w:val="000000" w:themeColor="text1"/>
                <w:vertAlign w:val="superscript"/>
                <w14:textFill>
                  <w14:solidFill>
                    <w14:schemeClr w14:val="tx1"/>
                  </w14:solidFill>
                </w14:textFill>
              </w:rPr>
              <w:t>2</w:t>
            </w:r>
            <w:r>
              <w:rPr>
                <w:rFonts w:hAnsi="Times New Roman" w:eastAsiaTheme="minorEastAsia"/>
                <w:color w:val="000000" w:themeColor="text1"/>
                <w14:textFill>
                  <w14:solidFill>
                    <w14:schemeClr w14:val="tx1"/>
                  </w14:solidFill>
                </w14:textFill>
              </w:rPr>
              <w:t>。</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3、排污口调查</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根据《黑水县入河排污口“一口一策”整治清单》及相关资料调查，区域主要有1个生活污水排污口，排污口主要情况如下：</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黑水县卡龙镇才盖村生活污水排污口，排污口编号FC-513228-0114-QT-00，位于黑水县卡龙镇才盖村卡龙沟沟口商务酒店路外，坐标：E 103 .303243°，N 32.405521°。</w:t>
            </w:r>
          </w:p>
          <w:p>
            <w:pPr>
              <w:pStyle w:val="52"/>
              <w:ind w:firstLine="482"/>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lang w:val="zh-CN"/>
                <w14:textFill>
                  <w14:solidFill>
                    <w14:schemeClr w14:val="tx1"/>
                  </w14:solidFill>
                </w14:textFill>
              </w:rPr>
              <w:t>三、水文</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（1）暴雨洪水特性</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岷江上游干流的洪水主要由暴雨形成，洪水发生时间与暴雨相应，暴雨发生时间一般是6～9月，7～8月为相对少雨期，多年间变化不大。整个流域暴雨具有随流域海拔增高，暴雨量明显减少的趋势。暴雨量级一般不大，据实测资料统计，马拉墩、松潘、镇江关历年最大一日暴雨量分别为84.9mm（1988年6月15日）、46.0mm（1980年9月4日）、47.9mm（1995年8月）。</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岷江上游干流年最大洪峰流量最早出现在5月9日，最晚推迟至10月3日，年最大洪峰流量出现在各月的频次为6月份占的次数最多18次，占全年总次数的39.1%，5、6、7、9月占全年的91.3%。8月的次数极少，仅占2.2%。</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洪水过程线形状，多为单峰、双峰过程，也有部分难于分割的多峰过程，单峰过程较为尖瘦，峰顶持续时间一般为1～2h，一次洪峰过程多在5天以上，复式峰和多峰过程最长可达10天以上。洪水的地区分布主要为上游来水型。其中小姓沟最大，其次是岷江干流和区间来水。</w:t>
            </w:r>
          </w:p>
          <w:p>
            <w:pPr>
              <w:pStyle w:val="78"/>
              <w:ind w:firstLine="480"/>
              <w:rPr>
                <w:rFonts w:hAnsi="Times New Roman" w:eastAsiaTheme="minorEastAsia"/>
                <w:color w:val="000000" w:themeColor="text1"/>
                <w:lang w:val="zh-CN"/>
                <w14:textFill>
                  <w14:solidFill>
                    <w14:schemeClr w14:val="tx1"/>
                  </w14:solidFill>
                </w14:textFill>
              </w:rPr>
            </w:pPr>
            <w:r>
              <w:rPr>
                <w:rFonts w:hAnsi="Times New Roman" w:eastAsiaTheme="minorEastAsia"/>
                <w:color w:val="000000" w:themeColor="text1"/>
                <w:lang w:val="zh-CN"/>
                <w14:textFill>
                  <w14:solidFill>
                    <w14:schemeClr w14:val="tx1"/>
                  </w14:solidFill>
                </w14:textFill>
              </w:rPr>
              <w:t>（2）泥沙</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小黑水河流域内地质构造复杂，出露地层主要有变质长石石英砂岩夹千枚岩、灰质千枚岩、粒状灰岩和沙质灰岩等。岩体风化严重，河谷两岸崩塌、滑坡及泥石流等松散堆积物分布较多，地表固体物质补给较充分。流域上游区域内分布有原始森林和草甸，且人烟稀少，植被覆盖条件较好，其中下游由于受人类活动的影响，如道路兴建、林木采伐及坡地垦殖等，导致区内植被覆盖条件变差，从而加大了降水对地表土壤的冲刷侵蚀。近年由于人类活动的影响得到了适当的控制，河流输沙量与过去相比，正常情况下有所减少。</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（3）设计洪水</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根据《黑水县卡龙镇才盖村基础设施提升建设项目初步设计报告》，流域特征参数见下表。</w:t>
            </w:r>
          </w:p>
          <w:p>
            <w:pPr>
              <w:pStyle w:val="79"/>
              <w:spacing w:before="166"/>
              <w:ind w:firstLine="422"/>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表3-2 河道流域特征参数表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3"/>
              <w:gridCol w:w="1607"/>
              <w:gridCol w:w="1316"/>
              <w:gridCol w:w="1462"/>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102" w:type="pct"/>
                  <w:tcBorders>
                    <w:top w:val="single" w:color="auto" w:sz="4" w:space="0"/>
                    <w:left w:val="single" w:color="auto" w:sz="4" w:space="0"/>
                    <w:bottom w:val="single" w:color="auto" w:sz="4" w:space="0"/>
                    <w:right w:val="single" w:color="auto" w:sz="4" w:space="0"/>
                  </w:tcBorders>
                  <w:vAlign w:val="center"/>
                </w:tcPr>
                <w:p>
                  <w:pPr>
                    <w:pStyle w:val="89"/>
                    <w:spacing w:before="33" w:after="33"/>
                    <w:ind w:firstLine="0" w:firstLineChars="0"/>
                    <w:rPr>
                      <w:rFonts w:eastAsiaTheme="minorEastAsia"/>
                      <w:color w:val="000000" w:themeColor="text1"/>
                      <w:kern w:val="2"/>
                      <w14:textFill>
                        <w14:solidFill>
                          <w14:schemeClr w14:val="tx1"/>
                        </w14:solidFill>
                      </w14:textFill>
                    </w:rPr>
                  </w:pPr>
                  <w:r>
                    <w:rPr>
                      <w:rFonts w:eastAsiaTheme="minorEastAsia"/>
                      <w:color w:val="000000" w:themeColor="text1"/>
                      <w14:textFill>
                        <w14:solidFill>
                          <w14:schemeClr w14:val="tx1"/>
                        </w14:solidFill>
                      </w14:textFill>
                    </w:rPr>
                    <w:t>河段</w:t>
                  </w:r>
                </w:p>
              </w:tc>
              <w:tc>
                <w:tcPr>
                  <w:tcW w:w="1078" w:type="pct"/>
                  <w:tcBorders>
                    <w:top w:val="single" w:color="auto" w:sz="4" w:space="0"/>
                    <w:left w:val="single" w:color="auto" w:sz="4" w:space="0"/>
                    <w:bottom w:val="single" w:color="auto" w:sz="4" w:space="0"/>
                    <w:right w:val="single" w:color="auto" w:sz="4" w:space="0"/>
                  </w:tcBorders>
                  <w:vAlign w:val="center"/>
                </w:tcPr>
                <w:p>
                  <w:pPr>
                    <w:pStyle w:val="89"/>
                    <w:spacing w:before="33" w:after="33"/>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集雨面积F（km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w:t>
                  </w:r>
                </w:p>
              </w:tc>
              <w:tc>
                <w:tcPr>
                  <w:tcW w:w="883" w:type="pct"/>
                  <w:tcBorders>
                    <w:top w:val="single" w:color="auto" w:sz="4" w:space="0"/>
                    <w:left w:val="single" w:color="auto" w:sz="4" w:space="0"/>
                    <w:bottom w:val="single" w:color="auto" w:sz="4" w:space="0"/>
                    <w:right w:val="single" w:color="auto" w:sz="4" w:space="0"/>
                  </w:tcBorders>
                  <w:vAlign w:val="center"/>
                </w:tcPr>
                <w:p>
                  <w:pPr>
                    <w:pStyle w:val="89"/>
                    <w:spacing w:before="33" w:after="33"/>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河长L（km）</w:t>
                  </w:r>
                </w:p>
              </w:tc>
              <w:tc>
                <w:tcPr>
                  <w:tcW w:w="981" w:type="pct"/>
                  <w:tcBorders>
                    <w:top w:val="single" w:color="auto" w:sz="4" w:space="0"/>
                    <w:left w:val="single" w:color="auto" w:sz="4" w:space="0"/>
                    <w:bottom w:val="single" w:color="auto" w:sz="4" w:space="0"/>
                    <w:right w:val="single" w:color="auto" w:sz="4" w:space="0"/>
                  </w:tcBorders>
                  <w:vAlign w:val="center"/>
                </w:tcPr>
                <w:p>
                  <w:pPr>
                    <w:pStyle w:val="89"/>
                    <w:spacing w:before="33" w:after="33"/>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河道平均坡度J（‰）</w:t>
                  </w:r>
                </w:p>
              </w:tc>
              <w:tc>
                <w:tcPr>
                  <w:tcW w:w="956" w:type="pct"/>
                  <w:tcBorders>
                    <w:top w:val="single" w:color="auto" w:sz="4" w:space="0"/>
                    <w:left w:val="single" w:color="auto" w:sz="4" w:space="0"/>
                    <w:bottom w:val="single" w:color="auto" w:sz="4" w:space="0"/>
                    <w:right w:val="single" w:color="auto" w:sz="4" w:space="0"/>
                  </w:tcBorders>
                  <w:vAlign w:val="center"/>
                </w:tcPr>
                <w:p>
                  <w:pPr>
                    <w:pStyle w:val="89"/>
                    <w:spacing w:before="33" w:after="33"/>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流域特征系数θ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pct"/>
                  <w:tcBorders>
                    <w:top w:val="single" w:color="auto" w:sz="4" w:space="0"/>
                    <w:left w:val="single" w:color="auto" w:sz="4" w:space="0"/>
                    <w:bottom w:val="single" w:color="auto" w:sz="4" w:space="0"/>
                    <w:right w:val="single" w:color="auto" w:sz="4" w:space="0"/>
                  </w:tcBorders>
                  <w:vAlign w:val="center"/>
                </w:tcPr>
                <w:p>
                  <w:pPr>
                    <w:pStyle w:val="89"/>
                    <w:spacing w:before="33" w:after="33"/>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小黑水河卡龙镇才盖村段</w:t>
                  </w:r>
                </w:p>
              </w:tc>
              <w:tc>
                <w:tcPr>
                  <w:tcW w:w="1078" w:type="pct"/>
                  <w:tcBorders>
                    <w:top w:val="single" w:color="auto" w:sz="4" w:space="0"/>
                    <w:left w:val="single" w:color="auto" w:sz="4" w:space="0"/>
                    <w:bottom w:val="single" w:color="auto" w:sz="4" w:space="0"/>
                    <w:right w:val="single" w:color="auto" w:sz="4" w:space="0"/>
                  </w:tcBorders>
                  <w:vAlign w:val="center"/>
                </w:tcPr>
                <w:p>
                  <w:pPr>
                    <w:pStyle w:val="89"/>
                    <w:spacing w:before="33" w:after="33"/>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 xml:space="preserve">184.0 </w:t>
                  </w:r>
                </w:p>
              </w:tc>
              <w:tc>
                <w:tcPr>
                  <w:tcW w:w="883" w:type="pct"/>
                  <w:tcBorders>
                    <w:top w:val="single" w:color="auto" w:sz="4" w:space="0"/>
                    <w:left w:val="single" w:color="auto" w:sz="4" w:space="0"/>
                    <w:bottom w:val="single" w:color="auto" w:sz="4" w:space="0"/>
                    <w:right w:val="single" w:color="auto" w:sz="4" w:space="0"/>
                  </w:tcBorders>
                  <w:vAlign w:val="center"/>
                </w:tcPr>
                <w:p>
                  <w:pPr>
                    <w:pStyle w:val="89"/>
                    <w:spacing w:before="33" w:after="33"/>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27.8</w:t>
                  </w:r>
                </w:p>
              </w:tc>
              <w:tc>
                <w:tcPr>
                  <w:tcW w:w="981" w:type="pct"/>
                  <w:tcBorders>
                    <w:top w:val="single" w:color="auto" w:sz="4" w:space="0"/>
                    <w:left w:val="single" w:color="auto" w:sz="4" w:space="0"/>
                    <w:bottom w:val="single" w:color="auto" w:sz="4" w:space="0"/>
                    <w:right w:val="single" w:color="auto" w:sz="4" w:space="0"/>
                  </w:tcBorders>
                  <w:vAlign w:val="center"/>
                </w:tcPr>
                <w:p>
                  <w:pPr>
                    <w:pStyle w:val="89"/>
                    <w:spacing w:before="33" w:after="33"/>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38.1</w:t>
                  </w:r>
                </w:p>
              </w:tc>
              <w:tc>
                <w:tcPr>
                  <w:tcW w:w="956" w:type="pct"/>
                  <w:tcBorders>
                    <w:top w:val="single" w:color="auto" w:sz="4" w:space="0"/>
                    <w:left w:val="single" w:color="auto" w:sz="4" w:space="0"/>
                    <w:bottom w:val="single" w:color="auto" w:sz="4" w:space="0"/>
                    <w:right w:val="single" w:color="auto" w:sz="4" w:space="0"/>
                  </w:tcBorders>
                  <w:vAlign w:val="center"/>
                </w:tcPr>
                <w:p>
                  <w:pPr>
                    <w:pStyle w:val="89"/>
                    <w:spacing w:before="33" w:after="33"/>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22.432</w:t>
                  </w:r>
                </w:p>
              </w:tc>
            </w:tr>
          </w:tbl>
          <w:p>
            <w:pPr>
              <w:pStyle w:val="52"/>
              <w:ind w:firstLine="482"/>
              <w:rPr>
                <w:rFonts w:ascii="Times New Roman" w:hAnsi="Times New Roman"/>
                <w:b/>
                <w:bCs/>
                <w:color w:val="000000" w:themeColor="text1"/>
                <w:lang w:val="zh-CN"/>
                <w14:textFill>
                  <w14:solidFill>
                    <w14:schemeClr w14:val="tx1"/>
                  </w14:solidFill>
                </w14:textFill>
              </w:rPr>
            </w:pPr>
            <w:r>
              <w:rPr>
                <w:rFonts w:ascii="Times New Roman" w:hAnsi="Times New Roman"/>
                <w:b/>
                <w:bCs/>
                <w:color w:val="000000" w:themeColor="text1"/>
                <w:lang w:val="zh-CN"/>
                <w14:textFill>
                  <w14:solidFill>
                    <w14:schemeClr w14:val="tx1"/>
                  </w14:solidFill>
                </w14:textFill>
              </w:rPr>
              <w:t>四、生态环境现状</w:t>
            </w:r>
          </w:p>
          <w:p>
            <w:pPr>
              <w:pStyle w:val="52"/>
              <w:ind w:firstLine="482"/>
              <w:rPr>
                <w:rFonts w:ascii="Times New Roman" w:hAnsi="Times New Roman"/>
                <w:b/>
                <w:bCs/>
                <w:color w:val="000000" w:themeColor="text1"/>
                <w:lang w:val="zh-CN"/>
                <w14:textFill>
                  <w14:solidFill>
                    <w14:schemeClr w14:val="tx1"/>
                  </w14:solidFill>
                </w14:textFill>
              </w:rPr>
            </w:pPr>
            <w:r>
              <w:rPr>
                <w:rFonts w:ascii="Times New Roman" w:hAnsi="Times New Roman"/>
                <w:b/>
                <w:bCs/>
                <w:color w:val="000000" w:themeColor="text1"/>
                <w:lang w:val="zh-CN"/>
                <w14:textFill>
                  <w14:solidFill>
                    <w14:schemeClr w14:val="tx1"/>
                  </w14:solidFill>
                </w14:textFill>
              </w:rPr>
              <w:t>1、水生生态环境现状</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项目区域水生生物资源主要参考《黑水县卡龙镇才盖村基础设施提升建设项目对达古冰山－卡龙沟风景名胜区影响评价报告》（2026年1月）、《阿坝州黑水县小黑水河流域2022年度水生生物监测报告》（四川律贝生物科技有限公司）以及紧邻工程段上游的《黑水县小黑水河卡龙镇才盖村段防洪治理工程环境影响报告书》（2022年6月）中水生生态现状调查资料，以及现场调查。</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（1）河流生境现状</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小黑水河的径流主要来自于降水，枯季主要有冰雪融水补给及地下水补给。流域内植被较少，居民较少，年径流年际变化不大，但年内分布不均。流域内地形复杂，相对高差大，河道基本呈“U”字形，河床较窄，底质绝大多数为乱石交通不便，人口分布零乱，河道基本呈“V”字形，滩沱交错，底质绝大多数为卵石和沙。</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（2）浮游植物</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根据资料调查结果，浮游植物3门32种，其中蓝藻门2种，绿藻门3种，硅藻门藻类27种，硅藻门的种类数占绝对优势。检出浮游植物细胞密度平均为 45.2×10³cells/L，检出浮游植物平均生物量为 0.1341mg/L。</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（3）浮游动物</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小黑水河流域共监测到浮游动物16 种，其中原生动物5种(属)，轮虫4(属)种，枝角类3种(属)，桡足类有4种(属)。浮游动物大多数为广布种，轮虫和原生动物类在浮游动物总种数中所占比例较高，其次是桡足类和枝角类。总平均密度为 1.8202 ind/L，总平均生物量为 0.00462 mg/L。</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（4）底栖动物</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由于小黑水河在雨季水流量较大，泥沙含量较高，底质又多为砾石和沙石导致底栖生物较少。底栖动物类2门4种(属)，其中环节动物门1种，节肢动物门3种。主要以节肢动物门为主，分别为蜉蝣目的四节蜉，毛翅目的蛾石蚊，精翅目的短尾石蝇。</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（5）鱼类现状</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1）物种组成</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调查工程影响范围内的鱼类共1目2科3种，主要鱼类有细尾高原鳅、斯氏高原鳅、松潘裸鲤。</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表3-3 影响范围鱼类动物物种组成表</w:t>
            </w:r>
          </w:p>
          <w:tbl>
            <w:tblPr>
              <w:tblStyle w:val="106"/>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1"/>
              <w:gridCol w:w="551"/>
              <w:gridCol w:w="1239"/>
              <w:gridCol w:w="2194"/>
              <w:gridCol w:w="961"/>
              <w:gridCol w:w="1229"/>
              <w:gridCol w:w="8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317"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目</w:t>
                  </w:r>
                </w:p>
              </w:tc>
              <w:tc>
                <w:tcPr>
                  <w:tcW w:w="369"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科</w:t>
                  </w:r>
                </w:p>
              </w:tc>
              <w:tc>
                <w:tcPr>
                  <w:tcW w:w="83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科</w:t>
                  </w:r>
                </w:p>
              </w:tc>
              <w:tc>
                <w:tcPr>
                  <w:tcW w:w="147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种</w:t>
                  </w:r>
                </w:p>
              </w:tc>
              <w:tc>
                <w:tcPr>
                  <w:tcW w:w="645" w:type="pct"/>
                  <w:tcBorders>
                    <w:top w:val="single" w:color="000000" w:sz="2" w:space="0"/>
                    <w:left w:val="single" w:color="000000" w:sz="2" w:space="0"/>
                    <w:bottom w:val="single" w:color="000000" w:sz="2" w:space="0"/>
                    <w:right w:val="single" w:color="000000" w:sz="2" w:space="0"/>
                  </w:tcBorders>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长江上游</w:t>
                  </w:r>
                </w:p>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特有鱼类</w:t>
                  </w:r>
                </w:p>
              </w:tc>
              <w:tc>
                <w:tcPr>
                  <w:tcW w:w="824"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四川省重点</w:t>
                  </w:r>
                </w:p>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保护鱼类</w:t>
                  </w:r>
                </w:p>
              </w:tc>
              <w:tc>
                <w:tcPr>
                  <w:tcW w:w="543"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317" w:type="pct"/>
                  <w:vMerge w:val="restart"/>
                  <w:tcBorders>
                    <w:top w:val="single" w:color="000000" w:sz="2" w:space="0"/>
                    <w:left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鲤形目</w:t>
                  </w:r>
                </w:p>
              </w:tc>
              <w:tc>
                <w:tcPr>
                  <w:tcW w:w="369" w:type="pct"/>
                  <w:vMerge w:val="restart"/>
                  <w:tcBorders>
                    <w:top w:val="single" w:color="000000" w:sz="2" w:space="0"/>
                    <w:left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鳅科</w:t>
                  </w:r>
                </w:p>
              </w:tc>
              <w:tc>
                <w:tcPr>
                  <w:tcW w:w="83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细尾高原鳅</w:t>
                  </w:r>
                </w:p>
              </w:tc>
              <w:tc>
                <w:tcPr>
                  <w:tcW w:w="147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i/>
                      <w:iCs/>
                      <w:color w:val="000000" w:themeColor="text1"/>
                      <w:sz w:val="21"/>
                      <w:szCs w:val="21"/>
                      <w14:textFill>
                        <w14:solidFill>
                          <w14:schemeClr w14:val="tx1"/>
                        </w14:solidFill>
                      </w14:textFill>
                    </w:rPr>
                  </w:pPr>
                  <w:r>
                    <w:rPr>
                      <w:rFonts w:eastAsiaTheme="minorEastAsia"/>
                      <w:i/>
                      <w:iCs/>
                      <w:color w:val="000000" w:themeColor="text1"/>
                      <w:sz w:val="21"/>
                      <w:szCs w:val="21"/>
                      <w14:textFill>
                        <w14:solidFill>
                          <w14:schemeClr w14:val="tx1"/>
                        </w14:solidFill>
                      </w14:textFill>
                    </w:rPr>
                    <w:t>Triplophysastenura</w:t>
                  </w:r>
                </w:p>
              </w:tc>
              <w:tc>
                <w:tcPr>
                  <w:tcW w:w="645" w:type="pct"/>
                  <w:tcBorders>
                    <w:top w:val="single" w:color="000000" w:sz="2" w:space="0"/>
                    <w:left w:val="single" w:color="000000" w:sz="2" w:space="0"/>
                    <w:bottom w:val="single" w:color="000000" w:sz="2" w:space="0"/>
                    <w:right w:val="single" w:color="000000" w:sz="2" w:space="0"/>
                  </w:tcBorders>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824"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543"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资料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317" w:type="pct"/>
                  <w:vMerge w:val="continue"/>
                  <w:tcBorders>
                    <w:left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369" w:type="pct"/>
                  <w:vMerge w:val="continue"/>
                  <w:tcBorders>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83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斯氏高原鳅</w:t>
                  </w:r>
                </w:p>
              </w:tc>
              <w:tc>
                <w:tcPr>
                  <w:tcW w:w="147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i/>
                      <w:iCs/>
                      <w:color w:val="000000" w:themeColor="text1"/>
                      <w:sz w:val="21"/>
                      <w:szCs w:val="21"/>
                      <w14:textFill>
                        <w14:solidFill>
                          <w14:schemeClr w14:val="tx1"/>
                        </w14:solidFill>
                      </w14:textFill>
                    </w:rPr>
                  </w:pPr>
                  <w:r>
                    <w:rPr>
                      <w:rFonts w:eastAsiaTheme="minorEastAsia"/>
                      <w:i/>
                      <w:iCs/>
                      <w:color w:val="000000" w:themeColor="text1"/>
                      <w:sz w:val="21"/>
                      <w:szCs w:val="21"/>
                      <w14:textFill>
                        <w14:solidFill>
                          <w14:schemeClr w14:val="tx1"/>
                        </w14:solidFill>
                      </w14:textFill>
                    </w:rPr>
                    <w:t>Triplophysastoliczkai</w:t>
                  </w:r>
                </w:p>
              </w:tc>
              <w:tc>
                <w:tcPr>
                  <w:tcW w:w="645" w:type="pct"/>
                  <w:tcBorders>
                    <w:top w:val="single" w:color="000000" w:sz="2" w:space="0"/>
                    <w:left w:val="single" w:color="000000" w:sz="2" w:space="0"/>
                    <w:bottom w:val="single" w:color="000000" w:sz="2" w:space="0"/>
                    <w:right w:val="single" w:color="000000" w:sz="2" w:space="0"/>
                  </w:tcBorders>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824"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543"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资料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317" w:type="pct"/>
                  <w:vMerge w:val="continue"/>
                  <w:tcBorders>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369"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鲤科</w:t>
                  </w:r>
                </w:p>
              </w:tc>
              <w:tc>
                <w:tcPr>
                  <w:tcW w:w="83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松潘裸鲤</w:t>
                  </w:r>
                </w:p>
              </w:tc>
              <w:tc>
                <w:tcPr>
                  <w:tcW w:w="147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i/>
                      <w:iCs/>
                      <w:color w:val="000000" w:themeColor="text1"/>
                      <w:sz w:val="21"/>
                      <w:szCs w:val="21"/>
                      <w14:textFill>
                        <w14:solidFill>
                          <w14:schemeClr w14:val="tx1"/>
                        </w14:solidFill>
                      </w14:textFill>
                    </w:rPr>
                  </w:pPr>
                  <w:r>
                    <w:rPr>
                      <w:rFonts w:eastAsiaTheme="minorEastAsia"/>
                      <w:i/>
                      <w:iCs/>
                      <w:color w:val="000000" w:themeColor="text1"/>
                      <w:sz w:val="21"/>
                      <w:szCs w:val="21"/>
                      <w14:textFill>
                        <w14:solidFill>
                          <w14:schemeClr w14:val="tx1"/>
                        </w14:solidFill>
                      </w14:textFill>
                    </w:rPr>
                    <w:t>Gymnocypris potanini </w:t>
                  </w:r>
                </w:p>
              </w:tc>
              <w:tc>
                <w:tcPr>
                  <w:tcW w:w="645" w:type="pct"/>
                  <w:tcBorders>
                    <w:top w:val="single" w:color="000000" w:sz="2" w:space="0"/>
                    <w:left w:val="single" w:color="000000" w:sz="2" w:space="0"/>
                    <w:bottom w:val="single" w:color="000000" w:sz="2" w:space="0"/>
                    <w:right w:val="single" w:color="000000" w:sz="2" w:space="0"/>
                  </w:tcBorders>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824"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543"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资料</w:t>
                  </w:r>
                </w:p>
              </w:tc>
            </w:tr>
          </w:tbl>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2）区系分析</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四川鱼类原色图志》（郭延蜀，2021），《阿坝州黑水县小黑水河流域2022年度水生生物监测报告》（四川律贝生物科技有限公司），小黑水河流域的鱼类组成简单，目、科、属和种均少，这与所处区域地形、气候、水文等自然条件一致，其鱼类区系属青藏（中亚）高原鱼类区系。</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3）生态类型及分布</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根据调查，区域鱼类主要分布在小黑水河及其周围小溪水域内。</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4）保护物种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区域水域内四川省重点保护鱼类、长江上游特有鱼类松潘裸鲤。主要鱼类习性及资源状况如下。</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松潘裸鲤(</w:t>
            </w:r>
            <w:r>
              <w:rPr>
                <w:rFonts w:hAnsi="Times New Roman" w:eastAsiaTheme="minorEastAsia"/>
                <w:i/>
                <w:iCs/>
                <w:color w:val="000000" w:themeColor="text1"/>
                <w14:textFill>
                  <w14:solidFill>
                    <w14:schemeClr w14:val="tx1"/>
                  </w14:solidFill>
                </w14:textFill>
              </w:rPr>
              <w:t>Gymnocypris potanini</w:t>
            </w:r>
            <w:r>
              <w:rPr>
                <w:rFonts w:hAnsi="Times New Roman" w:eastAsiaTheme="minorEastAsia"/>
                <w:color w:val="000000" w:themeColor="text1"/>
                <w14:textFill>
                  <w14:solidFill>
                    <w14:schemeClr w14:val="tx1"/>
                  </w14:solidFill>
                </w14:textFill>
              </w:rPr>
              <w:t>)</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地方名：冷水鱼；分类地位：鲤形目，鲤科，裂腹鱼亚科，裸鲤属。松潘裸鲤属于小型鱼类，虽然个体较小，但有一定的经济价值。该鱼身体较长，侧扁，头部略呈锥形，背部稍平坦。吻部圆钝，吻皮明显地盖着上颌前缘，后缘游离。口亚下位，呈弧形，下颌前缘无锐利的角质边缘，下唇狭窄，分左右两叶，其上有许多排列整齐的细小乳突，唇后沟中断，无须。眼中等大，鼻孔靠近眼前缘上方。鲤膜不与峡部相连，類部及两侧有7</w:t>
            </w:r>
            <w:r>
              <w:rPr>
                <w:rFonts w:hAnsi="Times New Roman" w:eastAsia="微软雅黑"/>
                <w:color w:val="000000" w:themeColor="text1"/>
                <w14:textFill>
                  <w14:solidFill>
                    <w14:schemeClr w14:val="tx1"/>
                  </w14:solidFill>
                </w14:textFill>
              </w:rPr>
              <w:t>〜</w:t>
            </w:r>
            <w:r>
              <w:rPr>
                <w:rFonts w:hAnsi="Times New Roman" w:eastAsiaTheme="minorEastAsia"/>
                <w:color w:val="000000" w:themeColor="text1"/>
                <w14:textFill>
                  <w14:solidFill>
                    <w14:schemeClr w14:val="tx1"/>
                  </w14:solidFill>
                </w14:textFill>
              </w:rPr>
              <w:t>8个明显的粘液腔，下咽点2行，下咽骨狭窄，呈弧形，咽齿细圆，顶端尖略弯曲，禦2室，后室长为前宽的2倍。其背鳍有较弱的硬刺，其后缘每侧有9</w:t>
            </w:r>
            <w:r>
              <w:rPr>
                <w:rFonts w:hAnsi="Times New Roman" w:eastAsia="微软雅黑"/>
                <w:color w:val="000000" w:themeColor="text1"/>
                <w14:textFill>
                  <w14:solidFill>
                    <w14:schemeClr w14:val="tx1"/>
                  </w14:solidFill>
                </w14:textFill>
              </w:rPr>
              <w:t>〜</w:t>
            </w:r>
            <w:r>
              <w:rPr>
                <w:rFonts w:hAnsi="Times New Roman" w:eastAsiaTheme="minorEastAsia"/>
                <w:color w:val="000000" w:themeColor="text1"/>
                <w14:textFill>
                  <w14:solidFill>
                    <w14:schemeClr w14:val="tx1"/>
                  </w14:solidFill>
                </w14:textFill>
              </w:rPr>
              <w:t>13枚细弱锯齿，背鳍起点至吻端稍小于至尾鳍，基部的距离，胸鳍较长，起点与背鳍第2或第3根分枝鳍条相对，背鳍分枝鳍条为7枚，臀鳍起点与肛门接近，分枝鳍条为5枚，最长鳍条几达尾鳍基部。身体裸露无鳞，除臀鳍基部每侧有16</w:t>
            </w:r>
            <w:r>
              <w:rPr>
                <w:rFonts w:hAnsi="Times New Roman" w:eastAsia="微软雅黑"/>
                <w:color w:val="000000" w:themeColor="text1"/>
                <w14:textFill>
                  <w14:solidFill>
                    <w14:schemeClr w14:val="tx1"/>
                  </w14:solidFill>
                </w14:textFill>
              </w:rPr>
              <w:t>〜</w:t>
            </w:r>
            <w:r>
              <w:rPr>
                <w:rFonts w:hAnsi="Times New Roman" w:eastAsiaTheme="minorEastAsia"/>
                <w:color w:val="000000" w:themeColor="text1"/>
                <w14:textFill>
                  <w14:solidFill>
                    <w14:schemeClr w14:val="tx1"/>
                  </w14:solidFill>
                </w14:textFill>
              </w:rPr>
              <w:t>20片的大型鳞片外，在肩带上方侧线处有较少数不规则的鳞片，一般为2行或3行。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松潘裸鲤生活时体部灰绿色或灰褐色，杂有小斑点，腹部银白色或灰白色，尾鳍深分叉，呈灰绿色，常生活于水流湍急河段，适应于急流底栖生活，以水生昆虫或小鱼、虾为食，生长较慢，3龄性成熟，一般5</w:t>
            </w:r>
            <w:r>
              <w:rPr>
                <w:rFonts w:hAnsi="Times New Roman" w:eastAsia="微软雅黑"/>
                <w:color w:val="000000" w:themeColor="text1"/>
                <w14:textFill>
                  <w14:solidFill>
                    <w14:schemeClr w14:val="tx1"/>
                  </w14:solidFill>
                </w14:textFill>
              </w:rPr>
              <w:t>〜</w:t>
            </w:r>
            <w:r>
              <w:rPr>
                <w:rFonts w:hAnsi="Times New Roman" w:eastAsiaTheme="minorEastAsia"/>
                <w:color w:val="000000" w:themeColor="text1"/>
                <w14:textFill>
                  <w14:solidFill>
                    <w14:schemeClr w14:val="tx1"/>
                  </w14:solidFill>
                </w14:textFill>
              </w:rPr>
              <w:t>7月产卵，在生殖季节，其头部臀鳍，背鳍和侧线均出现白色颗粒状珠星，成熟雌鱼无珠星或珠星不明显。</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松潘裸鲤是四川省保护鱼类，也是长江上游特有鱼类，主要分布在金沙江水系和岷江干流和支流。</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（6）鱼类三场</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根据《阿坝州黑水县小黑水河流域2022年度水生生物监测报告》、《黑水县小黑水河卡龙镇才盖村段防洪治理工程环境影响报告书》（2022年6月）以及调查可知，本项目的鱼类三场情况如下。</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①</w:t>
            </w:r>
            <w:r>
              <w:rPr>
                <w:rFonts w:hAnsi="Times New Roman" w:eastAsiaTheme="minorEastAsia"/>
                <w:color w:val="000000" w:themeColor="text1"/>
                <w14:textFill>
                  <w14:solidFill>
                    <w14:schemeClr w14:val="tx1"/>
                  </w14:solidFill>
                </w14:textFill>
              </w:rPr>
              <w:t>产卵场</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山区河流鱼类的产卵场，因产卵鱼群小，产卵场地分散，常因不同年份洪水量的大小，滑坡、泥石流的大小、频度，河床的形态、淤积程度、水流态势、落差变化等综合因子的影响而发生变化。鱼类的产卵场，常常每年都在变动之中，鱼类的产卵场很不稳定，因此山地江河鱼类繁殖产卵为分散小群，以适应山地江河水域环境的动态特征。本次采取资料收集及现地调查未在工程河段发现固定的鱼类产卵场。</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②</w:t>
            </w:r>
            <w:r>
              <w:rPr>
                <w:rFonts w:hAnsi="Times New Roman" w:eastAsiaTheme="minorEastAsia"/>
                <w:color w:val="000000" w:themeColor="text1"/>
                <w14:textFill>
                  <w14:solidFill>
                    <w14:schemeClr w14:val="tx1"/>
                  </w14:solidFill>
                </w14:textFill>
              </w:rPr>
              <w:t>索饵场</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不同种类的鱼类由于食性的不同，因而对索饵场的环境要求差异较大。素饵场的环境基本特征是静水或微流水，水深小于0.5m，其间有砾石、礁石，沙质岸边，这些地方形成较深的水坑、凼、四岸浅水区、静水缓流区，与干流深水处邻近，易于躲避敌害。在本次资料收集及现地调查中发现，索饵场较分散，幼鱼常集群于岸边浅水区域索饵，未在工程河段发现固定的索饵场。</w:t>
            </w:r>
          </w:p>
          <w:p>
            <w:pPr>
              <w:pStyle w:val="78"/>
              <w:ind w:firstLine="480"/>
              <w:rPr>
                <w:rFonts w:hAnsi="Times New Roman" w:eastAsiaTheme="minorEastAsia"/>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③</w:t>
            </w:r>
            <w:r>
              <w:rPr>
                <w:rFonts w:hAnsi="Times New Roman" w:eastAsiaTheme="minorEastAsia"/>
                <w:color w:val="000000" w:themeColor="text1"/>
                <w14:textFill>
                  <w14:solidFill>
                    <w14:schemeClr w14:val="tx1"/>
                  </w14:solidFill>
                </w14:textFill>
              </w:rPr>
              <w:t>越冬场</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每年秋冬季节，随着季节性气温下降、水量减少、水位降低等环境因素的影响，鱼类活动逐渐减少。为了保证在寒冷的季节有适宜的栖息条件，鱼类往往进行由浅水环境向深水移动的越冬洄游。工程段水流湍急、水深较浅，人为活动频繁，本次调查未在工程河段发现鱼类的固定越冬场。</w:t>
            </w:r>
          </w:p>
          <w:p>
            <w:pPr>
              <w:pStyle w:val="52"/>
              <w:ind w:firstLine="482"/>
              <w:rPr>
                <w:rFonts w:ascii="Times New Roman" w:hAnsi="Times New Roman"/>
                <w:b/>
                <w:bCs/>
                <w:color w:val="000000" w:themeColor="text1"/>
                <w:lang w:val="zh-CN"/>
                <w14:textFill>
                  <w14:solidFill>
                    <w14:schemeClr w14:val="tx1"/>
                  </w14:solidFill>
                </w14:textFill>
              </w:rPr>
            </w:pPr>
            <w:r>
              <w:rPr>
                <w:rFonts w:ascii="Times New Roman" w:hAnsi="Times New Roman"/>
                <w:b/>
                <w:bCs/>
                <w:color w:val="000000" w:themeColor="text1"/>
                <w:lang w:val="zh-CN"/>
                <w14:textFill>
                  <w14:solidFill>
                    <w14:schemeClr w14:val="tx1"/>
                  </w14:solidFill>
                </w14:textFill>
              </w:rPr>
              <w:t>2、陆生生态环境现状</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项目所在地陆生生物资源主要参考《黑水县卡龙镇才盖村基础设施提升建设项目对达古冰山－卡龙沟风景名胜区影响评价报告》（2026年1月），以及紧邻工程段上游的《黑水县小黑水河卡龙镇才盖村段防洪治理工程环境影响报告书》（2022年6月）中生态现状调查资料，以及现场调查。</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（1）野生植物现状</w:t>
            </w:r>
          </w:p>
          <w:p>
            <w:pPr>
              <w:pStyle w:val="78"/>
              <w:ind w:firstLine="480"/>
              <w:rPr>
                <w:rFonts w:hAnsi="Times New Roman" w:eastAsiaTheme="minorEastAsia"/>
                <w:iCs/>
                <w:color w:val="000000" w:themeColor="text1"/>
                <w14:textFill>
                  <w14:solidFill>
                    <w14:schemeClr w14:val="tx1"/>
                  </w14:solidFill>
                </w14:textFill>
              </w:rPr>
            </w:pPr>
            <w:r>
              <w:rPr>
                <w:rFonts w:hAnsi="Times New Roman" w:eastAsiaTheme="minorEastAsia"/>
                <w:bCs/>
                <w:color w:val="000000" w:themeColor="text1"/>
                <w14:textFill>
                  <w14:solidFill>
                    <w14:schemeClr w14:val="tx1"/>
                  </w14:solidFill>
                </w14:textFill>
              </w:rPr>
              <w:t>项目沿线区域植被以</w:t>
            </w:r>
            <w:r>
              <w:rPr>
                <w:rFonts w:hAnsi="Times New Roman" w:eastAsiaTheme="minorEastAsia"/>
                <w:color w:val="000000" w:themeColor="text1"/>
                <w14:textFill>
                  <w14:solidFill>
                    <w14:schemeClr w14:val="tx1"/>
                  </w14:solidFill>
                </w14:textFill>
              </w:rPr>
              <w:t>灌丛、草丛</w:t>
            </w:r>
            <w:r>
              <w:rPr>
                <w:rFonts w:hAnsi="Times New Roman" w:eastAsiaTheme="minorEastAsia"/>
                <w:bCs/>
                <w:color w:val="000000" w:themeColor="text1"/>
                <w14:textFill>
                  <w14:solidFill>
                    <w14:schemeClr w14:val="tx1"/>
                  </w14:solidFill>
                </w14:textFill>
              </w:rPr>
              <w:t>为主。</w:t>
            </w:r>
            <w:r>
              <w:rPr>
                <w:rFonts w:hAnsi="Times New Roman" w:eastAsiaTheme="minorEastAsia"/>
                <w:color w:val="000000" w:themeColor="text1"/>
                <w14:textFill>
                  <w14:solidFill>
                    <w14:schemeClr w14:val="tx1"/>
                  </w14:solidFill>
                </w14:textFill>
              </w:rPr>
              <w:t>灌丛以高山柳灌丛、箭竹灌丛为主</w:t>
            </w:r>
            <w:r>
              <w:rPr>
                <w:rFonts w:hAnsi="Times New Roman" w:eastAsiaTheme="minorEastAsia"/>
                <w:iCs/>
                <w:color w:val="000000" w:themeColor="text1"/>
                <w14:textFill>
                  <w14:solidFill>
                    <w14:schemeClr w14:val="tx1"/>
                  </w14:solidFill>
                </w14:textFill>
              </w:rPr>
              <w:t>，</w:t>
            </w:r>
            <w:r>
              <w:rPr>
                <w:rFonts w:hAnsi="Times New Roman" w:eastAsiaTheme="minorEastAsia"/>
                <w:color w:val="000000" w:themeColor="text1"/>
                <w14:textFill>
                  <w14:solidFill>
                    <w14:schemeClr w14:val="tx1"/>
                  </w14:solidFill>
                </w14:textFill>
              </w:rPr>
              <w:t>主要为</w:t>
            </w:r>
            <w:r>
              <w:rPr>
                <w:rFonts w:hAnsi="Times New Roman" w:eastAsiaTheme="minorEastAsia"/>
                <w:iCs/>
                <w:color w:val="000000" w:themeColor="text1"/>
                <w14:textFill>
                  <w14:solidFill>
                    <w14:schemeClr w14:val="tx1"/>
                  </w14:solidFill>
                </w14:textFill>
              </w:rPr>
              <w:t>黑水柳、小叶柳、山生柳，冷箭竹、华西箭竹，</w:t>
            </w:r>
            <w:r>
              <w:rPr>
                <w:rFonts w:hAnsi="Times New Roman" w:eastAsiaTheme="minorEastAsia"/>
                <w:color w:val="000000" w:themeColor="text1"/>
                <w14:textFill>
                  <w14:solidFill>
                    <w14:schemeClr w14:val="tx1"/>
                  </w14:solidFill>
                </w14:textFill>
              </w:rPr>
              <w:t>草丛如</w:t>
            </w:r>
            <w:r>
              <w:rPr>
                <w:rFonts w:hAnsi="Times New Roman" w:eastAsiaTheme="minorEastAsia"/>
                <w:iCs/>
                <w:color w:val="000000" w:themeColor="text1"/>
                <w14:textFill>
                  <w14:solidFill>
                    <w14:schemeClr w14:val="tx1"/>
                  </w14:solidFill>
                </w14:textFill>
              </w:rPr>
              <w:t>四川嵩草、高山嵩草、牛筋草、披碱草、灯芯草、马齿苋等。</w:t>
            </w:r>
            <w:r>
              <w:rPr>
                <w:rFonts w:hAnsi="Times New Roman" w:eastAsiaTheme="minorEastAsia"/>
                <w:bCs/>
                <w:color w:val="000000" w:themeColor="text1"/>
                <w14:textFill>
                  <w14:solidFill>
                    <w14:schemeClr w14:val="tx1"/>
                  </w14:solidFill>
                </w14:textFill>
              </w:rPr>
              <w:t>该区域内人为活动较频繁，原始植被基本被次生林所取代。</w:t>
            </w:r>
          </w:p>
          <w:p>
            <w:pPr>
              <w:pStyle w:val="78"/>
              <w:ind w:firstLine="480"/>
              <w:rPr>
                <w:rFonts w:hAnsi="Times New Roman" w:eastAsiaTheme="minorEastAsia"/>
                <w:b/>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根据调查，</w:t>
            </w:r>
            <w:r>
              <w:rPr>
                <w:rFonts w:hAnsi="Times New Roman" w:eastAsiaTheme="minorEastAsia"/>
                <w:b/>
                <w:color w:val="000000" w:themeColor="text1"/>
                <w14:textFill>
                  <w14:solidFill>
                    <w14:schemeClr w14:val="tx1"/>
                  </w14:solidFill>
                </w14:textFill>
              </w:rPr>
              <w:t>工程占地范围内不涉及国家级重点保护野生植物、古树名木。</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（2）野生动物现状</w:t>
            </w:r>
          </w:p>
          <w:p>
            <w:pPr>
              <w:pStyle w:val="78"/>
              <w:ind w:firstLine="482"/>
              <w:rPr>
                <w:rFonts w:hAnsi="Times New Roman" w:eastAsiaTheme="minorEastAsia"/>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①</w:t>
            </w:r>
            <w:r>
              <w:rPr>
                <w:rFonts w:hAnsi="Times New Roman" w:eastAsiaTheme="minorEastAsia"/>
                <w:b/>
                <w:color w:val="000000" w:themeColor="text1"/>
                <w14:textFill>
                  <w14:solidFill>
                    <w14:schemeClr w14:val="tx1"/>
                  </w14:solidFill>
                </w14:textFill>
              </w:rPr>
              <w:t>两栖动物</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1）种类及组成</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工程段的两栖类有1目3科3种，主要为胸腺猫眼蟾、中华蟾蜍、高原林蛙。</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表3-4 两栖动物物种组成</w:t>
            </w:r>
          </w:p>
          <w:tbl>
            <w:tblPr>
              <w:tblStyle w:val="106"/>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5"/>
              <w:gridCol w:w="3298"/>
              <w:gridCol w:w="23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237"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目名</w:t>
                  </w:r>
                </w:p>
              </w:tc>
              <w:tc>
                <w:tcPr>
                  <w:tcW w:w="2212"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科名</w:t>
                  </w:r>
                </w:p>
              </w:tc>
              <w:tc>
                <w:tcPr>
                  <w:tcW w:w="155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种数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237" w:type="pct"/>
                  <w:vMerge w:val="restart"/>
                  <w:tcBorders>
                    <w:top w:val="nil"/>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无尾目</w:t>
                  </w:r>
                  <w:r>
                    <w:rPr>
                      <w:rFonts w:eastAsiaTheme="minorEastAsia"/>
                      <w:i/>
                      <w:iCs/>
                      <w:color w:val="000000" w:themeColor="text1"/>
                      <w:sz w:val="21"/>
                      <w:szCs w:val="21"/>
                      <w14:textFill>
                        <w14:solidFill>
                          <w14:schemeClr w14:val="tx1"/>
                        </w14:solidFill>
                      </w14:textFill>
                    </w:rPr>
                    <w:t>Caudata</w:t>
                  </w:r>
                </w:p>
              </w:tc>
              <w:tc>
                <w:tcPr>
                  <w:tcW w:w="2212"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角蟾科</w:t>
                  </w:r>
                  <w:r>
                    <w:rPr>
                      <w:rFonts w:eastAsiaTheme="minorEastAsia"/>
                      <w:i/>
                      <w:iCs/>
                      <w:color w:val="000000" w:themeColor="text1"/>
                      <w:sz w:val="21"/>
                      <w:szCs w:val="21"/>
                      <w14:textFill>
                        <w14:solidFill>
                          <w14:schemeClr w14:val="tx1"/>
                        </w14:solidFill>
                      </w14:textFill>
                    </w:rPr>
                    <w:t>Megophryidae</w:t>
                  </w:r>
                </w:p>
              </w:tc>
              <w:tc>
                <w:tcPr>
                  <w:tcW w:w="155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1237" w:type="pct"/>
                  <w:vMerge w:val="continue"/>
                  <w:tcBorders>
                    <w:top w:val="nil"/>
                    <w:left w:val="single" w:color="000000" w:sz="2" w:space="0"/>
                    <w:bottom w:val="single" w:color="000000" w:sz="2" w:space="0"/>
                    <w:right w:val="single" w:color="000000" w:sz="2"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212"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蟾蜍科</w:t>
                  </w:r>
                  <w:r>
                    <w:rPr>
                      <w:rFonts w:eastAsiaTheme="minorEastAsia"/>
                      <w:i/>
                      <w:iCs/>
                      <w:color w:val="000000" w:themeColor="text1"/>
                      <w:sz w:val="21"/>
                      <w:szCs w:val="21"/>
                      <w14:textFill>
                        <w14:solidFill>
                          <w14:schemeClr w14:val="tx1"/>
                        </w14:solidFill>
                      </w14:textFill>
                    </w:rPr>
                    <w:t>Bufonidae</w:t>
                  </w:r>
                </w:p>
              </w:tc>
              <w:tc>
                <w:tcPr>
                  <w:tcW w:w="155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1237" w:type="pct"/>
                  <w:vMerge w:val="continue"/>
                  <w:tcBorders>
                    <w:top w:val="nil"/>
                    <w:left w:val="single" w:color="000000" w:sz="2" w:space="0"/>
                    <w:bottom w:val="single" w:color="000000" w:sz="2" w:space="0"/>
                    <w:right w:val="single" w:color="000000" w:sz="2" w:space="0"/>
                  </w:tcBorders>
                  <w:vAlign w:val="center"/>
                </w:tcPr>
                <w:p>
                  <w:pPr>
                    <w:widowControl/>
                    <w:spacing w:line="240" w:lineRule="auto"/>
                    <w:ind w:firstLine="0" w:firstLineChars="0"/>
                    <w:jc w:val="left"/>
                    <w:rPr>
                      <w:rFonts w:eastAsiaTheme="minorEastAsia"/>
                      <w:color w:val="000000" w:themeColor="text1"/>
                      <w:sz w:val="21"/>
                      <w:szCs w:val="21"/>
                      <w14:textFill>
                        <w14:solidFill>
                          <w14:schemeClr w14:val="tx1"/>
                        </w14:solidFill>
                      </w14:textFill>
                    </w:rPr>
                  </w:pPr>
                </w:p>
              </w:tc>
              <w:tc>
                <w:tcPr>
                  <w:tcW w:w="2212"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蛙科</w:t>
                  </w:r>
                  <w:r>
                    <w:rPr>
                      <w:rFonts w:eastAsiaTheme="minorEastAsia"/>
                      <w:i/>
                      <w:iCs/>
                      <w:color w:val="000000" w:themeColor="text1"/>
                      <w:sz w:val="21"/>
                      <w:szCs w:val="21"/>
                      <w14:textFill>
                        <w14:solidFill>
                          <w14:schemeClr w14:val="tx1"/>
                        </w14:solidFill>
                      </w14:textFill>
                    </w:rPr>
                    <w:t>Ranidae</w:t>
                  </w:r>
                </w:p>
              </w:tc>
              <w:tc>
                <w:tcPr>
                  <w:tcW w:w="155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237"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总计</w:t>
                  </w:r>
                </w:p>
              </w:tc>
              <w:tc>
                <w:tcPr>
                  <w:tcW w:w="2212"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1551" w:type="pct"/>
                  <w:tcBorders>
                    <w:top w:val="single" w:color="000000" w:sz="2" w:space="0"/>
                    <w:left w:val="single" w:color="000000" w:sz="2" w:space="0"/>
                    <w:bottom w:val="single" w:color="000000" w:sz="2" w:space="0"/>
                    <w:right w:val="single" w:color="000000" w:sz="2" w:space="0"/>
                  </w:tcBorders>
                  <w:vAlign w:val="center"/>
                </w:tcPr>
                <w:p>
                  <w:pPr>
                    <w:widowControl/>
                    <w:autoSpaceDE w:val="0"/>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r>
          </w:tbl>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2）生态类型及分布</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中华蟾蜍为陆栖类型的穴栖静水繁殖型，生活在草丛、林地、土穴等潮湿环境；高原林蛙为陆栖类型的林栖静水繁殖型，生活在静水域岸边及林缘；胸腺猫眼蟾为陆栖类型的高山溪流周边陆栖型，生活在工程区水域附近的区域。</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3）珍稀保护物种和特有种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经调查、访问和资料查询，工程占地范围内有中国特有种有胸腺猫眼蟾、中华蟾蜍、高原林蛙，高原林蛙为四川特有种。</w:t>
            </w:r>
          </w:p>
          <w:p>
            <w:pPr>
              <w:pStyle w:val="78"/>
              <w:ind w:firstLine="482"/>
              <w:rPr>
                <w:rFonts w:hAnsi="Times New Roman" w:eastAsiaTheme="minorEastAsia"/>
                <w:b/>
                <w:bCs/>
                <w:color w:val="000000" w:themeColor="text1"/>
                <w14:textFill>
                  <w14:solidFill>
                    <w14:schemeClr w14:val="tx1"/>
                  </w14:solidFill>
                </w14:textFill>
              </w:rPr>
            </w:pPr>
            <w:r>
              <w:rPr>
                <w:rFonts w:hint="eastAsia" w:ascii="宋体" w:cs="宋体"/>
                <w:b/>
                <w:bCs/>
                <w:color w:val="000000" w:themeColor="text1"/>
                <w14:textFill>
                  <w14:solidFill>
                    <w14:schemeClr w14:val="tx1"/>
                  </w14:solidFill>
                </w14:textFill>
              </w:rPr>
              <w:t>②</w:t>
            </w:r>
            <w:r>
              <w:rPr>
                <w:rFonts w:hAnsi="Times New Roman" w:eastAsiaTheme="minorEastAsia"/>
                <w:b/>
                <w:bCs/>
                <w:color w:val="000000" w:themeColor="text1"/>
                <w14:textFill>
                  <w14:solidFill>
                    <w14:schemeClr w14:val="tx1"/>
                  </w14:solidFill>
                </w14:textFill>
              </w:rPr>
              <w:t>爬行动物</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1）物种组成</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工程区地处高海拔地带，爬行类稀少，调查中并未发现，通过查阅资料发现，在工程区内爬行类仅1目1科2种，即菜花原矛头蝮（</w:t>
            </w:r>
            <w:r>
              <w:rPr>
                <w:rFonts w:hAnsi="Times New Roman" w:eastAsiaTheme="minorEastAsia"/>
                <w:i/>
                <w:iCs/>
                <w:color w:val="000000" w:themeColor="text1"/>
                <w14:textFill>
                  <w14:solidFill>
                    <w14:schemeClr w14:val="tx1"/>
                  </w14:solidFill>
                </w14:textFill>
              </w:rPr>
              <w:t>Protobothropsjerdonii</w:t>
            </w:r>
            <w:r>
              <w:rPr>
                <w:rFonts w:hAnsi="Times New Roman" w:eastAsiaTheme="minorEastAsia"/>
                <w:color w:val="000000" w:themeColor="text1"/>
                <w14:textFill>
                  <w14:solidFill>
                    <w14:schemeClr w14:val="tx1"/>
                  </w14:solidFill>
                </w14:textFill>
              </w:rPr>
              <w:t>）、高原蝮</w:t>
            </w:r>
            <w:r>
              <w:rPr>
                <w:rFonts w:hAnsi="Times New Roman" w:eastAsiaTheme="minorEastAsia"/>
                <w:i/>
                <w:iCs/>
                <w:color w:val="000000" w:themeColor="text1"/>
                <w14:textFill>
                  <w14:solidFill>
                    <w14:schemeClr w14:val="tx1"/>
                  </w14:solidFill>
                </w14:textFill>
              </w:rPr>
              <w:t>（Gloydius strauchi）</w:t>
            </w:r>
            <w:r>
              <w:rPr>
                <w:rFonts w:hAnsi="Times New Roman" w:eastAsiaTheme="minorEastAsia"/>
                <w:color w:val="000000" w:themeColor="text1"/>
                <w14:textFill>
                  <w14:solidFill>
                    <w14:schemeClr w14:val="tx1"/>
                  </w14:solidFill>
                </w14:textFill>
              </w:rPr>
              <w:t>。</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2）生态类型及分布</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根据《四川爬行类原色图鉴》对爬行类生态类型的记述，工程区爬行动物均属于陆栖类型的地上类型，均生活于森林、荒地、灌丛中。</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3）珍稀保护物种和特有种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经调查、访问和资料查询，工程区高原蝮、菜花原矛头蝮属中国特有种，</w:t>
            </w:r>
            <w:r>
              <w:rPr>
                <w:rFonts w:hAnsi="Times New Roman" w:eastAsiaTheme="minorEastAsia"/>
                <w:b/>
                <w:color w:val="000000" w:themeColor="text1"/>
                <w14:textFill>
                  <w14:solidFill>
                    <w14:schemeClr w14:val="tx1"/>
                  </w14:solidFill>
                </w14:textFill>
              </w:rPr>
              <w:t>无国家重点保护爬行类动物。</w:t>
            </w:r>
          </w:p>
          <w:p>
            <w:pPr>
              <w:pStyle w:val="78"/>
              <w:ind w:firstLine="482"/>
              <w:rPr>
                <w:rFonts w:hAnsi="Times New Roman" w:eastAsiaTheme="minorEastAsia"/>
                <w:b/>
                <w:bCs/>
                <w:color w:val="000000" w:themeColor="text1"/>
                <w14:textFill>
                  <w14:solidFill>
                    <w14:schemeClr w14:val="tx1"/>
                  </w14:solidFill>
                </w14:textFill>
              </w:rPr>
            </w:pPr>
            <w:r>
              <w:rPr>
                <w:rFonts w:hint="eastAsia" w:ascii="宋体" w:cs="宋体"/>
                <w:b/>
                <w:bCs/>
                <w:color w:val="000000" w:themeColor="text1"/>
                <w14:textFill>
                  <w14:solidFill>
                    <w14:schemeClr w14:val="tx1"/>
                  </w14:solidFill>
                </w14:textFill>
              </w:rPr>
              <w:t>③</w:t>
            </w:r>
            <w:r>
              <w:rPr>
                <w:rFonts w:hAnsi="Times New Roman" w:eastAsiaTheme="minorEastAsia"/>
                <w:b/>
                <w:bCs/>
                <w:color w:val="000000" w:themeColor="text1"/>
                <w14:textFill>
                  <w14:solidFill>
                    <w14:schemeClr w14:val="tx1"/>
                  </w14:solidFill>
                </w14:textFill>
              </w:rPr>
              <w:t>鸟类</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1）物种组成及居留类型</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野外调查、访问及资料分析表明，工程区鸟类以留鸟为主。</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2）鸟类的生态分布</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根据工程区植被分布的特点，将调查区鸟类的生境划分为以下3种类型：</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水域环境：主要为小黑水河及其周围小溪水域内，分布的鸟类主要有河乌</w:t>
            </w:r>
            <w:r>
              <w:rPr>
                <w:rFonts w:hAnsi="Times New Roman" w:eastAsiaTheme="minorEastAsia"/>
                <w:i/>
                <w:color w:val="000000" w:themeColor="text1"/>
                <w14:textFill>
                  <w14:solidFill>
                    <w14:schemeClr w14:val="tx1"/>
                  </w14:solidFill>
                </w14:textFill>
              </w:rPr>
              <w:t>(Cinclus cinclus）</w:t>
            </w:r>
            <w:r>
              <w:rPr>
                <w:rFonts w:hAnsi="Times New Roman" w:eastAsiaTheme="minorEastAsia"/>
                <w:color w:val="000000" w:themeColor="text1"/>
                <w14:textFill>
                  <w14:solidFill>
                    <w14:schemeClr w14:val="tx1"/>
                  </w14:solidFill>
                </w14:textFill>
              </w:rPr>
              <w:t>、北红尾鸲</w:t>
            </w:r>
            <w:r>
              <w:rPr>
                <w:rFonts w:hAnsi="Times New Roman" w:eastAsiaTheme="minorEastAsia"/>
                <w:i/>
                <w:color w:val="000000" w:themeColor="text1"/>
                <w14:textFill>
                  <w14:solidFill>
                    <w14:schemeClr w14:val="tx1"/>
                  </w14:solidFill>
                </w14:textFill>
              </w:rPr>
              <w:t>（Phoenicurus fiuliginosus)</w:t>
            </w:r>
            <w:r>
              <w:rPr>
                <w:rFonts w:hAnsi="Times New Roman" w:eastAsiaTheme="minorEastAsia"/>
                <w:color w:val="000000" w:themeColor="text1"/>
                <w14:textFill>
                  <w14:solidFill>
                    <w14:schemeClr w14:val="tx1"/>
                  </w14:solidFill>
                </w14:textFill>
              </w:rPr>
              <w:t>、白顶溪鸲</w:t>
            </w:r>
            <w:r>
              <w:rPr>
                <w:rFonts w:hAnsi="Times New Roman" w:eastAsiaTheme="minorEastAsia"/>
                <w:i/>
                <w:color w:val="000000" w:themeColor="text1"/>
                <w14:textFill>
                  <w14:solidFill>
                    <w14:schemeClr w14:val="tx1"/>
                  </w14:solidFill>
                </w14:textFill>
              </w:rPr>
              <w:t>（Phoenicurusleucocephalus）</w:t>
            </w:r>
            <w:r>
              <w:rPr>
                <w:rFonts w:hAnsi="Times New Roman" w:eastAsiaTheme="minorEastAsia"/>
                <w:color w:val="000000" w:themeColor="text1"/>
                <w14:textFill>
                  <w14:solidFill>
                    <w14:schemeClr w14:val="tx1"/>
                  </w14:solidFill>
                </w14:textFill>
              </w:rPr>
              <w:t>、红尾水鸲</w:t>
            </w:r>
            <w:r>
              <w:rPr>
                <w:rFonts w:hAnsi="Times New Roman" w:eastAsiaTheme="minorEastAsia"/>
                <w:i/>
                <w:color w:val="000000" w:themeColor="text1"/>
                <w14:textFill>
                  <w14:solidFill>
                    <w14:schemeClr w14:val="tx1"/>
                  </w14:solidFill>
                </w14:textFill>
              </w:rPr>
              <w:t>（Phoenicurus fuliginosus）</w:t>
            </w:r>
            <w:r>
              <w:rPr>
                <w:rFonts w:hAnsi="Times New Roman" w:eastAsiaTheme="minorEastAsia"/>
                <w:color w:val="000000" w:themeColor="text1"/>
                <w14:textFill>
                  <w14:solidFill>
                    <w14:schemeClr w14:val="tx1"/>
                  </w14:solidFill>
                </w14:textFill>
              </w:rPr>
              <w:t>等。</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灌草从环境：主要分布的鸟类主要有大杜鹃</w:t>
            </w:r>
            <w:r>
              <w:rPr>
                <w:rFonts w:hAnsi="Times New Roman" w:eastAsiaTheme="minorEastAsia"/>
                <w:i/>
                <w:color w:val="000000" w:themeColor="text1"/>
                <w14:textFill>
                  <w14:solidFill>
                    <w14:schemeClr w14:val="tx1"/>
                  </w14:solidFill>
                </w14:textFill>
              </w:rPr>
              <w:t>（Caprimulgus jotaka)、</w:t>
            </w:r>
            <w:r>
              <w:rPr>
                <w:rFonts w:hAnsi="Times New Roman" w:eastAsiaTheme="minorEastAsia"/>
                <w:color w:val="000000" w:themeColor="text1"/>
                <w14:textFill>
                  <w14:solidFill>
                    <w14:schemeClr w14:val="tx1"/>
                  </w14:solidFill>
                </w14:textFill>
              </w:rPr>
              <w:t>红尾伯劳</w:t>
            </w:r>
            <w:r>
              <w:rPr>
                <w:rFonts w:hAnsi="Times New Roman" w:eastAsiaTheme="minorEastAsia"/>
                <w:i/>
                <w:color w:val="000000" w:themeColor="text1"/>
                <w14:textFill>
                  <w14:solidFill>
                    <w14:schemeClr w14:val="tx1"/>
                  </w14:solidFill>
                </w14:textFill>
              </w:rPr>
              <w:t>（Laniuscristatus)</w:t>
            </w:r>
            <w:r>
              <w:rPr>
                <w:rFonts w:hAnsi="Times New Roman" w:eastAsiaTheme="minorEastAsia"/>
                <w:color w:val="000000" w:themeColor="text1"/>
                <w14:textFill>
                  <w14:solidFill>
                    <w14:schemeClr w14:val="tx1"/>
                  </w14:solidFill>
                </w14:textFill>
              </w:rPr>
              <w:t>、煤山雀</w:t>
            </w:r>
            <w:r>
              <w:rPr>
                <w:rFonts w:hAnsi="Times New Roman" w:eastAsiaTheme="minorEastAsia"/>
                <w:i/>
                <w:color w:val="000000" w:themeColor="text1"/>
                <w14:textFill>
                  <w14:solidFill>
                    <w14:schemeClr w14:val="tx1"/>
                  </w14:solidFill>
                </w14:textFill>
              </w:rPr>
              <w:t>（Periparus ater)</w:t>
            </w:r>
            <w:r>
              <w:rPr>
                <w:rFonts w:hAnsi="Times New Roman" w:eastAsiaTheme="minorEastAsia"/>
                <w:color w:val="000000" w:themeColor="text1"/>
                <w14:textFill>
                  <w14:solidFill>
                    <w14:schemeClr w14:val="tx1"/>
                  </w14:solidFill>
                </w14:textFill>
              </w:rPr>
              <w:t>、大山雀</w:t>
            </w:r>
            <w:r>
              <w:rPr>
                <w:rFonts w:hAnsi="Times New Roman" w:eastAsiaTheme="minorEastAsia"/>
                <w:i/>
                <w:color w:val="000000" w:themeColor="text1"/>
                <w14:textFill>
                  <w14:solidFill>
                    <w14:schemeClr w14:val="tx1"/>
                  </w14:solidFill>
                </w14:textFill>
              </w:rPr>
              <w:t>（Parus minor)</w:t>
            </w:r>
            <w:r>
              <w:rPr>
                <w:rFonts w:hAnsi="Times New Roman" w:eastAsiaTheme="minorEastAsia"/>
                <w:color w:val="000000" w:themeColor="text1"/>
                <w14:textFill>
                  <w14:solidFill>
                    <w14:schemeClr w14:val="tx1"/>
                  </w14:solidFill>
                </w14:textFill>
              </w:rPr>
              <w:t>、黄喉鸡</w:t>
            </w:r>
            <w:r>
              <w:rPr>
                <w:rFonts w:hAnsi="Times New Roman" w:eastAsiaTheme="minorEastAsia"/>
                <w:i/>
                <w:color w:val="000000" w:themeColor="text1"/>
                <w14:textFill>
                  <w14:solidFill>
                    <w14:schemeClr w14:val="tx1"/>
                  </w14:solidFill>
                </w14:textFill>
              </w:rPr>
              <w:t>（Emberizaelegans）</w:t>
            </w:r>
            <w:r>
              <w:rPr>
                <w:rFonts w:hAnsi="Times New Roman" w:eastAsiaTheme="minorEastAsia"/>
                <w:color w:val="000000" w:themeColor="text1"/>
                <w14:textFill>
                  <w14:solidFill>
                    <w14:schemeClr w14:val="tx1"/>
                  </w14:solidFill>
                </w14:textFill>
              </w:rPr>
              <w:t>和树莺类、柳莺类等。</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居民区环境：主要包括附近的村寨，分布的鸟类主要有小云雀</w:t>
            </w:r>
            <w:r>
              <w:rPr>
                <w:rFonts w:hAnsi="Times New Roman" w:eastAsiaTheme="minorEastAsia"/>
                <w:i/>
                <w:color w:val="000000" w:themeColor="text1"/>
                <w14:textFill>
                  <w14:solidFill>
                    <w14:schemeClr w14:val="tx1"/>
                  </w14:solidFill>
                </w14:textFill>
              </w:rPr>
              <w:t>（Alaudagulgula)</w:t>
            </w:r>
            <w:r>
              <w:rPr>
                <w:rFonts w:hAnsi="Times New Roman" w:eastAsiaTheme="minorEastAsia"/>
                <w:color w:val="000000" w:themeColor="text1"/>
                <w14:textFill>
                  <w14:solidFill>
                    <w14:schemeClr w14:val="tx1"/>
                  </w14:solidFill>
                </w14:textFill>
              </w:rPr>
              <w:t>、火斑鸠</w:t>
            </w:r>
            <w:r>
              <w:rPr>
                <w:rFonts w:hAnsi="Times New Roman" w:eastAsiaTheme="minorEastAsia"/>
                <w:i/>
                <w:color w:val="000000" w:themeColor="text1"/>
                <w14:textFill>
                  <w14:solidFill>
                    <w14:schemeClr w14:val="tx1"/>
                  </w14:solidFill>
                </w14:textFill>
              </w:rPr>
              <w:t>（Streptopelia tranquebarica)</w:t>
            </w:r>
            <w:r>
              <w:rPr>
                <w:rFonts w:hAnsi="Times New Roman" w:eastAsiaTheme="minorEastAsia"/>
                <w:color w:val="000000" w:themeColor="text1"/>
                <w14:textFill>
                  <w14:solidFill>
                    <w14:schemeClr w14:val="tx1"/>
                  </w14:solidFill>
                </w14:textFill>
              </w:rPr>
              <w:t>、家燕</w:t>
            </w:r>
            <w:r>
              <w:rPr>
                <w:rFonts w:hAnsi="Times New Roman" w:eastAsiaTheme="minorEastAsia"/>
                <w:i/>
                <w:color w:val="000000" w:themeColor="text1"/>
                <w14:textFill>
                  <w14:solidFill>
                    <w14:schemeClr w14:val="tx1"/>
                  </w14:solidFill>
                </w14:textFill>
              </w:rPr>
              <w:t>（Hirundo rustica）</w:t>
            </w:r>
            <w:r>
              <w:rPr>
                <w:rFonts w:hAnsi="Times New Roman" w:eastAsiaTheme="minorEastAsia"/>
                <w:color w:val="000000" w:themeColor="text1"/>
                <w14:textFill>
                  <w14:solidFill>
                    <w14:schemeClr w14:val="tx1"/>
                  </w14:solidFill>
                </w14:textFill>
              </w:rPr>
              <w:t>、麻雀</w:t>
            </w:r>
            <w:r>
              <w:rPr>
                <w:rFonts w:hAnsi="Times New Roman" w:eastAsiaTheme="minorEastAsia"/>
                <w:i/>
                <w:color w:val="000000" w:themeColor="text1"/>
                <w14:textFill>
                  <w14:solidFill>
                    <w14:schemeClr w14:val="tx1"/>
                  </w14:solidFill>
                </w14:textFill>
              </w:rPr>
              <w:t>（Passer montanus）</w:t>
            </w:r>
            <w:r>
              <w:rPr>
                <w:rFonts w:hAnsi="Times New Roman" w:eastAsiaTheme="minorEastAsia"/>
                <w:color w:val="000000" w:themeColor="text1"/>
                <w14:textFill>
                  <w14:solidFill>
                    <w14:schemeClr w14:val="tx1"/>
                  </w14:solidFill>
                </w14:textFill>
              </w:rPr>
              <w:t>、喜鹊</w:t>
            </w:r>
            <w:r>
              <w:rPr>
                <w:rFonts w:hAnsi="Times New Roman" w:eastAsiaTheme="minorEastAsia"/>
                <w:i/>
                <w:color w:val="000000" w:themeColor="text1"/>
                <w14:textFill>
                  <w14:solidFill>
                    <w14:schemeClr w14:val="tx1"/>
                  </w14:solidFill>
                </w14:textFill>
              </w:rPr>
              <w:t>（Pica serica）</w:t>
            </w:r>
            <w:r>
              <w:rPr>
                <w:rFonts w:hAnsi="Times New Roman" w:eastAsiaTheme="minorEastAsia"/>
                <w:color w:val="000000" w:themeColor="text1"/>
                <w14:textFill>
                  <w14:solidFill>
                    <w14:schemeClr w14:val="tx1"/>
                  </w14:solidFill>
                </w14:textFill>
              </w:rPr>
              <w:t>等。</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3）珍稀保护和特有种鸟类</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经查阅资料和实地调查，</w:t>
            </w:r>
            <w:r>
              <w:rPr>
                <w:rFonts w:hAnsi="Times New Roman" w:eastAsiaTheme="minorEastAsia"/>
                <w:b/>
                <w:color w:val="000000" w:themeColor="text1"/>
                <w14:textFill>
                  <w14:solidFill>
                    <w14:schemeClr w14:val="tx1"/>
                  </w14:solidFill>
                </w14:textFill>
              </w:rPr>
              <w:t>工程占地范围内未发现国家重点保护鸟类。</w:t>
            </w:r>
          </w:p>
          <w:p>
            <w:pPr>
              <w:pStyle w:val="78"/>
              <w:ind w:firstLine="482"/>
              <w:rPr>
                <w:rFonts w:hAnsi="Times New Roman" w:eastAsiaTheme="minorEastAsia"/>
                <w:b/>
                <w:bCs/>
                <w:color w:val="000000" w:themeColor="text1"/>
                <w14:textFill>
                  <w14:solidFill>
                    <w14:schemeClr w14:val="tx1"/>
                  </w14:solidFill>
                </w14:textFill>
              </w:rPr>
            </w:pPr>
            <w:r>
              <w:rPr>
                <w:rFonts w:hint="eastAsia" w:ascii="宋体" w:cs="宋体"/>
                <w:b/>
                <w:bCs/>
                <w:color w:val="000000" w:themeColor="text1"/>
                <w14:textFill>
                  <w14:solidFill>
                    <w14:schemeClr w14:val="tx1"/>
                  </w14:solidFill>
                </w14:textFill>
              </w:rPr>
              <w:t>④</w:t>
            </w:r>
            <w:r>
              <w:rPr>
                <w:rFonts w:hAnsi="Times New Roman" w:eastAsiaTheme="minorEastAsia"/>
                <w:b/>
                <w:bCs/>
                <w:color w:val="000000" w:themeColor="text1"/>
                <w14:textFill>
                  <w14:solidFill>
                    <w14:schemeClr w14:val="tx1"/>
                  </w14:solidFill>
                </w14:textFill>
              </w:rPr>
              <w:t>兽类</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根据调查区植被分布的特点，将调查区兽类分布的生境划分为以下2种类型：</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灌草从环境：兽类主要有长吻鼹</w:t>
            </w:r>
            <w:r>
              <w:rPr>
                <w:rFonts w:hAnsi="Times New Roman" w:eastAsiaTheme="minorEastAsia"/>
                <w:i/>
                <w:color w:val="000000" w:themeColor="text1"/>
                <w14:textFill>
                  <w14:solidFill>
                    <w14:schemeClr w14:val="tx1"/>
                  </w14:solidFill>
                </w14:textFill>
              </w:rPr>
              <w:t>（Euroscaptorlongirostris）</w:t>
            </w:r>
            <w:r>
              <w:rPr>
                <w:rFonts w:hAnsi="Times New Roman" w:eastAsiaTheme="minorEastAsia"/>
                <w:color w:val="000000" w:themeColor="text1"/>
                <w14:textFill>
                  <w14:solidFill>
                    <w14:schemeClr w14:val="tx1"/>
                  </w14:solidFill>
                </w14:textFill>
              </w:rPr>
              <w:t>、灰麝鼩</w:t>
            </w:r>
            <w:r>
              <w:rPr>
                <w:rFonts w:hAnsi="Times New Roman" w:eastAsiaTheme="minorEastAsia"/>
                <w:i/>
                <w:color w:val="000000" w:themeColor="text1"/>
                <w14:textFill>
                  <w14:solidFill>
                    <w14:schemeClr w14:val="tx1"/>
                  </w14:solidFill>
                </w14:textFill>
              </w:rPr>
              <w:t>（Crocidura attenuata)</w:t>
            </w:r>
            <w:r>
              <w:rPr>
                <w:rFonts w:hAnsi="Times New Roman" w:eastAsiaTheme="minorEastAsia"/>
                <w:color w:val="000000" w:themeColor="text1"/>
                <w14:textFill>
                  <w14:solidFill>
                    <w14:schemeClr w14:val="tx1"/>
                  </w14:solidFill>
                </w14:textFill>
              </w:rPr>
              <w:t>、小纹背鼩鼱</w:t>
            </w:r>
            <w:r>
              <w:rPr>
                <w:rFonts w:hAnsi="Times New Roman" w:eastAsiaTheme="minorEastAsia"/>
                <w:i/>
                <w:color w:val="000000" w:themeColor="text1"/>
                <w14:textFill>
                  <w14:solidFill>
                    <w14:schemeClr w14:val="tx1"/>
                  </w14:solidFill>
                </w14:textFill>
              </w:rPr>
              <w:t>（Sorexbedfordae）</w:t>
            </w:r>
            <w:r>
              <w:rPr>
                <w:rFonts w:hAnsi="Times New Roman" w:eastAsiaTheme="minorEastAsia"/>
                <w:color w:val="000000" w:themeColor="text1"/>
                <w14:textFill>
                  <w14:solidFill>
                    <w14:schemeClr w14:val="tx1"/>
                  </w14:solidFill>
                </w14:textFill>
              </w:rPr>
              <w:t>、四川短尾鼩</w:t>
            </w:r>
            <w:r>
              <w:rPr>
                <w:rFonts w:hAnsi="Times New Roman" w:eastAsiaTheme="minorEastAsia"/>
                <w:i/>
                <w:color w:val="000000" w:themeColor="text1"/>
                <w14:textFill>
                  <w14:solidFill>
                    <w14:schemeClr w14:val="tx1"/>
                  </w14:solidFill>
                </w14:textFill>
              </w:rPr>
              <w:t>（Anourosorex squamipes）</w:t>
            </w:r>
            <w:r>
              <w:rPr>
                <w:rFonts w:hAnsi="Times New Roman" w:eastAsiaTheme="minorEastAsia"/>
                <w:color w:val="000000" w:themeColor="text1"/>
                <w14:textFill>
                  <w14:solidFill>
                    <w14:schemeClr w14:val="tx1"/>
                  </w14:solidFill>
                </w14:textFill>
              </w:rPr>
              <w:t>、野猪</w:t>
            </w:r>
            <w:r>
              <w:rPr>
                <w:rFonts w:hAnsi="Times New Roman" w:eastAsiaTheme="minorEastAsia"/>
                <w:i/>
                <w:color w:val="000000" w:themeColor="text1"/>
                <w14:textFill>
                  <w14:solidFill>
                    <w14:schemeClr w14:val="tx1"/>
                  </w14:solidFill>
                </w14:textFill>
              </w:rPr>
              <w:t>（Sus scrofa)</w:t>
            </w:r>
            <w:r>
              <w:rPr>
                <w:rFonts w:hAnsi="Times New Roman" w:eastAsiaTheme="minorEastAsia"/>
                <w:color w:val="000000" w:themeColor="text1"/>
                <w14:textFill>
                  <w14:solidFill>
                    <w14:schemeClr w14:val="tx1"/>
                  </w14:solidFill>
                </w14:textFill>
              </w:rPr>
              <w:t>、亚洲狗獾</w:t>
            </w:r>
            <w:r>
              <w:rPr>
                <w:rFonts w:hAnsi="Times New Roman" w:eastAsiaTheme="minorEastAsia"/>
                <w:i/>
                <w:color w:val="000000" w:themeColor="text1"/>
                <w14:textFill>
                  <w14:solidFill>
                    <w14:schemeClr w14:val="tx1"/>
                  </w14:solidFill>
                </w14:textFill>
              </w:rPr>
              <w:t>（Meles leucurus）</w:t>
            </w:r>
            <w:r>
              <w:rPr>
                <w:rFonts w:hAnsi="Times New Roman" w:eastAsiaTheme="minorEastAsia"/>
                <w:color w:val="000000" w:themeColor="text1"/>
                <w14:textFill>
                  <w14:solidFill>
                    <w14:schemeClr w14:val="tx1"/>
                  </w14:solidFill>
                </w14:textFill>
              </w:rPr>
              <w:t>、猪獾</w:t>
            </w:r>
            <w:r>
              <w:rPr>
                <w:rFonts w:hAnsi="Times New Roman" w:eastAsiaTheme="minorEastAsia"/>
                <w:i/>
                <w:color w:val="000000" w:themeColor="text1"/>
                <w14:textFill>
                  <w14:solidFill>
                    <w14:schemeClr w14:val="tx1"/>
                  </w14:solidFill>
                </w14:textFill>
              </w:rPr>
              <w:t>（Arctonyx collaris）</w:t>
            </w:r>
            <w:r>
              <w:rPr>
                <w:rFonts w:hAnsi="Times New Roman" w:eastAsiaTheme="minorEastAsia"/>
                <w:color w:val="000000" w:themeColor="text1"/>
                <w14:textFill>
                  <w14:solidFill>
                    <w14:schemeClr w14:val="tx1"/>
                  </w14:solidFill>
                </w14:textFill>
              </w:rPr>
              <w:t>等。</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居民区环境：主要包括附近的村寨，分布的兽类主要有复齿鼯鼠</w:t>
            </w:r>
            <w:r>
              <w:rPr>
                <w:rFonts w:hAnsi="Times New Roman" w:eastAsiaTheme="minorEastAsia"/>
                <w:i/>
                <w:color w:val="000000" w:themeColor="text1"/>
                <w14:textFill>
                  <w14:solidFill>
                    <w14:schemeClr w14:val="tx1"/>
                  </w14:solidFill>
                </w14:textFill>
              </w:rPr>
              <w:t>(Trogopterus xanthipes)</w:t>
            </w:r>
            <w:r>
              <w:rPr>
                <w:rFonts w:hAnsi="Times New Roman" w:eastAsiaTheme="minorEastAsia"/>
                <w:color w:val="000000" w:themeColor="text1"/>
                <w14:textFill>
                  <w14:solidFill>
                    <w14:schemeClr w14:val="tx1"/>
                  </w14:solidFill>
                </w14:textFill>
              </w:rPr>
              <w:t>、藏鼠兔</w:t>
            </w:r>
            <w:r>
              <w:rPr>
                <w:rFonts w:hAnsi="Times New Roman" w:eastAsiaTheme="minorEastAsia"/>
                <w:i/>
                <w:color w:val="000000" w:themeColor="text1"/>
                <w14:textFill>
                  <w14:solidFill>
                    <w14:schemeClr w14:val="tx1"/>
                  </w14:solidFill>
                </w14:textFill>
              </w:rPr>
              <w:t>（Ochotona thibetana)</w:t>
            </w:r>
            <w:r>
              <w:rPr>
                <w:rFonts w:hAnsi="Times New Roman" w:eastAsiaTheme="minorEastAsia"/>
                <w:color w:val="000000" w:themeColor="text1"/>
                <w14:textFill>
                  <w14:solidFill>
                    <w14:schemeClr w14:val="tx1"/>
                  </w14:solidFill>
                </w14:textFill>
              </w:rPr>
              <w:t>、灰尾兔</w:t>
            </w:r>
            <w:r>
              <w:rPr>
                <w:rFonts w:hAnsi="Times New Roman" w:eastAsiaTheme="minorEastAsia"/>
                <w:i/>
                <w:color w:val="000000" w:themeColor="text1"/>
                <w14:textFill>
                  <w14:solidFill>
                    <w14:schemeClr w14:val="tx1"/>
                  </w14:solidFill>
                </w14:textFill>
              </w:rPr>
              <w:t>（Lepus oiostolus)</w:t>
            </w:r>
            <w:r>
              <w:rPr>
                <w:rFonts w:hAnsi="Times New Roman" w:eastAsiaTheme="minorEastAsia"/>
                <w:color w:val="000000" w:themeColor="text1"/>
                <w14:textFill>
                  <w14:solidFill>
                    <w14:schemeClr w14:val="tx1"/>
                  </w14:solidFill>
                </w14:textFill>
              </w:rPr>
              <w:t>等。</w:t>
            </w:r>
          </w:p>
          <w:p>
            <w:pPr>
              <w:pStyle w:val="78"/>
              <w:ind w:firstLine="480"/>
              <w:rPr>
                <w:rFonts w:hAnsi="Times New Roman" w:eastAsiaTheme="minorEastAsia"/>
                <w:b/>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根据调查访问和资料，</w:t>
            </w:r>
            <w:r>
              <w:rPr>
                <w:rFonts w:hAnsi="Times New Roman" w:eastAsiaTheme="minorEastAsia"/>
                <w:b/>
                <w:color w:val="000000" w:themeColor="text1"/>
                <w14:textFill>
                  <w14:solidFill>
                    <w14:schemeClr w14:val="tx1"/>
                  </w14:solidFill>
                </w14:textFill>
              </w:rPr>
              <w:t>工程占地范围内未发现国家和四川省重点保护兽类。</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五、环境质量现状</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1、环境空气质量</w:t>
            </w:r>
          </w:p>
          <w:p>
            <w:pPr>
              <w:ind w:firstLine="480"/>
              <w:rPr>
                <w:rFonts w:eastAsiaTheme="minorEastAsia"/>
                <w:snapToGrid w:val="0"/>
                <w:color w:val="000000" w:themeColor="text1"/>
                <w14:textFill>
                  <w14:solidFill>
                    <w14:schemeClr w14:val="tx1"/>
                  </w14:solidFill>
                </w14:textFill>
              </w:rPr>
            </w:pPr>
            <w:r>
              <w:rPr>
                <w:rFonts w:eastAsiaTheme="minorEastAsia"/>
                <w:snapToGrid w:val="0"/>
                <w:color w:val="000000" w:themeColor="text1"/>
                <w14:textFill>
                  <w14:solidFill>
                    <w14:schemeClr w14:val="tx1"/>
                  </w14:solidFill>
                </w14:textFill>
              </w:rPr>
              <w:t>本次评价引用阿坝州生态环境局发布的《2025年阿坝州生态环境状况公报》中</w:t>
            </w:r>
            <w:r>
              <w:rPr>
                <w:rFonts w:eastAsiaTheme="minorEastAsia"/>
                <w:snapToGrid w:val="0"/>
                <w:color w:val="000000" w:themeColor="text1"/>
                <w:lang w:bidi="en-US"/>
                <w14:textFill>
                  <w14:solidFill>
                    <w14:schemeClr w14:val="tx1"/>
                  </w14:solidFill>
                </w14:textFill>
              </w:rPr>
              <w:t>黑水县</w:t>
            </w:r>
            <w:r>
              <w:rPr>
                <w:rFonts w:eastAsiaTheme="minorEastAsia"/>
                <w:snapToGrid w:val="0"/>
                <w:color w:val="000000" w:themeColor="text1"/>
                <w14:textFill>
                  <w14:solidFill>
                    <w14:schemeClr w14:val="tx1"/>
                  </w14:solidFill>
                </w14:textFill>
              </w:rPr>
              <w:t>环境空气中六项基本污染物SO</w:t>
            </w:r>
            <w:r>
              <w:rPr>
                <w:rFonts w:eastAsiaTheme="minorEastAsia"/>
                <w:snapToGrid w:val="0"/>
                <w:color w:val="000000" w:themeColor="text1"/>
                <w:vertAlign w:val="subscript"/>
                <w14:textFill>
                  <w14:solidFill>
                    <w14:schemeClr w14:val="tx1"/>
                  </w14:solidFill>
                </w14:textFill>
              </w:rPr>
              <w:t>2</w:t>
            </w:r>
            <w:r>
              <w:rPr>
                <w:rFonts w:eastAsiaTheme="minorEastAsia"/>
                <w:snapToGrid w:val="0"/>
                <w:color w:val="000000" w:themeColor="text1"/>
                <w14:textFill>
                  <w14:solidFill>
                    <w14:schemeClr w14:val="tx1"/>
                  </w14:solidFill>
                </w14:textFill>
              </w:rPr>
              <w:t>、NO</w:t>
            </w:r>
            <w:r>
              <w:rPr>
                <w:rFonts w:eastAsiaTheme="minorEastAsia"/>
                <w:snapToGrid w:val="0"/>
                <w:color w:val="000000" w:themeColor="text1"/>
                <w:vertAlign w:val="subscript"/>
                <w14:textFill>
                  <w14:solidFill>
                    <w14:schemeClr w14:val="tx1"/>
                  </w14:solidFill>
                </w14:textFill>
              </w:rPr>
              <w:t>2</w:t>
            </w:r>
            <w:r>
              <w:rPr>
                <w:rFonts w:eastAsiaTheme="minorEastAsia"/>
                <w:snapToGrid w:val="0"/>
                <w:color w:val="000000" w:themeColor="text1"/>
                <w14:textFill>
                  <w14:solidFill>
                    <w14:schemeClr w14:val="tx1"/>
                  </w14:solidFill>
                </w14:textFill>
              </w:rPr>
              <w:t>、PM</w:t>
            </w:r>
            <w:r>
              <w:rPr>
                <w:rFonts w:eastAsiaTheme="minorEastAsia"/>
                <w:snapToGrid w:val="0"/>
                <w:color w:val="000000" w:themeColor="text1"/>
                <w:vertAlign w:val="subscript"/>
                <w14:textFill>
                  <w14:solidFill>
                    <w14:schemeClr w14:val="tx1"/>
                  </w14:solidFill>
                </w14:textFill>
              </w:rPr>
              <w:t>10</w:t>
            </w:r>
            <w:r>
              <w:rPr>
                <w:rFonts w:eastAsiaTheme="minorEastAsia"/>
                <w:snapToGrid w:val="0"/>
                <w:color w:val="000000" w:themeColor="text1"/>
                <w14:textFill>
                  <w14:solidFill>
                    <w14:schemeClr w14:val="tx1"/>
                  </w14:solidFill>
                </w14:textFill>
              </w:rPr>
              <w:t>、PM</w:t>
            </w:r>
            <w:r>
              <w:rPr>
                <w:rFonts w:eastAsiaTheme="minorEastAsia"/>
                <w:snapToGrid w:val="0"/>
                <w:color w:val="000000" w:themeColor="text1"/>
                <w:vertAlign w:val="subscript"/>
                <w14:textFill>
                  <w14:solidFill>
                    <w14:schemeClr w14:val="tx1"/>
                  </w14:solidFill>
                </w14:textFill>
              </w:rPr>
              <w:t>2.5</w:t>
            </w:r>
            <w:r>
              <w:rPr>
                <w:rFonts w:eastAsiaTheme="minorEastAsia"/>
                <w:snapToGrid w:val="0"/>
                <w:color w:val="000000" w:themeColor="text1"/>
                <w14:textFill>
                  <w14:solidFill>
                    <w14:schemeClr w14:val="tx1"/>
                  </w14:solidFill>
                </w14:textFill>
              </w:rPr>
              <w:t>、CO、O</w:t>
            </w:r>
            <w:r>
              <w:rPr>
                <w:rFonts w:eastAsiaTheme="minorEastAsia"/>
                <w:snapToGrid w:val="0"/>
                <w:color w:val="000000" w:themeColor="text1"/>
                <w:vertAlign w:val="subscript"/>
                <w14:textFill>
                  <w14:solidFill>
                    <w14:schemeClr w14:val="tx1"/>
                  </w14:solidFill>
                </w14:textFill>
              </w:rPr>
              <w:t>3</w:t>
            </w:r>
            <w:r>
              <w:rPr>
                <w:rFonts w:eastAsiaTheme="minorEastAsia"/>
                <w:snapToGrid w:val="0"/>
                <w:color w:val="000000" w:themeColor="text1"/>
                <w14:textFill>
                  <w14:solidFill>
                    <w14:schemeClr w14:val="tx1"/>
                  </w14:solidFill>
                </w14:textFill>
              </w:rPr>
              <w:t>的统计结果，对区域环境空气质量现状进行说明。</w:t>
            </w:r>
          </w:p>
          <w:p>
            <w:pPr>
              <w:pStyle w:val="80"/>
              <w:spacing w:before="166"/>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表3-5 环境空气质量现状评价表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1915"/>
              <w:gridCol w:w="1103"/>
              <w:gridCol w:w="911"/>
              <w:gridCol w:w="1105"/>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5" w:type="pct"/>
                  <w:vAlign w:val="center"/>
                </w:tcPr>
                <w:p>
                  <w:pPr>
                    <w:pStyle w:val="89"/>
                    <w:spacing w:before="0" w:beforeLines="0" w:after="0" w:afterLines="0" w:line="240" w:lineRule="auto"/>
                    <w:ind w:firstLine="0" w:firstLineChars="0"/>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污染物</w:t>
                  </w:r>
                </w:p>
              </w:tc>
              <w:tc>
                <w:tcPr>
                  <w:tcW w:w="1285" w:type="pct"/>
                  <w:vAlign w:val="center"/>
                </w:tcPr>
                <w:p>
                  <w:pPr>
                    <w:pStyle w:val="89"/>
                    <w:spacing w:before="0" w:beforeLines="0" w:after="0" w:afterLines="0" w:line="240" w:lineRule="auto"/>
                    <w:ind w:firstLine="0" w:firstLineChars="0"/>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年评价指标</w:t>
                  </w:r>
                </w:p>
              </w:tc>
              <w:tc>
                <w:tcPr>
                  <w:tcW w:w="740" w:type="pct"/>
                  <w:vAlign w:val="center"/>
                </w:tcPr>
                <w:p>
                  <w:pPr>
                    <w:pStyle w:val="89"/>
                    <w:spacing w:before="0" w:beforeLines="0" w:after="0" w:afterLines="0" w:line="240" w:lineRule="auto"/>
                    <w:ind w:firstLine="0" w:firstLineChars="0"/>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现状浓度</w:t>
                  </w:r>
                </w:p>
              </w:tc>
              <w:tc>
                <w:tcPr>
                  <w:tcW w:w="611" w:type="pct"/>
                  <w:vAlign w:val="center"/>
                </w:tcPr>
                <w:p>
                  <w:pPr>
                    <w:pStyle w:val="89"/>
                    <w:spacing w:before="0" w:beforeLines="0" w:after="0" w:afterLines="0" w:line="240" w:lineRule="auto"/>
                    <w:ind w:firstLine="0" w:firstLineChars="0"/>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标准值</w:t>
                  </w:r>
                </w:p>
              </w:tc>
              <w:tc>
                <w:tcPr>
                  <w:tcW w:w="741" w:type="pct"/>
                  <w:vAlign w:val="center"/>
                </w:tcPr>
                <w:p>
                  <w:pPr>
                    <w:pStyle w:val="89"/>
                    <w:spacing w:before="0" w:beforeLines="0" w:after="0" w:afterLines="0" w:line="240" w:lineRule="auto"/>
                    <w:ind w:firstLine="0" w:firstLineChars="0"/>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占标率%</w:t>
                  </w:r>
                </w:p>
              </w:tc>
              <w:tc>
                <w:tcPr>
                  <w:tcW w:w="698" w:type="pct"/>
                  <w:vAlign w:val="center"/>
                </w:tcPr>
                <w:p>
                  <w:pPr>
                    <w:pStyle w:val="89"/>
                    <w:spacing w:before="0" w:beforeLines="0" w:after="0" w:afterLines="0" w:line="240" w:lineRule="auto"/>
                    <w:ind w:firstLine="0" w:firstLineChars="0"/>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925"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二氧化硫</w:t>
                  </w:r>
                </w:p>
              </w:tc>
              <w:tc>
                <w:tcPr>
                  <w:tcW w:w="1285" w:type="pct"/>
                  <w:vMerge w:val="restar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年平均质量浓度μg/m</w:t>
                  </w:r>
                  <w:r>
                    <w:rPr>
                      <w:rFonts w:eastAsiaTheme="minorEastAsia"/>
                      <w:color w:val="000000" w:themeColor="text1"/>
                      <w:vertAlign w:val="superscript"/>
                      <w14:textFill>
                        <w14:solidFill>
                          <w14:schemeClr w14:val="tx1"/>
                        </w14:solidFill>
                      </w14:textFill>
                    </w:rPr>
                    <w:t>3</w:t>
                  </w:r>
                </w:p>
              </w:tc>
              <w:tc>
                <w:tcPr>
                  <w:tcW w:w="740"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w:t>
                  </w:r>
                </w:p>
              </w:tc>
              <w:tc>
                <w:tcPr>
                  <w:tcW w:w="61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20</w:t>
                  </w:r>
                </w:p>
              </w:tc>
              <w:tc>
                <w:tcPr>
                  <w:tcW w:w="74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10.0</w:t>
                  </w:r>
                </w:p>
              </w:tc>
              <w:tc>
                <w:tcPr>
                  <w:tcW w:w="698"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5"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二氧化氮</w:t>
                  </w:r>
                </w:p>
              </w:tc>
              <w:tc>
                <w:tcPr>
                  <w:tcW w:w="1285" w:type="pct"/>
                  <w:vMerge w:val="continue"/>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p>
              </w:tc>
              <w:tc>
                <w:tcPr>
                  <w:tcW w:w="740"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w:t>
                  </w:r>
                </w:p>
              </w:tc>
              <w:tc>
                <w:tcPr>
                  <w:tcW w:w="61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40</w:t>
                  </w:r>
                </w:p>
              </w:tc>
              <w:tc>
                <w:tcPr>
                  <w:tcW w:w="74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7.50</w:t>
                  </w:r>
                </w:p>
              </w:tc>
              <w:tc>
                <w:tcPr>
                  <w:tcW w:w="698"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925"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PM</w:t>
                  </w:r>
                  <w:r>
                    <w:rPr>
                      <w:rFonts w:eastAsiaTheme="minorEastAsia"/>
                      <w:color w:val="000000" w:themeColor="text1"/>
                      <w:vertAlign w:val="subscript"/>
                      <w14:textFill>
                        <w14:solidFill>
                          <w14:schemeClr w14:val="tx1"/>
                        </w14:solidFill>
                      </w14:textFill>
                    </w:rPr>
                    <w:t>10</w:t>
                  </w:r>
                </w:p>
              </w:tc>
              <w:tc>
                <w:tcPr>
                  <w:tcW w:w="1285" w:type="pct"/>
                  <w:vMerge w:val="continue"/>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p>
              </w:tc>
              <w:tc>
                <w:tcPr>
                  <w:tcW w:w="740"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15</w:t>
                  </w:r>
                </w:p>
              </w:tc>
              <w:tc>
                <w:tcPr>
                  <w:tcW w:w="61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40</w:t>
                  </w:r>
                </w:p>
              </w:tc>
              <w:tc>
                <w:tcPr>
                  <w:tcW w:w="74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37.5</w:t>
                  </w:r>
                </w:p>
              </w:tc>
              <w:tc>
                <w:tcPr>
                  <w:tcW w:w="698"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925"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PM</w:t>
                  </w:r>
                  <w:r>
                    <w:rPr>
                      <w:rFonts w:eastAsiaTheme="minorEastAsia"/>
                      <w:color w:val="000000" w:themeColor="text1"/>
                      <w:vertAlign w:val="subscript"/>
                      <w14:textFill>
                        <w14:solidFill>
                          <w14:schemeClr w14:val="tx1"/>
                        </w14:solidFill>
                      </w14:textFill>
                    </w:rPr>
                    <w:t>2.5</w:t>
                  </w:r>
                </w:p>
              </w:tc>
              <w:tc>
                <w:tcPr>
                  <w:tcW w:w="1285" w:type="pct"/>
                  <w:vMerge w:val="continue"/>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p>
              </w:tc>
              <w:tc>
                <w:tcPr>
                  <w:tcW w:w="740"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w:t>
                  </w:r>
                </w:p>
              </w:tc>
              <w:tc>
                <w:tcPr>
                  <w:tcW w:w="61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15</w:t>
                  </w:r>
                </w:p>
              </w:tc>
              <w:tc>
                <w:tcPr>
                  <w:tcW w:w="74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53.33</w:t>
                  </w:r>
                </w:p>
              </w:tc>
              <w:tc>
                <w:tcPr>
                  <w:tcW w:w="698"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925"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臭氧</w:t>
                  </w:r>
                </w:p>
              </w:tc>
              <w:tc>
                <w:tcPr>
                  <w:tcW w:w="1285"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日最大8小时平均浓度μg/m</w:t>
                  </w:r>
                  <w:r>
                    <w:rPr>
                      <w:rFonts w:eastAsiaTheme="minorEastAsia"/>
                      <w:color w:val="000000" w:themeColor="text1"/>
                      <w:vertAlign w:val="superscript"/>
                      <w14:textFill>
                        <w14:solidFill>
                          <w14:schemeClr w14:val="tx1"/>
                        </w14:solidFill>
                      </w14:textFill>
                    </w:rPr>
                    <w:t>3</w:t>
                  </w:r>
                </w:p>
              </w:tc>
              <w:tc>
                <w:tcPr>
                  <w:tcW w:w="740"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104</w:t>
                  </w:r>
                </w:p>
              </w:tc>
              <w:tc>
                <w:tcPr>
                  <w:tcW w:w="61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100</w:t>
                  </w:r>
                </w:p>
              </w:tc>
              <w:tc>
                <w:tcPr>
                  <w:tcW w:w="74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104.00</w:t>
                  </w:r>
                </w:p>
              </w:tc>
              <w:tc>
                <w:tcPr>
                  <w:tcW w:w="698"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不达标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5"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CO</w:t>
                  </w:r>
                </w:p>
              </w:tc>
              <w:tc>
                <w:tcPr>
                  <w:tcW w:w="1285"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24小时平均浓度mg/m</w:t>
                  </w:r>
                  <w:r>
                    <w:rPr>
                      <w:rFonts w:eastAsiaTheme="minorEastAsia"/>
                      <w:color w:val="000000" w:themeColor="text1"/>
                      <w:vertAlign w:val="superscript"/>
                      <w14:textFill>
                        <w14:solidFill>
                          <w14:schemeClr w14:val="tx1"/>
                        </w14:solidFill>
                      </w14:textFill>
                    </w:rPr>
                    <w:t>3</w:t>
                  </w:r>
                </w:p>
              </w:tc>
              <w:tc>
                <w:tcPr>
                  <w:tcW w:w="740"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0.2</w:t>
                  </w:r>
                </w:p>
              </w:tc>
              <w:tc>
                <w:tcPr>
                  <w:tcW w:w="61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w:t>
                  </w:r>
                </w:p>
              </w:tc>
              <w:tc>
                <w:tcPr>
                  <w:tcW w:w="741"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5.00</w:t>
                  </w:r>
                </w:p>
              </w:tc>
              <w:tc>
                <w:tcPr>
                  <w:tcW w:w="698" w:type="pct"/>
                  <w:vAlign w:val="center"/>
                </w:tcPr>
                <w:p>
                  <w:pPr>
                    <w:pStyle w:val="89"/>
                    <w:spacing w:before="0" w:beforeLines="0" w:after="0" w:afterLines="0"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达标</w:t>
                  </w:r>
                </w:p>
              </w:tc>
            </w:tr>
          </w:tbl>
          <w:p>
            <w:pPr>
              <w:pStyle w:val="78"/>
              <w:ind w:firstLine="480"/>
              <w:rPr>
                <w:rFonts w:hAnsi="Times New Roman" w:eastAsiaTheme="minorEastAsia"/>
                <w:color w:val="000000" w:themeColor="text1"/>
                <w:lang w:bidi="en-US"/>
                <w14:textFill>
                  <w14:solidFill>
                    <w14:schemeClr w14:val="tx1"/>
                  </w14:solidFill>
                </w14:textFill>
              </w:rPr>
            </w:pPr>
            <w:r>
              <w:rPr>
                <w:rFonts w:hAnsi="Times New Roman" w:eastAsiaTheme="minorEastAsia"/>
                <w:color w:val="000000" w:themeColor="text1"/>
                <w:lang w:bidi="en-US"/>
                <w14:textFill>
                  <w14:solidFill>
                    <w14:schemeClr w14:val="tx1"/>
                  </w14:solidFill>
                </w14:textFill>
              </w:rPr>
              <w:t>由上表可知，项目所在区域5项常规污染物SO</w:t>
            </w:r>
            <w:r>
              <w:rPr>
                <w:rFonts w:hAnsi="Times New Roman" w:eastAsiaTheme="minorEastAsia"/>
                <w:color w:val="000000" w:themeColor="text1"/>
                <w:vertAlign w:val="subscript"/>
                <w:lang w:bidi="en-US"/>
                <w14:textFill>
                  <w14:solidFill>
                    <w14:schemeClr w14:val="tx1"/>
                  </w14:solidFill>
                </w14:textFill>
              </w:rPr>
              <w:t>2</w:t>
            </w:r>
            <w:r>
              <w:rPr>
                <w:rFonts w:hAnsi="Times New Roman" w:eastAsiaTheme="minorEastAsia"/>
                <w:color w:val="000000" w:themeColor="text1"/>
                <w:lang w:bidi="en-US"/>
                <w14:textFill>
                  <w14:solidFill>
                    <w14:schemeClr w14:val="tx1"/>
                  </w14:solidFill>
                </w14:textFill>
              </w:rPr>
              <w:t>、NO</w:t>
            </w:r>
            <w:r>
              <w:rPr>
                <w:rFonts w:hAnsi="Times New Roman" w:eastAsiaTheme="minorEastAsia"/>
                <w:color w:val="000000" w:themeColor="text1"/>
                <w:vertAlign w:val="subscript"/>
                <w:lang w:bidi="en-US"/>
                <w14:textFill>
                  <w14:solidFill>
                    <w14:schemeClr w14:val="tx1"/>
                  </w14:solidFill>
                </w14:textFill>
              </w:rPr>
              <w:t>2</w:t>
            </w:r>
            <w:r>
              <w:rPr>
                <w:rFonts w:hAnsi="Times New Roman" w:eastAsiaTheme="minorEastAsia"/>
                <w:color w:val="000000" w:themeColor="text1"/>
                <w:lang w:bidi="en-US"/>
                <w14:textFill>
                  <w14:solidFill>
                    <w14:schemeClr w14:val="tx1"/>
                  </w14:solidFill>
                </w14:textFill>
              </w:rPr>
              <w:t>、CO、PM</w:t>
            </w:r>
            <w:r>
              <w:rPr>
                <w:rFonts w:hAnsi="Times New Roman" w:eastAsiaTheme="minorEastAsia"/>
                <w:color w:val="000000" w:themeColor="text1"/>
                <w:vertAlign w:val="subscript"/>
                <w:lang w:bidi="en-US"/>
                <w14:textFill>
                  <w14:solidFill>
                    <w14:schemeClr w14:val="tx1"/>
                  </w14:solidFill>
                </w14:textFill>
              </w:rPr>
              <w:t>2.5</w:t>
            </w:r>
            <w:r>
              <w:rPr>
                <w:rFonts w:hAnsi="Times New Roman" w:eastAsiaTheme="minorEastAsia"/>
                <w:color w:val="000000" w:themeColor="text1"/>
                <w:lang w:bidi="en-US"/>
                <w14:textFill>
                  <w14:solidFill>
                    <w14:schemeClr w14:val="tx1"/>
                  </w14:solidFill>
                </w14:textFill>
              </w:rPr>
              <w:t>、PM</w:t>
            </w:r>
            <w:r>
              <w:rPr>
                <w:rFonts w:hAnsi="Times New Roman" w:eastAsiaTheme="minorEastAsia"/>
                <w:color w:val="000000" w:themeColor="text1"/>
                <w:vertAlign w:val="subscript"/>
                <w:lang w:bidi="en-US"/>
                <w14:textFill>
                  <w14:solidFill>
                    <w14:schemeClr w14:val="tx1"/>
                  </w14:solidFill>
                </w14:textFill>
              </w:rPr>
              <w:t>10</w:t>
            </w:r>
            <w:r>
              <w:rPr>
                <w:rFonts w:hAnsi="Times New Roman" w:eastAsiaTheme="minorEastAsia"/>
                <w:color w:val="000000" w:themeColor="text1"/>
                <w:lang w:bidi="en-US"/>
                <w14:textFill>
                  <w14:solidFill>
                    <w14:schemeClr w14:val="tx1"/>
                  </w14:solidFill>
                </w14:textFill>
              </w:rPr>
              <w:t>浓度均达标均满足《环境空气质量标准》（GB3095-2012）及其2018年修改单中一类标准要求，O</w:t>
            </w:r>
            <w:r>
              <w:rPr>
                <w:rFonts w:hAnsi="Times New Roman" w:eastAsiaTheme="minorEastAsia"/>
                <w:color w:val="000000" w:themeColor="text1"/>
                <w:vertAlign w:val="subscript"/>
                <w:lang w:bidi="en-US"/>
                <w14:textFill>
                  <w14:solidFill>
                    <w14:schemeClr w14:val="tx1"/>
                  </w14:solidFill>
                </w14:textFill>
              </w:rPr>
              <w:t>3</w:t>
            </w:r>
            <w:r>
              <w:rPr>
                <w:rFonts w:hAnsi="Times New Roman" w:eastAsiaTheme="minorEastAsia"/>
                <w:color w:val="000000" w:themeColor="text1"/>
                <w:lang w:bidi="en-US"/>
                <w14:textFill>
                  <w14:solidFill>
                    <w14:schemeClr w14:val="tx1"/>
                  </w14:solidFill>
                </w14:textFill>
              </w:rPr>
              <w:t>浓度不达标，项目所在地区域为不达标区。</w:t>
            </w:r>
          </w:p>
          <w:p>
            <w:pPr>
              <w:pStyle w:val="13"/>
              <w:spacing w:after="0"/>
              <w:ind w:firstLine="482"/>
              <w:rPr>
                <w:rFonts w:ascii="Times New Roman" w:hAnsi="Times New Roman" w:eastAsiaTheme="minorEastAsia"/>
                <w:b/>
                <w:bCs/>
                <w:color w:val="000000" w:themeColor="text1"/>
                <w14:textFill>
                  <w14:solidFill>
                    <w14:schemeClr w14:val="tx1"/>
                  </w14:solidFill>
                </w14:textFill>
              </w:rPr>
            </w:pPr>
            <w:r>
              <w:rPr>
                <w:rFonts w:ascii="Times New Roman" w:hAnsi="Times New Roman" w:eastAsiaTheme="minorEastAsia"/>
                <w:b/>
                <w:bCs/>
                <w:color w:val="000000" w:themeColor="text1"/>
                <w14:textFill>
                  <w14:solidFill>
                    <w14:schemeClr w14:val="tx1"/>
                  </w14:solidFill>
                </w14:textFill>
              </w:rPr>
              <w:t>2、地表水质量</w:t>
            </w:r>
          </w:p>
          <w:p>
            <w:pPr>
              <w:pStyle w:val="78"/>
              <w:ind w:firstLine="468"/>
              <w:rPr>
                <w:rFonts w:hAnsi="Times New Roman" w:eastAsiaTheme="minorEastAsia"/>
                <w:color w:val="000000" w:themeColor="text1"/>
                <w:spacing w:val="-3"/>
                <w14:textFill>
                  <w14:solidFill>
                    <w14:schemeClr w14:val="tx1"/>
                  </w14:solidFill>
                </w14:textFill>
              </w:rPr>
            </w:pPr>
            <w:r>
              <w:rPr>
                <w:rFonts w:hAnsi="Times New Roman" w:eastAsiaTheme="minorEastAsia"/>
                <w:color w:val="000000" w:themeColor="text1"/>
                <w:spacing w:val="-3"/>
                <w14:textFill>
                  <w14:solidFill>
                    <w14:schemeClr w14:val="tx1"/>
                  </w14:solidFill>
                </w14:textFill>
              </w:rPr>
              <w:t>本次评价采用阿坝州生态环境局发布的《2025年阿坝州生态环境状况公报》的地表水环境质量现状的有关数据及结论对本项目所在地区地表水环境质量现状进行说明。</w:t>
            </w:r>
          </w:p>
          <w:p>
            <w:pPr>
              <w:pStyle w:val="111"/>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2025年，全州共设监测断面41个：其中黄河流域10个，岷江流域12个，大渡河流域13个，嘉陵江流域5个，涪江流域1个。</w:t>
            </w:r>
          </w:p>
          <w:p>
            <w:pPr>
              <w:pStyle w:val="111"/>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全州水质：全州41个国省控监测断面，Ⅰ类断面2个，占比4.9%；Ⅱ类断面39个，占比95.1%。</w:t>
            </w:r>
          </w:p>
          <w:p>
            <w:pPr>
              <w:pStyle w:val="111"/>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黄河水系：水质优，10个监测断面中，Ⅱ类水质的断面10个，占100.0%。</w:t>
            </w:r>
          </w:p>
          <w:p>
            <w:pPr>
              <w:pStyle w:val="111"/>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岷江水系：水质优，12个监测断面中，Ⅰ类水质的断面1个，占 8.3%，Ⅱ类水质的断面11个，占 91.7%。</w:t>
            </w:r>
          </w:p>
          <w:p>
            <w:pPr>
              <w:pStyle w:val="111"/>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大渡河水系：水质优，13个监测断面中，Ⅱ类水质的断面13个，占 100.00%。</w:t>
            </w:r>
          </w:p>
          <w:p>
            <w:pPr>
              <w:pStyle w:val="111"/>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嘉陵江水系：水质优，5个监测断面中，Ⅰ类水质的断面1个，占20.0%，Ⅱ类水质的断面1个，占 80.0%。</w:t>
            </w:r>
          </w:p>
          <w:p>
            <w:pPr>
              <w:pStyle w:val="111"/>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涪江水系：水质优，1个监测断面中为Ⅱ类水质的断面。</w:t>
            </w:r>
          </w:p>
          <w:p>
            <w:pPr>
              <w:pStyle w:val="78"/>
              <w:ind w:firstLine="468"/>
              <w:rPr>
                <w:rFonts w:hAnsi="Times New Roman" w:eastAsiaTheme="minorEastAsia"/>
                <w:color w:val="000000" w:themeColor="text1"/>
                <w:spacing w:val="-3"/>
                <w14:textFill>
                  <w14:solidFill>
                    <w14:schemeClr w14:val="tx1"/>
                  </w14:solidFill>
                </w14:textFill>
              </w:rPr>
            </w:pPr>
            <w:r>
              <w:rPr>
                <w:rFonts w:hAnsi="Times New Roman" w:eastAsiaTheme="minorEastAsia"/>
                <w:color w:val="000000" w:themeColor="text1"/>
                <w:spacing w:val="-3"/>
                <w14:textFill>
                  <w14:solidFill>
                    <w14:schemeClr w14:val="tx1"/>
                  </w14:solidFill>
                </w14:textFill>
              </w:rPr>
              <w:t>本次拟建工程位于卡龙镇，为小黑水河干流，小黑水河是黑水河右岸一级支流，岷江二级支流。</w:t>
            </w:r>
            <w:r>
              <w:rPr>
                <w:rFonts w:hAnsi="Times New Roman" w:eastAsiaTheme="minorEastAsia"/>
                <w:color w:val="000000" w:themeColor="text1"/>
                <w14:textFill>
                  <w14:solidFill>
                    <w14:schemeClr w14:val="tx1"/>
                  </w14:solidFill>
                </w14:textFill>
              </w:rPr>
              <w:t>因此，项目所在区域地表水属于达标区。</w:t>
            </w:r>
          </w:p>
          <w:p>
            <w:pPr>
              <w:pStyle w:val="13"/>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为详细掌握区域内地表水环境质量现状情况，本项目引用四川锡水金山环保科技有限公司于2025年5月25-5月27日对小黑水河地表水监测。</w:t>
            </w:r>
          </w:p>
          <w:p>
            <w:pPr>
              <w:pStyle w:val="13"/>
              <w:spacing w:after="0"/>
              <w:ind w:firstLine="470"/>
              <w:rPr>
                <w:rFonts w:ascii="Times New Roman" w:hAnsi="Times New Roman" w:eastAsiaTheme="minorEastAsia"/>
                <w:b/>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（1）</w:t>
            </w:r>
            <w:r>
              <w:rPr>
                <w:rFonts w:ascii="Times New Roman" w:hAnsi="Times New Roman" w:eastAsiaTheme="minorEastAsia"/>
                <w:b/>
                <w:color w:val="000000" w:themeColor="text1"/>
                <w:spacing w:val="-3"/>
                <w14:textFill>
                  <w14:solidFill>
                    <w14:schemeClr w14:val="tx1"/>
                  </w14:solidFill>
                </w14:textFill>
              </w:rPr>
              <w:t>监测指标、监测点位及监测情况</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监测指标、监测点位及监测情况见下表。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表3-6 项目地表水引用监测点位</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46"/>
              <w:gridCol w:w="2018"/>
              <w:gridCol w:w="2949"/>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3" w:hRule="atLeast"/>
                <w:jc w:val="center"/>
              </w:trPr>
              <w:tc>
                <w:tcPr>
                  <w:tcW w:w="919"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lang w:bidi="ar"/>
                      <w14:textFill>
                        <w14:solidFill>
                          <w14:schemeClr w14:val="tx1"/>
                        </w14:solidFill>
                      </w14:textFill>
                    </w:rPr>
                    <w:t>类别</w:t>
                  </w:r>
                </w:p>
              </w:tc>
              <w:tc>
                <w:tcPr>
                  <w:tcW w:w="1960" w:type="dxa"/>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
                      <w:color w:val="000000" w:themeColor="text1"/>
                      <w:sz w:val="21"/>
                      <w:szCs w:val="21"/>
                      <w:lang w:bidi="ar"/>
                      <w14:textFill>
                        <w14:solidFill>
                          <w14:schemeClr w14:val="tx1"/>
                        </w14:solidFill>
                      </w14:textFill>
                    </w:rPr>
                    <w:t>检测点位</w:t>
                  </w:r>
                </w:p>
              </w:tc>
              <w:tc>
                <w:tcPr>
                  <w:tcW w:w="2865" w:type="dxa"/>
                  <w:vAlign w:val="center"/>
                </w:tcPr>
                <w:p>
                  <w:pPr>
                    <w:widowControl/>
                    <w:spacing w:line="240" w:lineRule="auto"/>
                    <w:ind w:firstLine="0" w:firstLineChars="0"/>
                    <w:jc w:val="center"/>
                    <w:rPr>
                      <w:rFonts w:eastAsiaTheme="minorEastAsia"/>
                      <w:b/>
                      <w:color w:val="000000" w:themeColor="text1"/>
                      <w:sz w:val="21"/>
                      <w:szCs w:val="21"/>
                      <w:lang w:bidi="ar"/>
                      <w14:textFill>
                        <w14:solidFill>
                          <w14:schemeClr w14:val="tx1"/>
                        </w14:solidFill>
                      </w14:textFill>
                    </w:rPr>
                  </w:pPr>
                  <w:r>
                    <w:rPr>
                      <w:rFonts w:eastAsiaTheme="minorEastAsia"/>
                      <w:b/>
                      <w:color w:val="000000" w:themeColor="text1"/>
                      <w:sz w:val="21"/>
                      <w:szCs w:val="21"/>
                      <w:lang w:bidi="ar"/>
                      <w14:textFill>
                        <w14:solidFill>
                          <w14:schemeClr w14:val="tx1"/>
                        </w14:solidFill>
                      </w14:textFill>
                    </w:rPr>
                    <w:t>监测指标</w:t>
                  </w:r>
                </w:p>
              </w:tc>
              <w:tc>
                <w:tcPr>
                  <w:tcW w:w="1495" w:type="dxa"/>
                  <w:vAlign w:val="center"/>
                </w:tcPr>
                <w:p>
                  <w:pPr>
                    <w:widowControl/>
                    <w:spacing w:line="240" w:lineRule="auto"/>
                    <w:ind w:firstLine="0" w:firstLineChars="0"/>
                    <w:jc w:val="center"/>
                    <w:rPr>
                      <w:rFonts w:eastAsiaTheme="minorEastAsia"/>
                      <w:b/>
                      <w:color w:val="000000" w:themeColor="text1"/>
                      <w:sz w:val="21"/>
                      <w:szCs w:val="21"/>
                      <w:lang w:bidi="ar"/>
                      <w14:textFill>
                        <w14:solidFill>
                          <w14:schemeClr w14:val="tx1"/>
                        </w14:solidFill>
                      </w14:textFill>
                    </w:rPr>
                  </w:pPr>
                  <w:r>
                    <w:rPr>
                      <w:rFonts w:eastAsiaTheme="minorEastAsia"/>
                      <w:b/>
                      <w:color w:val="000000" w:themeColor="text1"/>
                      <w:sz w:val="21"/>
                      <w:szCs w:val="21"/>
                      <w:lang w:bidi="ar"/>
                      <w14:textFill>
                        <w14:solidFill>
                          <w14:schemeClr w14:val="tx1"/>
                        </w14:solidFill>
                      </w14:textFill>
                    </w:rP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16" w:hRule="atLeast"/>
                <w:jc w:val="center"/>
              </w:trPr>
              <w:tc>
                <w:tcPr>
                  <w:tcW w:w="919"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地表水</w:t>
                  </w:r>
                </w:p>
              </w:tc>
              <w:tc>
                <w:tcPr>
                  <w:tcW w:w="1960" w:type="dxa"/>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W1工程上游500米</w:t>
                  </w:r>
                </w:p>
              </w:tc>
              <w:tc>
                <w:tcPr>
                  <w:tcW w:w="2865" w:type="dxa"/>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pH、溶解氧、水温、悬浮物、化学需氧量、高锰酸盐指数、五日生化需氧量、氨氮、总磷、总氮、石油类、粪大肠菌群。</w:t>
                  </w:r>
                </w:p>
              </w:tc>
              <w:tc>
                <w:tcPr>
                  <w:tcW w:w="1495" w:type="dxa"/>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监测3天，1次/天</w:t>
                  </w:r>
                </w:p>
              </w:tc>
            </w:tr>
          </w:tbl>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（2）监测结果</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地表水监测结果见下表。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 xml:space="preserve">表3-7 地表水引用监测结果统计表 </w:t>
            </w:r>
          </w:p>
          <w:tbl>
            <w:tblPr>
              <w:tblStyle w:val="30"/>
              <w:tblW w:w="7217" w:type="dxa"/>
              <w:jc w:val="center"/>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114"/>
              <w:gridCol w:w="1546"/>
              <w:gridCol w:w="681"/>
              <w:gridCol w:w="945"/>
              <w:gridCol w:w="945"/>
              <w:gridCol w:w="947"/>
              <w:gridCol w:w="1039"/>
            </w:tblGrid>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tblHeader/>
                <w:jc w:val="center"/>
              </w:trPr>
              <w:tc>
                <w:tcPr>
                  <w:tcW w:w="1114" w:type="dxa"/>
                  <w:vMerge w:val="restar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检测点位</w:t>
                  </w:r>
                </w:p>
              </w:tc>
              <w:tc>
                <w:tcPr>
                  <w:tcW w:w="1546" w:type="dxa"/>
                  <w:vMerge w:val="restar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检测项目</w:t>
                  </w:r>
                </w:p>
              </w:tc>
              <w:tc>
                <w:tcPr>
                  <w:tcW w:w="681" w:type="dxa"/>
                  <w:vMerge w:val="restar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单位</w:t>
                  </w:r>
                </w:p>
              </w:tc>
              <w:tc>
                <w:tcPr>
                  <w:tcW w:w="2837" w:type="dxa"/>
                  <w:gridSpan w:val="3"/>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检测结果</w:t>
                  </w:r>
                </w:p>
              </w:tc>
              <w:tc>
                <w:tcPr>
                  <w:tcW w:w="1039" w:type="dxa"/>
                  <w:vMerge w:val="restar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标准限值</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tblHeader/>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Merge w:val="continue"/>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681" w:type="dxa"/>
                  <w:vMerge w:val="continue"/>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p>
              </w:tc>
              <w:tc>
                <w:tcPr>
                  <w:tcW w:w="945" w:type="dxa"/>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5月25日</w:t>
                  </w:r>
                </w:p>
              </w:tc>
              <w:tc>
                <w:tcPr>
                  <w:tcW w:w="945" w:type="dxa"/>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5月26日</w:t>
                  </w:r>
                </w:p>
              </w:tc>
              <w:tc>
                <w:tcPr>
                  <w:tcW w:w="947" w:type="dxa"/>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5月27日</w:t>
                  </w:r>
                </w:p>
              </w:tc>
              <w:tc>
                <w:tcPr>
                  <w:tcW w:w="1039" w:type="dxa"/>
                  <w:vMerge w:val="continue"/>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14" w:type="dxa"/>
                  <w:vMerge w:val="restar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 W1工程</w:t>
                  </w:r>
                </w:p>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上游500m</w:t>
                  </w:r>
                </w:p>
              </w:tc>
              <w:tc>
                <w:tcPr>
                  <w:tcW w:w="1546"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pH</w:t>
                  </w:r>
                </w:p>
              </w:tc>
              <w:tc>
                <w:tcPr>
                  <w:tcW w:w="681"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无量纲</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7.8</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7.4</w:t>
                  </w:r>
                </w:p>
              </w:tc>
              <w:tc>
                <w:tcPr>
                  <w:tcW w:w="947"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7.6</w:t>
                  </w:r>
                </w:p>
              </w:tc>
              <w:tc>
                <w:tcPr>
                  <w:tcW w:w="1039"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6-9</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溶解氧</w:t>
                  </w:r>
                </w:p>
              </w:tc>
              <w:tc>
                <w:tcPr>
                  <w:tcW w:w="681"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mg/L</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6.5</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6.9</w:t>
                  </w:r>
                </w:p>
              </w:tc>
              <w:tc>
                <w:tcPr>
                  <w:tcW w:w="947"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6.8</w:t>
                  </w:r>
                </w:p>
              </w:tc>
              <w:tc>
                <w:tcPr>
                  <w:tcW w:w="1039"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≥6</w:t>
                  </w:r>
                  <w:r>
                    <w:rPr>
                      <w:rFonts w:eastAsiaTheme="minorEastAsia"/>
                      <w:bCs/>
                      <w:color w:val="000000" w:themeColor="text1"/>
                      <w:sz w:val="21"/>
                      <w:szCs w:val="21"/>
                      <w:lang w:bidi="ar"/>
                      <w14:textFill>
                        <w14:solidFill>
                          <w14:schemeClr w14:val="tx1"/>
                        </w14:solidFill>
                      </w14:textFill>
                    </w:rPr>
                    <w:t>mg/L</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水温</w:t>
                  </w:r>
                </w:p>
              </w:tc>
              <w:tc>
                <w:tcPr>
                  <w:tcW w:w="681"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8.7</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9.2</w:t>
                  </w:r>
                </w:p>
              </w:tc>
              <w:tc>
                <w:tcPr>
                  <w:tcW w:w="947"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8.4</w:t>
                  </w:r>
                </w:p>
              </w:tc>
              <w:tc>
                <w:tcPr>
                  <w:tcW w:w="1039"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悬浮物</w:t>
                  </w:r>
                </w:p>
              </w:tc>
              <w:tc>
                <w:tcPr>
                  <w:tcW w:w="681"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mg/L</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9</w:t>
                  </w:r>
                </w:p>
              </w:tc>
              <w:tc>
                <w:tcPr>
                  <w:tcW w:w="947"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w:t>
                  </w:r>
                </w:p>
              </w:tc>
              <w:tc>
                <w:tcPr>
                  <w:tcW w:w="1039"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化学需氧量</w:t>
                  </w:r>
                </w:p>
              </w:tc>
              <w:tc>
                <w:tcPr>
                  <w:tcW w:w="681"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mg/L</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13</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w:t>
                  </w:r>
                </w:p>
              </w:tc>
              <w:tc>
                <w:tcPr>
                  <w:tcW w:w="947"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11</w:t>
                  </w:r>
                </w:p>
              </w:tc>
              <w:tc>
                <w:tcPr>
                  <w:tcW w:w="1039"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≤15</w:t>
                  </w:r>
                  <w:r>
                    <w:rPr>
                      <w:rFonts w:eastAsiaTheme="minorEastAsia"/>
                      <w:bCs/>
                      <w:color w:val="000000" w:themeColor="text1"/>
                      <w:sz w:val="21"/>
                      <w:szCs w:val="21"/>
                      <w:lang w:bidi="ar"/>
                      <w14:textFill>
                        <w14:solidFill>
                          <w14:schemeClr w14:val="tx1"/>
                        </w14:solidFill>
                      </w14:textFill>
                    </w:rPr>
                    <w:t>mg/L</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五日生化需氧量</w:t>
                  </w:r>
                </w:p>
              </w:tc>
              <w:tc>
                <w:tcPr>
                  <w:tcW w:w="681"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mg/L</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2.3</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w:t>
                  </w:r>
                </w:p>
              </w:tc>
              <w:tc>
                <w:tcPr>
                  <w:tcW w:w="947"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2.1</w:t>
                  </w:r>
                </w:p>
              </w:tc>
              <w:tc>
                <w:tcPr>
                  <w:tcW w:w="1039" w:type="dxa"/>
                  <w:vAlign w:val="center"/>
                </w:tcPr>
                <w:p>
                  <w:pPr>
                    <w:spacing w:line="240" w:lineRule="auto"/>
                    <w:ind w:firstLine="0" w:firstLineChars="0"/>
                    <w:jc w:val="center"/>
                    <w:rPr>
                      <w:rFonts w:eastAsiaTheme="minorEastAsia"/>
                      <w:color w:val="000000" w:themeColor="text1"/>
                      <w:kern w:val="0"/>
                      <w:sz w:val="21"/>
                      <w:szCs w:val="21"/>
                      <w:lang w:bidi="ar"/>
                      <w14:textFill>
                        <w14:solidFill>
                          <w14:schemeClr w14:val="tx1"/>
                        </w14:solidFill>
                      </w14:textFill>
                    </w:rPr>
                  </w:pPr>
                  <w:r>
                    <w:rPr>
                      <w:rFonts w:eastAsiaTheme="minorEastAsia"/>
                      <w:bCs/>
                      <w:color w:val="000000" w:themeColor="text1"/>
                      <w:sz w:val="21"/>
                      <w:szCs w:val="21"/>
                      <w14:textFill>
                        <w14:solidFill>
                          <w14:schemeClr w14:val="tx1"/>
                        </w14:solidFill>
                      </w14:textFill>
                    </w:rPr>
                    <w:t>≤3</w:t>
                  </w:r>
                  <w:r>
                    <w:rPr>
                      <w:rFonts w:eastAsiaTheme="minorEastAsia"/>
                      <w:bCs/>
                      <w:color w:val="000000" w:themeColor="text1"/>
                      <w:sz w:val="21"/>
                      <w:szCs w:val="21"/>
                      <w:lang w:bidi="ar"/>
                      <w14:textFill>
                        <w14:solidFill>
                          <w14:schemeClr w14:val="tx1"/>
                        </w14:solidFill>
                      </w14:textFill>
                    </w:rPr>
                    <w:t>mg/L</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氨氮</w:t>
                  </w:r>
                </w:p>
              </w:tc>
              <w:tc>
                <w:tcPr>
                  <w:tcW w:w="681"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mg/L</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0.040</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0.050</w:t>
                  </w:r>
                </w:p>
              </w:tc>
              <w:tc>
                <w:tcPr>
                  <w:tcW w:w="947"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0.045</w:t>
                  </w:r>
                </w:p>
              </w:tc>
              <w:tc>
                <w:tcPr>
                  <w:tcW w:w="1039"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color w:val="000000" w:themeColor="text1"/>
                      <w:kern w:val="0"/>
                      <w:sz w:val="21"/>
                      <w:szCs w:val="21"/>
                      <w:lang w:bidi="ar"/>
                      <w14:textFill>
                        <w14:solidFill>
                          <w14:schemeClr w14:val="tx1"/>
                        </w14:solidFill>
                      </w14:textFill>
                    </w:rPr>
                    <w:t>≤0.5</w:t>
                  </w:r>
                  <w:r>
                    <w:rPr>
                      <w:rFonts w:eastAsiaTheme="minorEastAsia"/>
                      <w:bCs/>
                      <w:color w:val="000000" w:themeColor="text1"/>
                      <w:sz w:val="21"/>
                      <w:szCs w:val="21"/>
                      <w:lang w:bidi="ar"/>
                      <w14:textFill>
                        <w14:solidFill>
                          <w14:schemeClr w14:val="tx1"/>
                        </w14:solidFill>
                      </w14:textFill>
                    </w:rPr>
                    <w:t>mg/L</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Align w:val="center"/>
                </w:tcPr>
                <w:p>
                  <w:pPr>
                    <w:tabs>
                      <w:tab w:val="left" w:pos="1890"/>
                    </w:tabs>
                    <w:spacing w:line="240" w:lineRule="auto"/>
                    <w:ind w:firstLine="0" w:firstLineChars="0"/>
                    <w:jc w:val="center"/>
                    <w:rPr>
                      <w:rFonts w:eastAsiaTheme="minorEastAsia"/>
                      <w:bCs/>
                      <w:color w:val="000000" w:themeColor="text1"/>
                      <w:sz w:val="21"/>
                      <w:szCs w:val="21"/>
                      <w:lang w:bidi="ar"/>
                      <w14:textFill>
                        <w14:solidFill>
                          <w14:schemeClr w14:val="tx1"/>
                        </w14:solidFill>
                      </w14:textFill>
                    </w:rPr>
                  </w:pPr>
                  <w:r>
                    <w:rPr>
                      <w:rFonts w:eastAsiaTheme="minorEastAsia"/>
                      <w:bCs/>
                      <w:color w:val="000000" w:themeColor="text1"/>
                      <w:sz w:val="21"/>
                      <w:szCs w:val="21"/>
                      <w:lang w:bidi="ar"/>
                      <w14:textFill>
                        <w14:solidFill>
                          <w14:schemeClr w14:val="tx1"/>
                        </w14:solidFill>
                      </w14:textFill>
                    </w:rPr>
                    <w:t>总磷</w:t>
                  </w:r>
                </w:p>
              </w:tc>
              <w:tc>
                <w:tcPr>
                  <w:tcW w:w="681"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mg/L</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0.02</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0.01</w:t>
                  </w:r>
                </w:p>
              </w:tc>
              <w:tc>
                <w:tcPr>
                  <w:tcW w:w="947"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0.02</w:t>
                  </w:r>
                </w:p>
              </w:tc>
              <w:tc>
                <w:tcPr>
                  <w:tcW w:w="1039" w:type="dxa"/>
                  <w:vAlign w:val="center"/>
                </w:tcPr>
                <w:p>
                  <w:pPr>
                    <w:spacing w:line="240" w:lineRule="auto"/>
                    <w:ind w:firstLine="0" w:firstLineChars="0"/>
                    <w:jc w:val="center"/>
                    <w:rPr>
                      <w:rFonts w:eastAsiaTheme="minorEastAsia"/>
                      <w:color w:val="000000" w:themeColor="text1"/>
                      <w:kern w:val="0"/>
                      <w:sz w:val="21"/>
                      <w:szCs w:val="21"/>
                      <w:lang w:bidi="ar"/>
                      <w14:textFill>
                        <w14:solidFill>
                          <w14:schemeClr w14:val="tx1"/>
                        </w14:solidFill>
                      </w14:textFill>
                    </w:rPr>
                  </w:pPr>
                  <w:r>
                    <w:rPr>
                      <w:rFonts w:eastAsiaTheme="minorEastAsia"/>
                      <w:color w:val="000000" w:themeColor="text1"/>
                      <w:kern w:val="0"/>
                      <w:sz w:val="21"/>
                      <w:szCs w:val="21"/>
                      <w:lang w:bidi="ar"/>
                      <w14:textFill>
                        <w14:solidFill>
                          <w14:schemeClr w14:val="tx1"/>
                        </w14:solidFill>
                      </w14:textFill>
                    </w:rPr>
                    <w:t>≤0.1</w:t>
                  </w:r>
                  <w:r>
                    <w:rPr>
                      <w:rFonts w:eastAsiaTheme="minorEastAsia"/>
                      <w:bCs/>
                      <w:color w:val="000000" w:themeColor="text1"/>
                      <w:sz w:val="21"/>
                      <w:szCs w:val="21"/>
                      <w:lang w:bidi="ar"/>
                      <w14:textFill>
                        <w14:solidFill>
                          <w14:schemeClr w14:val="tx1"/>
                        </w14:solidFill>
                      </w14:textFill>
                    </w:rPr>
                    <w:t>mg/L</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Align w:val="center"/>
                </w:tcPr>
                <w:p>
                  <w:pPr>
                    <w:tabs>
                      <w:tab w:val="left" w:pos="1890"/>
                    </w:tabs>
                    <w:spacing w:line="240" w:lineRule="auto"/>
                    <w:ind w:firstLine="0" w:firstLineChars="0"/>
                    <w:jc w:val="center"/>
                    <w:rPr>
                      <w:rFonts w:eastAsiaTheme="minorEastAsia"/>
                      <w:bCs/>
                      <w:color w:val="000000" w:themeColor="text1"/>
                      <w:sz w:val="21"/>
                      <w:szCs w:val="21"/>
                      <w:lang w:bidi="ar"/>
                      <w14:textFill>
                        <w14:solidFill>
                          <w14:schemeClr w14:val="tx1"/>
                        </w14:solidFill>
                      </w14:textFill>
                    </w:rPr>
                  </w:pPr>
                  <w:r>
                    <w:rPr>
                      <w:rFonts w:eastAsiaTheme="minorEastAsia"/>
                      <w:bCs/>
                      <w:color w:val="000000" w:themeColor="text1"/>
                      <w:sz w:val="21"/>
                      <w:szCs w:val="21"/>
                      <w:lang w:bidi="ar"/>
                      <w14:textFill>
                        <w14:solidFill>
                          <w14:schemeClr w14:val="tx1"/>
                        </w14:solidFill>
                      </w14:textFill>
                    </w:rPr>
                    <w:t>总氮</w:t>
                  </w:r>
                </w:p>
              </w:tc>
              <w:tc>
                <w:tcPr>
                  <w:tcW w:w="681"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mg/L</w:t>
                  </w:r>
                </w:p>
              </w:tc>
              <w:tc>
                <w:tcPr>
                  <w:tcW w:w="945"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0.64</w:t>
                  </w:r>
                </w:p>
              </w:tc>
              <w:tc>
                <w:tcPr>
                  <w:tcW w:w="945"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0.76</w:t>
                  </w:r>
                </w:p>
              </w:tc>
              <w:tc>
                <w:tcPr>
                  <w:tcW w:w="947"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0.58</w:t>
                  </w:r>
                </w:p>
              </w:tc>
              <w:tc>
                <w:tcPr>
                  <w:tcW w:w="1039" w:type="dxa"/>
                  <w:vAlign w:val="center"/>
                </w:tcPr>
                <w:p>
                  <w:pPr>
                    <w:spacing w:line="240" w:lineRule="auto"/>
                    <w:ind w:firstLine="0" w:firstLineChars="0"/>
                    <w:jc w:val="center"/>
                    <w:rPr>
                      <w:rFonts w:eastAsiaTheme="minorEastAsia"/>
                      <w:color w:val="000000" w:themeColor="text1"/>
                      <w:kern w:val="0"/>
                      <w:sz w:val="21"/>
                      <w:szCs w:val="21"/>
                      <w:lang w:bidi="ar"/>
                      <w14:textFill>
                        <w14:solidFill>
                          <w14:schemeClr w14:val="tx1"/>
                        </w14:solidFill>
                      </w14:textFill>
                    </w:rPr>
                  </w:pPr>
                  <w:r>
                    <w:rPr>
                      <w:rFonts w:eastAsiaTheme="minorEastAsia"/>
                      <w:color w:val="000000" w:themeColor="text1"/>
                      <w:kern w:val="0"/>
                      <w:sz w:val="21"/>
                      <w:szCs w:val="21"/>
                      <w:lang w:bidi="ar"/>
                      <w14:textFill>
                        <w14:solidFill>
                          <w14:schemeClr w14:val="tx1"/>
                        </w14:solidFill>
                      </w14:textFill>
                    </w:rPr>
                    <w:t>/</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石油类</w:t>
                  </w:r>
                </w:p>
              </w:tc>
              <w:tc>
                <w:tcPr>
                  <w:tcW w:w="681"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mg/L</w:t>
                  </w:r>
                </w:p>
              </w:tc>
              <w:tc>
                <w:tcPr>
                  <w:tcW w:w="945"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未检出</w:t>
                  </w:r>
                </w:p>
              </w:tc>
              <w:tc>
                <w:tcPr>
                  <w:tcW w:w="945"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未检出</w:t>
                  </w:r>
                </w:p>
              </w:tc>
              <w:tc>
                <w:tcPr>
                  <w:tcW w:w="947" w:type="dxa"/>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未检出</w:t>
                  </w:r>
                </w:p>
              </w:tc>
              <w:tc>
                <w:tcPr>
                  <w:tcW w:w="1039"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color w:val="000000" w:themeColor="text1"/>
                      <w:kern w:val="0"/>
                      <w:sz w:val="21"/>
                      <w:szCs w:val="21"/>
                      <w:lang w:bidi="ar"/>
                      <w14:textFill>
                        <w14:solidFill>
                          <w14:schemeClr w14:val="tx1"/>
                        </w14:solidFill>
                      </w14:textFill>
                    </w:rPr>
                    <w:t>≤0.05</w:t>
                  </w:r>
                  <w:r>
                    <w:rPr>
                      <w:rFonts w:eastAsiaTheme="minorEastAsia"/>
                      <w:bCs/>
                      <w:color w:val="000000" w:themeColor="text1"/>
                      <w:sz w:val="21"/>
                      <w:szCs w:val="21"/>
                      <w:lang w:bidi="ar"/>
                      <w14:textFill>
                        <w14:solidFill>
                          <w14:schemeClr w14:val="tx1"/>
                        </w14:solidFill>
                      </w14:textFill>
                    </w:rPr>
                    <w:t>mg/L</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1114" w:type="dxa"/>
                  <w:vMerge w:val="continue"/>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p>
              </w:tc>
              <w:tc>
                <w:tcPr>
                  <w:tcW w:w="1546"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粪大肠</w:t>
                  </w:r>
                </w:p>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菌群</w:t>
                  </w:r>
                </w:p>
              </w:tc>
              <w:tc>
                <w:tcPr>
                  <w:tcW w:w="681"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MPN/L</w:t>
                  </w:r>
                </w:p>
              </w:tc>
              <w:tc>
                <w:tcPr>
                  <w:tcW w:w="945" w:type="dxa"/>
                  <w:vAlign w:val="center"/>
                </w:tcPr>
                <w:p>
                  <w:pPr>
                    <w:tabs>
                      <w:tab w:val="left" w:pos="1890"/>
                    </w:tabs>
                    <w:spacing w:line="240" w:lineRule="auto"/>
                    <w:ind w:firstLine="0" w:firstLineChars="0"/>
                    <w:jc w:val="center"/>
                    <w:rPr>
                      <w:rFonts w:eastAsiaTheme="minorEastAsia"/>
                      <w:bCs/>
                      <w:color w:val="000000" w:themeColor="text1"/>
                      <w:sz w:val="21"/>
                      <w:szCs w:val="21"/>
                      <w:lang w:bidi="ar"/>
                      <w14:textFill>
                        <w14:solidFill>
                          <w14:schemeClr w14:val="tx1"/>
                        </w14:solidFill>
                      </w14:textFill>
                    </w:rPr>
                  </w:pPr>
                  <w:r>
                    <w:rPr>
                      <w:rFonts w:eastAsiaTheme="minorEastAsia"/>
                      <w:bCs/>
                      <w:color w:val="000000" w:themeColor="text1"/>
                      <w:sz w:val="21"/>
                      <w:szCs w:val="21"/>
                      <w:lang w:bidi="ar"/>
                      <w14:textFill>
                        <w14:solidFill>
                          <w14:schemeClr w14:val="tx1"/>
                        </w14:solidFill>
                      </w14:textFill>
                    </w:rPr>
                    <w:t>2.0×10</w:t>
                  </w:r>
                  <w:r>
                    <w:rPr>
                      <w:rFonts w:eastAsiaTheme="minorEastAsia"/>
                      <w:bCs/>
                      <w:color w:val="000000" w:themeColor="text1"/>
                      <w:sz w:val="21"/>
                      <w:szCs w:val="21"/>
                      <w:vertAlign w:val="superscript"/>
                      <w:lang w:bidi="ar"/>
                      <w14:textFill>
                        <w14:solidFill>
                          <w14:schemeClr w14:val="tx1"/>
                        </w14:solidFill>
                      </w14:textFill>
                    </w:rPr>
                    <w:t>2</w:t>
                  </w:r>
                </w:p>
              </w:tc>
              <w:tc>
                <w:tcPr>
                  <w:tcW w:w="945"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1.7</w:t>
                  </w:r>
                  <w:r>
                    <w:rPr>
                      <w:rFonts w:eastAsiaTheme="minorEastAsia"/>
                      <w:bCs/>
                      <w:color w:val="000000" w:themeColor="text1"/>
                      <w:sz w:val="21"/>
                      <w:szCs w:val="21"/>
                      <w:lang w:bidi="ar"/>
                      <w14:textFill>
                        <w14:solidFill>
                          <w14:schemeClr w14:val="tx1"/>
                        </w14:solidFill>
                      </w14:textFill>
                    </w:rPr>
                    <w:t>×10</w:t>
                  </w:r>
                  <w:r>
                    <w:rPr>
                      <w:rFonts w:eastAsiaTheme="minorEastAsia"/>
                      <w:bCs/>
                      <w:color w:val="000000" w:themeColor="text1"/>
                      <w:sz w:val="21"/>
                      <w:szCs w:val="21"/>
                      <w:vertAlign w:val="superscript"/>
                      <w:lang w:bidi="ar"/>
                      <w14:textFill>
                        <w14:solidFill>
                          <w14:schemeClr w14:val="tx1"/>
                        </w14:solidFill>
                      </w14:textFill>
                    </w:rPr>
                    <w:t>2</w:t>
                  </w:r>
                </w:p>
              </w:tc>
              <w:tc>
                <w:tcPr>
                  <w:tcW w:w="947" w:type="dxa"/>
                  <w:vAlign w:val="center"/>
                </w:tcPr>
                <w:p>
                  <w:pPr>
                    <w:tabs>
                      <w:tab w:val="left" w:pos="1890"/>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2.4</w:t>
                  </w:r>
                  <w:r>
                    <w:rPr>
                      <w:rFonts w:eastAsiaTheme="minorEastAsia"/>
                      <w:bCs/>
                      <w:color w:val="000000" w:themeColor="text1"/>
                      <w:sz w:val="21"/>
                      <w:szCs w:val="21"/>
                      <w:lang w:bidi="ar"/>
                      <w14:textFill>
                        <w14:solidFill>
                          <w14:schemeClr w14:val="tx1"/>
                        </w14:solidFill>
                      </w14:textFill>
                    </w:rPr>
                    <w:t>×10</w:t>
                  </w:r>
                  <w:r>
                    <w:rPr>
                      <w:rFonts w:eastAsiaTheme="minorEastAsia"/>
                      <w:bCs/>
                      <w:color w:val="000000" w:themeColor="text1"/>
                      <w:sz w:val="21"/>
                      <w:szCs w:val="21"/>
                      <w:vertAlign w:val="superscript"/>
                      <w:lang w:bidi="ar"/>
                      <w14:textFill>
                        <w14:solidFill>
                          <w14:schemeClr w14:val="tx1"/>
                        </w14:solidFill>
                      </w14:textFill>
                    </w:rPr>
                    <w:t>2</w:t>
                  </w:r>
                </w:p>
              </w:tc>
              <w:tc>
                <w:tcPr>
                  <w:tcW w:w="1039" w:type="dxa"/>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≤2000个/L</w:t>
                  </w:r>
                </w:p>
              </w:tc>
            </w:tr>
          </w:tbl>
          <w:p>
            <w:pPr>
              <w:spacing w:before="166" w:beforeLines="50"/>
              <w:ind w:firstLine="482"/>
              <w:rPr>
                <w:rFonts w:eastAsiaTheme="minorEastAsia"/>
                <w:b/>
                <w:color w:val="000000" w:themeColor="text1"/>
                <w:kern w:val="0"/>
                <w14:textFill>
                  <w14:solidFill>
                    <w14:schemeClr w14:val="tx1"/>
                  </w14:solidFill>
                </w14:textFill>
              </w:rPr>
            </w:pPr>
            <w:r>
              <w:rPr>
                <w:rFonts w:eastAsiaTheme="minorEastAsia"/>
                <w:b/>
                <w:color w:val="000000" w:themeColor="text1"/>
                <w:kern w:val="0"/>
                <w14:textFill>
                  <w14:solidFill>
                    <w14:schemeClr w14:val="tx1"/>
                  </w14:solidFill>
                </w14:textFill>
              </w:rPr>
              <w:t>（3）评价方法</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对于一般污染物：</w:t>
            </w:r>
          </w:p>
          <w:p>
            <w:pPr>
              <w:pStyle w:val="28"/>
              <w:spacing w:after="0"/>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object>
                <v:shape id="_x0000_i1026" o:spt="75" type="#_x0000_t75" style="height:35.05pt;width:55.1pt;" o:ole="t" filled="f" o:preferrelative="t" stroked="f" coordsize="21600,21600">
                  <v:path/>
                  <v:fill on="f" focussize="0,0"/>
                  <v:stroke on="f" joinstyle="miter"/>
                  <v:imagedata r:id="rId20" o:title=""/>
                  <o:lock v:ext="edit" aspectratio="t"/>
                  <w10:wrap type="none"/>
                  <w10:anchorlock/>
                </v:shape>
                <o:OLEObject Type="Embed" ProgID="Equation.3" ShapeID="_x0000_i1026" DrawAspect="Content" ObjectID="_1468075726" r:id="rId19">
                  <o:LockedField>false</o:LockedField>
                </o:OLEObject>
              </w:objec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式中：S</w:t>
            </w:r>
            <w:r>
              <w:rPr>
                <w:rFonts w:eastAsiaTheme="minorEastAsia"/>
                <w:color w:val="000000" w:themeColor="text1"/>
                <w:vertAlign w:val="subscript"/>
                <w14:textFill>
                  <w14:solidFill>
                    <w14:schemeClr w14:val="tx1"/>
                  </w14:solidFill>
                </w14:textFill>
              </w:rPr>
              <w:t>ij</w:t>
            </w:r>
            <w:r>
              <w:rPr>
                <w:rFonts w:eastAsiaTheme="minorEastAsia"/>
                <w:color w:val="000000" w:themeColor="text1"/>
                <w14:textFill>
                  <w14:solidFill>
                    <w14:schemeClr w14:val="tx1"/>
                  </w14:solidFill>
                </w14:textFill>
              </w:rPr>
              <w:t>——i污染物在监测点j的标准指数；</w:t>
            </w:r>
          </w:p>
          <w:p>
            <w:pPr>
              <w:ind w:firstLine="1200" w:firstLineChars="5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Cij——i污染物在监测点j的地表水浓度值（mg/l）；</w:t>
            </w:r>
          </w:p>
          <w:p>
            <w:pPr>
              <w:ind w:firstLine="1200" w:firstLineChars="5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Csi——i污染物的地表水环境质量标准值（mg/l）。</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对具有上、下限标准的项目pH，计算式如下：</w:t>
            </w:r>
          </w:p>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3771900</wp:posOffset>
                      </wp:positionH>
                      <wp:positionV relativeFrom="paragraph">
                        <wp:posOffset>97155</wp:posOffset>
                      </wp:positionV>
                      <wp:extent cx="914400" cy="1314450"/>
                      <wp:effectExtent l="0" t="0" r="0" b="0"/>
                      <wp:wrapNone/>
                      <wp:docPr id="98" name="矩形 2"/>
                      <wp:cNvGraphicFramePr/>
                      <a:graphic xmlns:a="http://schemas.openxmlformats.org/drawingml/2006/main">
                        <a:graphicData uri="http://schemas.microsoft.com/office/word/2010/wordprocessingShape">
                          <wps:wsp>
                            <wps:cNvSpPr/>
                            <wps:spPr>
                              <a:xfrm>
                                <a:off x="0" y="0"/>
                                <a:ext cx="914400" cy="1314450"/>
                              </a:xfrm>
                              <a:prstGeom prst="rect">
                                <a:avLst/>
                              </a:prstGeom>
                              <a:noFill/>
                              <a:ln>
                                <a:noFill/>
                              </a:ln>
                            </wps:spPr>
                            <wps:txbx>
                              <w:txbxContent>
                                <w:p>
                                  <w:pPr>
                                    <w:spacing w:line="480" w:lineRule="auto"/>
                                    <w:ind w:firstLine="0" w:firstLineChars="0"/>
                                  </w:pPr>
                                  <w:r>
                                    <w:rPr>
                                      <w:rFonts w:ascii="宋体"/>
                                    </w:rPr>
                                    <w:t>PH≤7</w:t>
                                  </w:r>
                                </w:p>
                                <w:p>
                                  <w:pPr>
                                    <w:spacing w:line="480" w:lineRule="auto"/>
                                    <w:ind w:firstLine="0" w:firstLineChars="0"/>
                                  </w:pPr>
                                  <w:r>
                                    <w:rPr>
                                      <w:rFonts w:ascii="宋体"/>
                                    </w:rPr>
                                    <w:t>PH﹥7</w:t>
                                  </w:r>
                                </w:p>
                              </w:txbxContent>
                            </wps:txbx>
                            <wps:bodyPr vert="horz" wrap="square" anchor="t" anchorCtr="0" upright="1"/>
                          </wps:wsp>
                        </a:graphicData>
                      </a:graphic>
                    </wp:anchor>
                  </w:drawing>
                </mc:Choice>
                <mc:Fallback>
                  <w:pict>
                    <v:rect id="矩形 2" o:spid="_x0000_s1026" o:spt="1" style="position:absolute;left:0pt;margin-left:297pt;margin-top:7.65pt;height:103.5pt;width:72pt;z-index:251659264;mso-width-relative:page;mso-height-relative:page;" filled="f" stroked="f" coordsize="21600,21600" o:gfxdata="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">
                      <v:fill on="f" focussize="0,0"/>
                      <v:stroke on="f"/>
                      <v:imagedata o:title=""/>
                      <o:lock v:ext="edit" aspectratio="f"/>
                      <v:textbox>
                        <w:txbxContent>
                          <w:p>
                            <w:pPr>
                              <w:spacing w:line="480" w:lineRule="auto"/>
                              <w:ind w:firstLine="0" w:firstLineChars="0"/>
                            </w:pPr>
                            <w:r>
                              <w:rPr>
                                <w:rFonts w:ascii="宋体"/>
                              </w:rPr>
                              <w:t>PH≤7</w:t>
                            </w:r>
                          </w:p>
                          <w:p>
                            <w:pPr>
                              <w:spacing w:line="480" w:lineRule="auto"/>
                              <w:ind w:firstLine="0" w:firstLineChars="0"/>
                            </w:pPr>
                            <w:r>
                              <w:rPr>
                                <w:rFonts w:ascii="宋体"/>
                              </w:rPr>
                              <w:t>PH﹥7</w:t>
                            </w:r>
                          </w:p>
                        </w:txbxContent>
                      </v:textbox>
                    </v:rect>
                  </w:pict>
                </mc:Fallback>
              </mc:AlternateContent>
            </w:r>
            <w:r>
              <w:rPr>
                <w:rFonts w:eastAsiaTheme="minorEastAsia"/>
                <w:color w:val="000000" w:themeColor="text1"/>
                <w:position w:val="-66"/>
                <w14:textFill>
                  <w14:solidFill>
                    <w14:schemeClr w14:val="tx1"/>
                  </w14:solidFill>
                </w14:textFill>
              </w:rPr>
              <w:object>
                <v:shape id="_x0000_i1027" o:spt="75" type="#_x0000_t75" style="height:72pt;width:90.8pt;" o:ole="t" filled="f" o:preferrelative="t" stroked="f" coordsize="21600,21600">
                  <v:path/>
                  <v:fill on="f" focussize="0,0"/>
                  <v:stroke on="f" joinstyle="miter"/>
                  <v:imagedata r:id="rId22" o:title=""/>
                  <o:lock v:ext="edit" aspectratio="t"/>
                  <w10:wrap type="none"/>
                  <w10:anchorlock/>
                </v:shape>
                <o:OLEObject Type="Embed" ProgID="Equation.3" ShapeID="_x0000_i1027" DrawAspect="Content" ObjectID="_1468075727" r:id="rId21">
                  <o:LockedField>false</o:LockedField>
                </o:OLEObject>
              </w:objec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式中：pH</w:t>
            </w:r>
            <w:r>
              <w:rPr>
                <w:rFonts w:eastAsiaTheme="minorEastAsia"/>
                <w:color w:val="000000" w:themeColor="text1"/>
                <w:vertAlign w:val="subscript"/>
                <w14:textFill>
                  <w14:solidFill>
                    <w14:schemeClr w14:val="tx1"/>
                  </w14:solidFill>
                </w14:textFill>
              </w:rPr>
              <w:t>j</w:t>
            </w:r>
            <w:r>
              <w:rPr>
                <w:rFonts w:eastAsiaTheme="minorEastAsia"/>
                <w:color w:val="000000" w:themeColor="text1"/>
                <w14:textFill>
                  <w14:solidFill>
                    <w14:schemeClr w14:val="tx1"/>
                  </w14:solidFill>
                </w14:textFill>
              </w:rPr>
              <w:t>——监测点j的pH值；</w:t>
            </w:r>
          </w:p>
          <w:p>
            <w:pPr>
              <w:ind w:firstLine="1200" w:firstLineChars="5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pHsd——水质标准pH的下限值；</w:t>
            </w:r>
          </w:p>
          <w:p>
            <w:pPr>
              <w:ind w:firstLine="1200" w:firstLineChars="5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pHsu——水质标准pH的上限值。</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溶解氧（DO）标准指数的计算公式：</w:t>
            </w:r>
          </w:p>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114300" distR="114300">
                  <wp:extent cx="3080385" cy="434340"/>
                  <wp:effectExtent l="0" t="0" r="13335" b="7620"/>
                  <wp:docPr id="9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83"/>
                          <pic:cNvPicPr>
                            <a:picLocks noChangeAspect="1"/>
                          </pic:cNvPicPr>
                        </pic:nvPicPr>
                        <pic:blipFill>
                          <a:blip r:embed="rId23"/>
                          <a:stretch>
                            <a:fillRect/>
                          </a:stretch>
                        </pic:blipFill>
                        <pic:spPr>
                          <a:xfrm>
                            <a:off x="0" y="0"/>
                            <a:ext cx="3080385" cy="434340"/>
                          </a:xfrm>
                          <a:prstGeom prst="rect">
                            <a:avLst/>
                          </a:prstGeom>
                          <a:noFill/>
                          <a:ln>
                            <a:noFill/>
                          </a:ln>
                        </pic:spPr>
                      </pic:pic>
                    </a:graphicData>
                  </a:graphic>
                </wp:inline>
              </w:drawing>
            </w:r>
          </w:p>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114300" distR="114300">
                  <wp:extent cx="3064510" cy="381000"/>
                  <wp:effectExtent l="0" t="0" r="13970" b="0"/>
                  <wp:docPr id="96"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84"/>
                          <pic:cNvPicPr>
                            <a:picLocks noChangeAspect="1"/>
                          </pic:cNvPicPr>
                        </pic:nvPicPr>
                        <pic:blipFill>
                          <a:blip r:embed="rId24"/>
                          <a:stretch>
                            <a:fillRect/>
                          </a:stretch>
                        </pic:blipFill>
                        <pic:spPr>
                          <a:xfrm>
                            <a:off x="0" y="0"/>
                            <a:ext cx="3064510" cy="381000"/>
                          </a:xfrm>
                          <a:prstGeom prst="rect">
                            <a:avLst/>
                          </a:prstGeom>
                          <a:noFill/>
                          <a:ln>
                            <a:noFill/>
                          </a:ln>
                        </pic:spPr>
                      </pic:pic>
                    </a:graphicData>
                  </a:graphic>
                </wp:inline>
              </w:drawing>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式中：S</w:t>
            </w:r>
            <w:r>
              <w:rPr>
                <w:rFonts w:eastAsiaTheme="minorEastAsia"/>
                <w:color w:val="000000" w:themeColor="text1"/>
                <w:vertAlign w:val="subscript"/>
                <w14:textFill>
                  <w14:solidFill>
                    <w14:schemeClr w14:val="tx1"/>
                  </w14:solidFill>
                </w14:textFill>
              </w:rPr>
              <w:t>DO,j</w:t>
            </w:r>
            <w:r>
              <w:rPr>
                <w:rFonts w:eastAsiaTheme="minorEastAsia"/>
                <w:color w:val="000000" w:themeColor="text1"/>
                <w14:textFill>
                  <w14:solidFill>
                    <w14:schemeClr w14:val="tx1"/>
                  </w14:solidFill>
                </w14:textFill>
              </w:rPr>
              <w:t>—单项水质参数DO在j点的标准指数；</w:t>
            </w:r>
          </w:p>
          <w:p>
            <w:pPr>
              <w:ind w:firstLine="1200" w:firstLineChars="5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DOj—水质参数DO在j点的浓度（mg/l）；</w:t>
            </w:r>
          </w:p>
          <w:p>
            <w:pPr>
              <w:ind w:firstLine="1200" w:firstLineChars="5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DOf—饱和溶解氧浓度（mg/l），按下式计算：</w:t>
            </w:r>
          </w:p>
          <w:p>
            <w:pPr>
              <w:ind w:firstLine="1200" w:firstLineChars="5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DOs—溶解氧的地表水水质标准（mg/l）；</w:t>
            </w:r>
          </w:p>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114300" distR="114300">
                  <wp:extent cx="1235075" cy="373380"/>
                  <wp:effectExtent l="0" t="0" r="0" b="7620"/>
                  <wp:docPr id="97"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85"/>
                          <pic:cNvPicPr>
                            <a:picLocks noChangeAspect="1"/>
                          </pic:cNvPicPr>
                        </pic:nvPicPr>
                        <pic:blipFill>
                          <a:blip r:embed="rId25"/>
                          <a:stretch>
                            <a:fillRect/>
                          </a:stretch>
                        </pic:blipFill>
                        <pic:spPr>
                          <a:xfrm>
                            <a:off x="0" y="0"/>
                            <a:ext cx="1235075" cy="373380"/>
                          </a:xfrm>
                          <a:prstGeom prst="rect">
                            <a:avLst/>
                          </a:prstGeom>
                          <a:noFill/>
                          <a:ln>
                            <a:noFill/>
                          </a:ln>
                        </pic:spPr>
                      </pic:pic>
                    </a:graphicData>
                  </a:graphic>
                </wp:inline>
              </w:drawing>
            </w:r>
          </w:p>
          <w:p>
            <w:pPr>
              <w:ind w:firstLine="480"/>
              <w:rPr>
                <w:rFonts w:eastAsiaTheme="minorEastAsia"/>
                <w:color w:val="000000" w:themeColor="text1"/>
                <w:kern w:val="0"/>
                <w14:textFill>
                  <w14:solidFill>
                    <w14:schemeClr w14:val="tx1"/>
                  </w14:solidFill>
                </w14:textFill>
              </w:rPr>
            </w:pPr>
            <w:r>
              <w:rPr>
                <w:rFonts w:eastAsiaTheme="minorEastAsia"/>
                <w:color w:val="000000" w:themeColor="text1"/>
                <w14:textFill>
                  <w14:solidFill>
                    <w14:schemeClr w14:val="tx1"/>
                  </w14:solidFill>
                </w14:textFill>
              </w:rPr>
              <w:t>当水质评价因子的标准指数﹥1时，表明该评价因子的水质超过了规定的水质标准，已经不能满足相应的水域功能要求。</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（4）地表水现状评价结果</w:t>
            </w:r>
          </w:p>
          <w:p>
            <w:pPr>
              <w:pStyle w:val="80"/>
              <w:spacing w:before="166"/>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表3-8  地表水环境质量评价结果一览表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692"/>
              <w:gridCol w:w="619"/>
              <w:gridCol w:w="690"/>
              <w:gridCol w:w="985"/>
              <w:gridCol w:w="871"/>
              <w:gridCol w:w="818"/>
              <w:gridCol w:w="1012"/>
              <w:gridCol w:w="619"/>
              <w:gridCol w:w="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98" w:type="pct"/>
                  <w:gridSpan w:val="2"/>
                  <w:vAlign w:val="center"/>
                </w:tcPr>
                <w:p>
                  <w:pPr>
                    <w:pStyle w:val="56"/>
                    <w:spacing w:line="240" w:lineRule="auto"/>
                    <w:ind w:firstLine="0" w:firstLineChars="0"/>
                    <w:jc w:val="center"/>
                    <w:rPr>
                      <w:rFonts w:ascii="Times New Roman" w:hAnsi="Times New Roman" w:eastAsiaTheme="minorEastAsia"/>
                      <w:b/>
                      <w:color w:val="000000" w:themeColor="text1"/>
                      <w:sz w:val="21"/>
                      <w:szCs w:val="21"/>
                      <w14:textFill>
                        <w14:solidFill>
                          <w14:schemeClr w14:val="tx1"/>
                        </w14:solidFill>
                      </w14:textFill>
                    </w:rPr>
                  </w:pPr>
                  <w:r>
                    <w:rPr>
                      <w:rFonts w:ascii="Times New Roman" w:hAnsi="Times New Roman" w:eastAsiaTheme="minorEastAsia"/>
                      <w:b/>
                      <w:color w:val="000000" w:themeColor="text1"/>
                      <w:sz w:val="21"/>
                      <w:szCs w:val="21"/>
                      <w14:textFill>
                        <w14:solidFill>
                          <w14:schemeClr w14:val="tx1"/>
                        </w14:solidFill>
                      </w14:textFill>
                    </w:rPr>
                    <w:t>项目</w:t>
                  </w:r>
                </w:p>
              </w:tc>
              <w:tc>
                <w:tcPr>
                  <w:tcW w:w="415"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pH</w:t>
                  </w:r>
                </w:p>
              </w:tc>
              <w:tc>
                <w:tcPr>
                  <w:tcW w:w="463"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石油类</w:t>
                  </w:r>
                </w:p>
              </w:tc>
              <w:tc>
                <w:tcPr>
                  <w:tcW w:w="661"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CODcr</w:t>
                  </w:r>
                </w:p>
              </w:tc>
              <w:tc>
                <w:tcPr>
                  <w:tcW w:w="584"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BOD</w:t>
                  </w:r>
                  <w:r>
                    <w:rPr>
                      <w:rFonts w:eastAsiaTheme="minorEastAsia"/>
                      <w:b/>
                      <w:color w:val="000000" w:themeColor="text1"/>
                      <w:sz w:val="21"/>
                      <w:szCs w:val="21"/>
                      <w:vertAlign w:val="subscript"/>
                      <w14:textFill>
                        <w14:solidFill>
                          <w14:schemeClr w14:val="tx1"/>
                        </w14:solidFill>
                      </w14:textFill>
                    </w:rPr>
                    <w:t>5</w:t>
                  </w:r>
                </w:p>
              </w:tc>
              <w:tc>
                <w:tcPr>
                  <w:tcW w:w="549"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氨氮</w:t>
                  </w:r>
                </w:p>
              </w:tc>
              <w:tc>
                <w:tcPr>
                  <w:tcW w:w="679"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粪大肠菌群</w:t>
                  </w:r>
                </w:p>
              </w:tc>
              <w:tc>
                <w:tcPr>
                  <w:tcW w:w="415"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溶解氧</w:t>
                  </w:r>
                </w:p>
              </w:tc>
              <w:tc>
                <w:tcPr>
                  <w:tcW w:w="436"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悬浮物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4" w:type="pct"/>
                  <w:vMerge w:val="restar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1#断面</w:t>
                  </w:r>
                </w:p>
              </w:tc>
              <w:tc>
                <w:tcPr>
                  <w:tcW w:w="464" w:type="pct"/>
                  <w:vAlign w:val="center"/>
                </w:tcPr>
                <w:p>
                  <w:pPr>
                    <w:pStyle w:val="18"/>
                    <w:spacing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实测值</w:t>
                  </w:r>
                </w:p>
              </w:tc>
              <w:tc>
                <w:tcPr>
                  <w:tcW w:w="41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7.8</w:t>
                  </w:r>
                </w:p>
              </w:tc>
              <w:tc>
                <w:tcPr>
                  <w:tcW w:w="46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ND</w:t>
                  </w:r>
                </w:p>
              </w:tc>
              <w:tc>
                <w:tcPr>
                  <w:tcW w:w="661"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13</w:t>
                  </w:r>
                </w:p>
              </w:tc>
              <w:tc>
                <w:tcPr>
                  <w:tcW w:w="584"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2.3</w:t>
                  </w:r>
                </w:p>
              </w:tc>
              <w:tc>
                <w:tcPr>
                  <w:tcW w:w="54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0.05</w:t>
                  </w:r>
                </w:p>
              </w:tc>
              <w:tc>
                <w:tcPr>
                  <w:tcW w:w="6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240</w:t>
                  </w:r>
                </w:p>
              </w:tc>
              <w:tc>
                <w:tcPr>
                  <w:tcW w:w="41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6.9</w:t>
                  </w:r>
                </w:p>
              </w:tc>
              <w:tc>
                <w:tcPr>
                  <w:tcW w:w="43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334" w:type="pct"/>
                  <w:vMerge w:val="continue"/>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464" w:type="pct"/>
                  <w:vAlign w:val="center"/>
                </w:tcPr>
                <w:p>
                  <w:pPr>
                    <w:pStyle w:val="18"/>
                    <w:spacing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kern w:val="0"/>
                      <w:sz w:val="21"/>
                      <w:szCs w:val="21"/>
                      <w14:textFill>
                        <w14:solidFill>
                          <w14:schemeClr w14:val="tx1"/>
                        </w14:solidFill>
                      </w14:textFill>
                    </w:rPr>
                    <w:t>Pi</w:t>
                  </w:r>
                </w:p>
              </w:tc>
              <w:tc>
                <w:tcPr>
                  <w:tcW w:w="41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w:t>
                  </w:r>
                </w:p>
              </w:tc>
              <w:tc>
                <w:tcPr>
                  <w:tcW w:w="46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661"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0.65</w:t>
                  </w:r>
                </w:p>
              </w:tc>
              <w:tc>
                <w:tcPr>
                  <w:tcW w:w="584"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0.77</w:t>
                  </w:r>
                </w:p>
              </w:tc>
              <w:tc>
                <w:tcPr>
                  <w:tcW w:w="54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0.1</w:t>
                  </w:r>
                </w:p>
              </w:tc>
              <w:tc>
                <w:tcPr>
                  <w:tcW w:w="6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0.12</w:t>
                  </w:r>
                </w:p>
              </w:tc>
              <w:tc>
                <w:tcPr>
                  <w:tcW w:w="41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0.84</w:t>
                  </w:r>
                </w:p>
              </w:tc>
              <w:tc>
                <w:tcPr>
                  <w:tcW w:w="43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8" w:type="pct"/>
                  <w:gridSpan w:val="2"/>
                  <w:vAlign w:val="center"/>
                </w:tcPr>
                <w:p>
                  <w:pPr>
                    <w:spacing w:line="240" w:lineRule="auto"/>
                    <w:ind w:firstLine="0" w:firstLineChars="0"/>
                    <w:rPr>
                      <w:rFonts w:eastAsiaTheme="minorEastAsia"/>
                      <w:color w:val="000000" w:themeColor="text1"/>
                      <w:kern w:val="0"/>
                      <w:sz w:val="21"/>
                      <w:szCs w:val="21"/>
                      <w14:textFill>
                        <w14:solidFill>
                          <w14:schemeClr w14:val="tx1"/>
                        </w14:solidFill>
                      </w14:textFill>
                    </w:rPr>
                  </w:pPr>
                  <w:r>
                    <w:rPr>
                      <w:rFonts w:eastAsiaTheme="minorEastAsia"/>
                      <w:color w:val="000000" w:themeColor="text1"/>
                      <w:spacing w:val="-3"/>
                      <w14:textFill>
                        <w14:solidFill>
                          <w14:schemeClr w14:val="tx1"/>
                        </w14:solidFill>
                      </w14:textFill>
                    </w:rPr>
                    <w:t>Ⅱ</w:t>
                  </w:r>
                  <w:r>
                    <w:rPr>
                      <w:rFonts w:eastAsiaTheme="minorEastAsia"/>
                      <w:color w:val="000000" w:themeColor="text1"/>
                      <w:kern w:val="0"/>
                      <w:sz w:val="21"/>
                      <w:szCs w:val="21"/>
                      <w14:textFill>
                        <w14:solidFill>
                          <w14:schemeClr w14:val="tx1"/>
                        </w14:solidFill>
                      </w14:textFill>
                    </w:rPr>
                    <w:t>类水域标准值</w:t>
                  </w:r>
                </w:p>
              </w:tc>
              <w:tc>
                <w:tcPr>
                  <w:tcW w:w="41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6-9</w:t>
                  </w:r>
                </w:p>
              </w:tc>
              <w:tc>
                <w:tcPr>
                  <w:tcW w:w="46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0.05</w:t>
                  </w:r>
                </w:p>
              </w:tc>
              <w:tc>
                <w:tcPr>
                  <w:tcW w:w="661"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w:t>
                  </w:r>
                </w:p>
              </w:tc>
              <w:tc>
                <w:tcPr>
                  <w:tcW w:w="584"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54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0.5</w:t>
                  </w:r>
                </w:p>
              </w:tc>
              <w:tc>
                <w:tcPr>
                  <w:tcW w:w="6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2000</w:t>
                  </w:r>
                </w:p>
              </w:tc>
              <w:tc>
                <w:tcPr>
                  <w:tcW w:w="415"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w:t>
                  </w:r>
                </w:p>
              </w:tc>
              <w:tc>
                <w:tcPr>
                  <w:tcW w:w="43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bl>
          <w:p>
            <w:pPr>
              <w:ind w:firstLine="468"/>
              <w:rPr>
                <w:rFonts w:eastAsiaTheme="minorEastAsia"/>
                <w:color w:val="000000" w:themeColor="text1"/>
                <w:spacing w:val="-3"/>
                <w14:textFill>
                  <w14:solidFill>
                    <w14:schemeClr w14:val="tx1"/>
                  </w14:solidFill>
                </w14:textFill>
              </w:rPr>
            </w:pPr>
            <w:r>
              <w:rPr>
                <w:rFonts w:eastAsiaTheme="minorEastAsia"/>
                <w:color w:val="000000" w:themeColor="text1"/>
                <w:spacing w:val="-3"/>
                <w14:textFill>
                  <w14:solidFill>
                    <w14:schemeClr w14:val="tx1"/>
                  </w14:solidFill>
                </w14:textFill>
              </w:rPr>
              <w:t>由上表可知，各水质监测因子的计算结果均小于1，项目地表水水质满足《地表水环境质量标准》（GB3838-2002）Ⅱ类标准要求。</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3、声环境质量</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为了解项目所在区域的声环境质量现状，于2025年9月2日对项目周边进行了噪声现状监测。监测点位、结果见下表。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表3-9 声环境监测点位布置</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3348"/>
              <w:gridCol w:w="1241"/>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 w:type="pct"/>
                  <w:vAlign w:val="center"/>
                </w:tcPr>
                <w:p>
                  <w:pPr>
                    <w:spacing w:line="240" w:lineRule="auto"/>
                    <w:ind w:firstLine="0" w:firstLineChars="0"/>
                    <w:contextualSpacing/>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点位名称</w:t>
                  </w:r>
                </w:p>
              </w:tc>
              <w:tc>
                <w:tcPr>
                  <w:tcW w:w="2246" w:type="pct"/>
                  <w:vAlign w:val="center"/>
                </w:tcPr>
                <w:p>
                  <w:pPr>
                    <w:spacing w:line="240" w:lineRule="auto"/>
                    <w:ind w:firstLine="0" w:firstLineChars="0"/>
                    <w:contextualSpacing/>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监测频次</w:t>
                  </w:r>
                </w:p>
              </w:tc>
              <w:tc>
                <w:tcPr>
                  <w:tcW w:w="833" w:type="pct"/>
                  <w:vAlign w:val="center"/>
                </w:tcPr>
                <w:p>
                  <w:pPr>
                    <w:spacing w:line="240" w:lineRule="auto"/>
                    <w:ind w:firstLine="0" w:firstLineChars="0"/>
                    <w:contextualSpacing/>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监测项目</w:t>
                  </w:r>
                </w:p>
              </w:tc>
              <w:tc>
                <w:tcPr>
                  <w:tcW w:w="915" w:type="pct"/>
                  <w:vAlign w:val="center"/>
                </w:tcPr>
                <w:p>
                  <w:pPr>
                    <w:spacing w:line="240" w:lineRule="auto"/>
                    <w:ind w:firstLine="0" w:firstLineChars="0"/>
                    <w:contextualSpacing/>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 w:type="pct"/>
                  <w:vAlign w:val="center"/>
                </w:tcPr>
                <w:p>
                  <w:pPr>
                    <w:spacing w:line="240" w:lineRule="auto"/>
                    <w:ind w:firstLine="0" w:firstLineChars="0"/>
                    <w:contextualSpacing/>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2246" w:type="pct"/>
                  <w:vMerge w:val="restart"/>
                  <w:vAlign w:val="center"/>
                </w:tcPr>
                <w:p>
                  <w:pPr>
                    <w:spacing w:line="240" w:lineRule="auto"/>
                    <w:ind w:firstLine="0" w:firstLineChars="0"/>
                    <w:contextualSpacing/>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连续监测1天，每天昼间、夜间各监测1次。</w:t>
                  </w:r>
                </w:p>
                <w:p>
                  <w:pPr>
                    <w:spacing w:line="240" w:lineRule="auto"/>
                    <w:ind w:firstLine="0" w:firstLineChars="0"/>
                    <w:contextualSpacing/>
                    <w:jc w:val="center"/>
                    <w:rPr>
                      <w:rFonts w:eastAsiaTheme="minorEastAsia"/>
                      <w:b/>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昼间监测时段为6：00～22：00，夜间监测时段为22:00～6:00</w:t>
                  </w:r>
                </w:p>
              </w:tc>
              <w:tc>
                <w:tcPr>
                  <w:tcW w:w="833" w:type="pct"/>
                  <w:vMerge w:val="restart"/>
                  <w:vAlign w:val="center"/>
                </w:tcPr>
                <w:p>
                  <w:pPr>
                    <w:spacing w:line="240" w:lineRule="auto"/>
                    <w:ind w:firstLine="0" w:firstLineChars="0"/>
                    <w:contextualSpacing/>
                    <w:jc w:val="center"/>
                    <w:rPr>
                      <w:rFonts w:eastAsiaTheme="minorEastAsia"/>
                      <w:b/>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等效连续A声级</w:t>
                  </w:r>
                </w:p>
              </w:tc>
              <w:tc>
                <w:tcPr>
                  <w:tcW w:w="915" w:type="pct"/>
                  <w:vAlign w:val="center"/>
                </w:tcPr>
                <w:p>
                  <w:pPr>
                    <w:spacing w:line="240" w:lineRule="auto"/>
                    <w:ind w:firstLine="0" w:firstLineChars="0"/>
                    <w:contextualSpacing/>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敏感目标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 w:type="pct"/>
                  <w:vAlign w:val="center"/>
                </w:tcPr>
                <w:p>
                  <w:pPr>
                    <w:spacing w:line="240" w:lineRule="auto"/>
                    <w:ind w:firstLine="0" w:firstLineChars="0"/>
                    <w:contextualSpacing/>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w:t>
                  </w:r>
                </w:p>
              </w:tc>
              <w:tc>
                <w:tcPr>
                  <w:tcW w:w="2246" w:type="pct"/>
                  <w:vMerge w:val="continue"/>
                  <w:vAlign w:val="center"/>
                </w:tcPr>
                <w:p>
                  <w:pPr>
                    <w:spacing w:line="240" w:lineRule="auto"/>
                    <w:ind w:firstLine="0" w:firstLineChars="0"/>
                    <w:contextualSpacing/>
                    <w:jc w:val="center"/>
                    <w:rPr>
                      <w:rFonts w:eastAsiaTheme="minorEastAsia"/>
                      <w:color w:val="000000" w:themeColor="text1"/>
                      <w:sz w:val="21"/>
                      <w:szCs w:val="21"/>
                      <w14:textFill>
                        <w14:solidFill>
                          <w14:schemeClr w14:val="tx1"/>
                        </w14:solidFill>
                      </w14:textFill>
                    </w:rPr>
                  </w:pPr>
                </w:p>
              </w:tc>
              <w:tc>
                <w:tcPr>
                  <w:tcW w:w="833" w:type="pct"/>
                  <w:vMerge w:val="continue"/>
                  <w:vAlign w:val="center"/>
                </w:tcPr>
                <w:p>
                  <w:pPr>
                    <w:spacing w:line="240" w:lineRule="auto"/>
                    <w:ind w:firstLine="0" w:firstLineChars="0"/>
                    <w:contextualSpacing/>
                    <w:jc w:val="center"/>
                    <w:rPr>
                      <w:rFonts w:eastAsiaTheme="minorEastAsia"/>
                      <w:color w:val="000000" w:themeColor="text1"/>
                      <w:sz w:val="21"/>
                      <w:szCs w:val="21"/>
                      <w14:textFill>
                        <w14:solidFill>
                          <w14:schemeClr w14:val="tx1"/>
                        </w14:solidFill>
                      </w14:textFill>
                    </w:rPr>
                  </w:pPr>
                </w:p>
              </w:tc>
              <w:tc>
                <w:tcPr>
                  <w:tcW w:w="915" w:type="pct"/>
                  <w:vAlign w:val="center"/>
                </w:tcPr>
                <w:p>
                  <w:pPr>
                    <w:spacing w:line="240" w:lineRule="auto"/>
                    <w:ind w:firstLine="0" w:firstLineChars="0"/>
                    <w:contextualSpacing/>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敏感目标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 w:type="pct"/>
                  <w:vAlign w:val="center"/>
                </w:tcPr>
                <w:p>
                  <w:pPr>
                    <w:spacing w:line="240" w:lineRule="auto"/>
                    <w:ind w:firstLine="0" w:firstLineChars="0"/>
                    <w:contextualSpacing/>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2246" w:type="pct"/>
                  <w:vMerge w:val="continue"/>
                  <w:vAlign w:val="center"/>
                </w:tcPr>
                <w:p>
                  <w:pPr>
                    <w:spacing w:line="240" w:lineRule="auto"/>
                    <w:ind w:firstLine="0" w:firstLineChars="0"/>
                    <w:contextualSpacing/>
                    <w:jc w:val="center"/>
                    <w:rPr>
                      <w:rFonts w:eastAsiaTheme="minorEastAsia"/>
                      <w:b/>
                      <w:color w:val="000000" w:themeColor="text1"/>
                      <w:sz w:val="21"/>
                      <w:szCs w:val="21"/>
                      <w14:textFill>
                        <w14:solidFill>
                          <w14:schemeClr w14:val="tx1"/>
                        </w14:solidFill>
                      </w14:textFill>
                    </w:rPr>
                  </w:pPr>
                </w:p>
              </w:tc>
              <w:tc>
                <w:tcPr>
                  <w:tcW w:w="833" w:type="pct"/>
                  <w:vMerge w:val="continue"/>
                  <w:vAlign w:val="center"/>
                </w:tcPr>
                <w:p>
                  <w:pPr>
                    <w:spacing w:line="240" w:lineRule="auto"/>
                    <w:ind w:firstLine="0" w:firstLineChars="0"/>
                    <w:contextualSpacing/>
                    <w:jc w:val="center"/>
                    <w:rPr>
                      <w:rFonts w:eastAsiaTheme="minorEastAsia"/>
                      <w:b/>
                      <w:color w:val="000000" w:themeColor="text1"/>
                      <w:sz w:val="21"/>
                      <w:szCs w:val="21"/>
                      <w14:textFill>
                        <w14:solidFill>
                          <w14:schemeClr w14:val="tx1"/>
                        </w14:solidFill>
                      </w14:textFill>
                    </w:rPr>
                  </w:pPr>
                </w:p>
              </w:tc>
              <w:tc>
                <w:tcPr>
                  <w:tcW w:w="915" w:type="pct"/>
                  <w:vAlign w:val="center"/>
                </w:tcPr>
                <w:p>
                  <w:pPr>
                    <w:spacing w:line="240" w:lineRule="auto"/>
                    <w:ind w:firstLine="0" w:firstLineChars="0"/>
                    <w:contextualSpacing/>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敏感目标</w:t>
                  </w:r>
                </w:p>
              </w:tc>
            </w:tr>
          </w:tbl>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表3-10 噪声监测结果表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729"/>
              <w:gridCol w:w="1219"/>
              <w:gridCol w:w="1967"/>
              <w:gridCol w:w="1268"/>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80" w:hRule="atLeast"/>
                <w:tblHeader/>
                <w:jc w:val="center"/>
              </w:trPr>
              <w:tc>
                <w:tcPr>
                  <w:tcW w:w="1160" w:type="pct"/>
                  <w:vAlign w:val="center"/>
                </w:tcPr>
                <w:p>
                  <w:pPr>
                    <w:pStyle w:val="26"/>
                    <w:adjustRightInd w:val="0"/>
                    <w:spacing w:before="0" w:beforeAutospacing="0" w:after="0" w:afterAutospacing="0" w:line="240" w:lineRule="auto"/>
                    <w:ind w:firstLine="0" w:firstLineChars="0"/>
                    <w:jc w:val="center"/>
                    <w:rPr>
                      <w:rFonts w:ascii="Times New Roman" w:hAnsi="Times New Roman" w:eastAsiaTheme="minorEastAsia"/>
                      <w:b/>
                      <w:bCs/>
                      <w:color w:val="000000" w:themeColor="text1"/>
                      <w:sz w:val="21"/>
                      <w:szCs w:val="21"/>
                      <w14:textFill>
                        <w14:solidFill>
                          <w14:schemeClr w14:val="tx1"/>
                        </w14:solidFill>
                      </w14:textFill>
                    </w:rPr>
                  </w:pPr>
                  <w:r>
                    <w:rPr>
                      <w:rFonts w:ascii="Times New Roman" w:hAnsi="Times New Roman" w:eastAsiaTheme="minorEastAsia"/>
                      <w:b/>
                      <w:color w:val="000000" w:themeColor="text1"/>
                      <w:sz w:val="21"/>
                      <w:szCs w:val="21"/>
                      <w14:textFill>
                        <w14:solidFill>
                          <w14:schemeClr w14:val="tx1"/>
                        </w14:solidFill>
                      </w14:textFill>
                    </w:rPr>
                    <w:t>检测点位</w:t>
                  </w:r>
                </w:p>
              </w:tc>
              <w:tc>
                <w:tcPr>
                  <w:tcW w:w="818" w:type="pct"/>
                  <w:vAlign w:val="center"/>
                </w:tcPr>
                <w:p>
                  <w:pPr>
                    <w:pStyle w:val="26"/>
                    <w:adjustRightInd w:val="0"/>
                    <w:spacing w:before="0" w:beforeAutospacing="0" w:after="0" w:afterAutospacing="0" w:line="240" w:lineRule="auto"/>
                    <w:ind w:firstLine="0" w:firstLineChars="0"/>
                    <w:jc w:val="center"/>
                    <w:rPr>
                      <w:rFonts w:ascii="Times New Roman" w:hAnsi="Times New Roman" w:eastAsiaTheme="minorEastAsia"/>
                      <w:b/>
                      <w:bCs/>
                      <w:color w:val="000000" w:themeColor="text1"/>
                      <w:sz w:val="21"/>
                      <w:szCs w:val="21"/>
                      <w14:textFill>
                        <w14:solidFill>
                          <w14:schemeClr w14:val="tx1"/>
                        </w14:solidFill>
                      </w14:textFill>
                    </w:rPr>
                  </w:pPr>
                  <w:r>
                    <w:rPr>
                      <w:rFonts w:ascii="Times New Roman" w:hAnsi="Times New Roman" w:eastAsiaTheme="minorEastAsia"/>
                      <w:b/>
                      <w:color w:val="000000" w:themeColor="text1"/>
                      <w:sz w:val="21"/>
                      <w:szCs w:val="21"/>
                      <w14:textFill>
                        <w14:solidFill>
                          <w14:schemeClr w14:val="tx1"/>
                        </w14:solidFill>
                      </w14:textFill>
                    </w:rPr>
                    <w:t>检测日期</w:t>
                  </w:r>
                </w:p>
              </w:tc>
              <w:tc>
                <w:tcPr>
                  <w:tcW w:w="1320" w:type="pct"/>
                  <w:vAlign w:val="center"/>
                </w:tcPr>
                <w:p>
                  <w:pPr>
                    <w:pStyle w:val="26"/>
                    <w:adjustRightInd w:val="0"/>
                    <w:spacing w:before="0" w:beforeAutospacing="0" w:after="0" w:afterAutospacing="0" w:line="240" w:lineRule="auto"/>
                    <w:ind w:firstLine="0" w:firstLineChars="0"/>
                    <w:jc w:val="center"/>
                    <w:rPr>
                      <w:rFonts w:ascii="Times New Roman" w:hAnsi="Times New Roman" w:eastAsiaTheme="minorEastAsia"/>
                      <w:b/>
                      <w:bCs/>
                      <w:color w:val="000000" w:themeColor="text1"/>
                      <w:sz w:val="21"/>
                      <w:szCs w:val="21"/>
                      <w14:textFill>
                        <w14:solidFill>
                          <w14:schemeClr w14:val="tx1"/>
                        </w14:solidFill>
                      </w14:textFill>
                    </w:rPr>
                  </w:pPr>
                  <w:r>
                    <w:rPr>
                      <w:rFonts w:ascii="Times New Roman" w:hAnsi="Times New Roman" w:eastAsiaTheme="minorEastAsia"/>
                      <w:b/>
                      <w:color w:val="000000" w:themeColor="text1"/>
                      <w:sz w:val="21"/>
                      <w:szCs w:val="21"/>
                      <w14:textFill>
                        <w14:solidFill>
                          <w14:schemeClr w14:val="tx1"/>
                        </w14:solidFill>
                      </w14:textFill>
                    </w:rPr>
                    <w:t>检测时间</w:t>
                  </w:r>
                </w:p>
              </w:tc>
              <w:tc>
                <w:tcPr>
                  <w:tcW w:w="851" w:type="pct"/>
                  <w:vAlign w:val="center"/>
                </w:tcPr>
                <w:p>
                  <w:pPr>
                    <w:pStyle w:val="26"/>
                    <w:adjustRightInd w:val="0"/>
                    <w:spacing w:before="0" w:beforeAutospacing="0" w:after="0" w:afterAutospacing="0" w:line="240" w:lineRule="auto"/>
                    <w:ind w:firstLine="0" w:firstLineChars="0"/>
                    <w:jc w:val="center"/>
                    <w:rPr>
                      <w:rFonts w:ascii="Times New Roman" w:hAnsi="Times New Roman" w:eastAsiaTheme="minorEastAsia"/>
                      <w:b/>
                      <w:color w:val="000000" w:themeColor="text1"/>
                      <w:sz w:val="21"/>
                      <w:szCs w:val="21"/>
                      <w14:textFill>
                        <w14:solidFill>
                          <w14:schemeClr w14:val="tx1"/>
                        </w14:solidFill>
                      </w14:textFill>
                    </w:rPr>
                  </w:pPr>
                  <w:r>
                    <w:rPr>
                      <w:rFonts w:ascii="Times New Roman" w:hAnsi="Times New Roman" w:eastAsiaTheme="minorEastAsia"/>
                      <w:b/>
                      <w:color w:val="000000" w:themeColor="text1"/>
                      <w:sz w:val="21"/>
                      <w:szCs w:val="21"/>
                      <w14:textFill>
                        <w14:solidFill>
                          <w14:schemeClr w14:val="tx1"/>
                        </w14:solidFill>
                      </w14:textFill>
                    </w:rPr>
                    <w:t>检测结果dB(A)</w:t>
                  </w:r>
                </w:p>
              </w:tc>
              <w:tc>
                <w:tcPr>
                  <w:tcW w:w="851" w:type="pct"/>
                  <w:vAlign w:val="center"/>
                </w:tcPr>
                <w:p>
                  <w:pPr>
                    <w:pStyle w:val="26"/>
                    <w:adjustRightInd w:val="0"/>
                    <w:spacing w:before="0" w:beforeAutospacing="0" w:after="0" w:afterAutospacing="0" w:line="240" w:lineRule="auto"/>
                    <w:ind w:firstLine="422"/>
                    <w:jc w:val="center"/>
                    <w:rPr>
                      <w:rFonts w:ascii="Times New Roman" w:hAnsi="Times New Roman" w:eastAsiaTheme="minorEastAsia"/>
                      <w:b/>
                      <w:color w:val="000000" w:themeColor="text1"/>
                      <w:sz w:val="21"/>
                      <w:szCs w:val="21"/>
                      <w14:textFill>
                        <w14:solidFill>
                          <w14:schemeClr w14:val="tx1"/>
                        </w14:solidFill>
                      </w14:textFill>
                    </w:rPr>
                  </w:pPr>
                  <w:r>
                    <w:rPr>
                      <w:rFonts w:ascii="Times New Roman" w:hAnsi="Times New Roman" w:eastAsiaTheme="minorEastAsia"/>
                      <w:b/>
                      <w:color w:val="000000" w:themeColor="text1"/>
                      <w:sz w:val="21"/>
                      <w:szCs w:val="21"/>
                      <w14:textFill>
                        <w14:solidFill>
                          <w14:schemeClr w14:val="tx1"/>
                        </w14:solidFill>
                      </w14:textFill>
                    </w:rPr>
                    <w:t>标准限值dB(A)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05" w:hRule="atLeast"/>
                <w:jc w:val="center"/>
              </w:trPr>
              <w:tc>
                <w:tcPr>
                  <w:tcW w:w="1160" w:type="pct"/>
                  <w:vMerge w:val="restart"/>
                  <w:vAlign w:val="center"/>
                </w:tcPr>
                <w:p>
                  <w:pPr>
                    <w:pStyle w:val="26"/>
                    <w:adjustRightInd w:val="0"/>
                    <w:spacing w:before="0" w:beforeAutospacing="0" w:after="0" w:afterAutospacing="0"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1# 噪声N13监测点位</w:t>
                  </w:r>
                </w:p>
              </w:tc>
              <w:tc>
                <w:tcPr>
                  <w:tcW w:w="818" w:type="pct"/>
                  <w:vMerge w:val="restart"/>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9月2日</w:t>
                  </w:r>
                </w:p>
              </w:tc>
              <w:tc>
                <w:tcPr>
                  <w:tcW w:w="1320"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昼间</w:t>
                  </w:r>
                </w:p>
              </w:tc>
              <w:tc>
                <w:tcPr>
                  <w:tcW w:w="851"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56</w:t>
                  </w:r>
                </w:p>
              </w:tc>
              <w:tc>
                <w:tcPr>
                  <w:tcW w:w="851" w:type="pct"/>
                  <w:vMerge w:val="restart"/>
                  <w:vAlign w:val="center"/>
                </w:tcPr>
                <w:p>
                  <w:pPr>
                    <w:widowControl/>
                    <w:spacing w:line="240" w:lineRule="auto"/>
                    <w:ind w:firstLine="0" w:firstLineChars="0"/>
                    <w:jc w:val="center"/>
                    <w:textAlignment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昼间≤60</w:t>
                  </w:r>
                </w:p>
                <w:p>
                  <w:pPr>
                    <w:widowControl/>
                    <w:spacing w:line="240" w:lineRule="auto"/>
                    <w:ind w:firstLine="0" w:firstLineChars="0"/>
                    <w:jc w:val="center"/>
                    <w:textAlignment w:val="center"/>
                    <w:rPr>
                      <w:rFonts w:eastAsiaTheme="minorEastAsia"/>
                      <w:color w:val="000000" w:themeColor="text1"/>
                      <w:kern w:val="0"/>
                      <w:sz w:val="21"/>
                      <w:szCs w:val="21"/>
                      <w:lang w:bidi="ar"/>
                      <w14:textFill>
                        <w14:solidFill>
                          <w14:schemeClr w14:val="tx1"/>
                        </w14:solidFill>
                      </w14:textFill>
                    </w:rPr>
                  </w:pPr>
                  <w:r>
                    <w:rPr>
                      <w:rFonts w:eastAsiaTheme="minorEastAsia"/>
                      <w:bCs/>
                      <w:color w:val="000000" w:themeColor="text1"/>
                      <w:sz w:val="21"/>
                      <w:szCs w:val="21"/>
                      <w14:textFill>
                        <w14:solidFill>
                          <w14:schemeClr w14:val="tx1"/>
                        </w14:solidFill>
                      </w14:textFill>
                    </w:rPr>
                    <w:t>夜间≤50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05" w:hRule="atLeast"/>
                <w:jc w:val="center"/>
              </w:trPr>
              <w:tc>
                <w:tcPr>
                  <w:tcW w:w="1160" w:type="pct"/>
                  <w:vMerge w:val="continue"/>
                  <w:vAlign w:val="center"/>
                </w:tcPr>
                <w:p>
                  <w:pPr>
                    <w:pStyle w:val="26"/>
                    <w:adjustRightInd w:val="0"/>
                    <w:spacing w:before="0" w:beforeAutospacing="0" w:after="0" w:afterAutospacing="0"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p>
              </w:tc>
              <w:tc>
                <w:tcPr>
                  <w:tcW w:w="818" w:type="pct"/>
                  <w:vMerge w:val="continue"/>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1320"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夜间</w:t>
                  </w:r>
                </w:p>
              </w:tc>
              <w:tc>
                <w:tcPr>
                  <w:tcW w:w="851"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46</w:t>
                  </w:r>
                </w:p>
              </w:tc>
              <w:tc>
                <w:tcPr>
                  <w:tcW w:w="851" w:type="pct"/>
                  <w:vMerge w:val="continue"/>
                  <w:vAlign w:val="center"/>
                </w:tcPr>
                <w:p>
                  <w:pPr>
                    <w:widowControl/>
                    <w:ind w:firstLine="420"/>
                    <w:jc w:val="center"/>
                    <w:textAlignment w:val="center"/>
                    <w:rPr>
                      <w:rFonts w:eastAsiaTheme="minorEastAsia"/>
                      <w:color w:val="000000" w:themeColor="text1"/>
                      <w:kern w:val="0"/>
                      <w:sz w:val="21"/>
                      <w:szCs w:val="21"/>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05" w:hRule="atLeast"/>
                <w:jc w:val="center"/>
              </w:trPr>
              <w:tc>
                <w:tcPr>
                  <w:tcW w:w="1160" w:type="pct"/>
                  <w:vMerge w:val="restart"/>
                  <w:vAlign w:val="center"/>
                </w:tcPr>
                <w:p>
                  <w:pPr>
                    <w:pStyle w:val="26"/>
                    <w:adjustRightInd w:val="0"/>
                    <w:spacing w:before="0" w:beforeAutospacing="0" w:after="0" w:afterAutospacing="0"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2# 噪声N14监测点位</w:t>
                  </w:r>
                </w:p>
              </w:tc>
              <w:tc>
                <w:tcPr>
                  <w:tcW w:w="818" w:type="pct"/>
                  <w:vMerge w:val="continue"/>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1320"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昼间</w:t>
                  </w:r>
                </w:p>
              </w:tc>
              <w:tc>
                <w:tcPr>
                  <w:tcW w:w="851"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53</w:t>
                  </w:r>
                </w:p>
              </w:tc>
              <w:tc>
                <w:tcPr>
                  <w:tcW w:w="851" w:type="pct"/>
                  <w:vMerge w:val="continue"/>
                  <w:vAlign w:val="center"/>
                </w:tcPr>
                <w:p>
                  <w:pPr>
                    <w:widowControl/>
                    <w:ind w:firstLine="420"/>
                    <w:jc w:val="center"/>
                    <w:textAlignment w:val="center"/>
                    <w:rPr>
                      <w:rFonts w:eastAsiaTheme="minorEastAsia"/>
                      <w:color w:val="000000" w:themeColor="text1"/>
                      <w:kern w:val="0"/>
                      <w:sz w:val="21"/>
                      <w:szCs w:val="21"/>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05" w:hRule="atLeast"/>
                <w:jc w:val="center"/>
              </w:trPr>
              <w:tc>
                <w:tcPr>
                  <w:tcW w:w="1160" w:type="pct"/>
                  <w:vMerge w:val="continue"/>
                  <w:vAlign w:val="center"/>
                </w:tcPr>
                <w:p>
                  <w:pPr>
                    <w:pStyle w:val="26"/>
                    <w:adjustRightInd w:val="0"/>
                    <w:spacing w:before="0" w:beforeAutospacing="0" w:after="0" w:afterAutospacing="0" w:line="240" w:lineRule="auto"/>
                    <w:ind w:firstLine="0" w:firstLineChars="0"/>
                    <w:jc w:val="center"/>
                    <w:rPr>
                      <w:rFonts w:ascii="Times New Roman" w:hAnsi="Times New Roman" w:eastAsiaTheme="minorEastAsia"/>
                      <w:color w:val="000000" w:themeColor="text1"/>
                      <w:sz w:val="21"/>
                      <w:szCs w:val="21"/>
                      <w14:textFill>
                        <w14:solidFill>
                          <w14:schemeClr w14:val="tx1"/>
                        </w14:solidFill>
                      </w14:textFill>
                    </w:rPr>
                  </w:pPr>
                </w:p>
              </w:tc>
              <w:tc>
                <w:tcPr>
                  <w:tcW w:w="818" w:type="pct"/>
                  <w:vMerge w:val="continue"/>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1320"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夜间</w:t>
                  </w:r>
                </w:p>
              </w:tc>
              <w:tc>
                <w:tcPr>
                  <w:tcW w:w="851"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44</w:t>
                  </w:r>
                </w:p>
              </w:tc>
              <w:tc>
                <w:tcPr>
                  <w:tcW w:w="851" w:type="pct"/>
                  <w:vMerge w:val="continue"/>
                  <w:vAlign w:val="center"/>
                </w:tcPr>
                <w:p>
                  <w:pPr>
                    <w:widowControl/>
                    <w:ind w:firstLine="420"/>
                    <w:jc w:val="center"/>
                    <w:textAlignment w:val="center"/>
                    <w:rPr>
                      <w:rFonts w:eastAsiaTheme="minorEastAsia"/>
                      <w:color w:val="000000" w:themeColor="text1"/>
                      <w:kern w:val="0"/>
                      <w:sz w:val="21"/>
                      <w:szCs w:val="21"/>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05" w:hRule="atLeast"/>
                <w:jc w:val="center"/>
              </w:trPr>
              <w:tc>
                <w:tcPr>
                  <w:tcW w:w="1160" w:type="pct"/>
                  <w:vMerge w:val="restart"/>
                  <w:vAlign w:val="center"/>
                </w:tcPr>
                <w:p>
                  <w:pPr>
                    <w:widowControl/>
                    <w:adjustRightInd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 噪声N15监测点位</w:t>
                  </w:r>
                </w:p>
              </w:tc>
              <w:tc>
                <w:tcPr>
                  <w:tcW w:w="818" w:type="pct"/>
                  <w:vMerge w:val="continue"/>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1320"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昼间</w:t>
                  </w:r>
                </w:p>
              </w:tc>
              <w:tc>
                <w:tcPr>
                  <w:tcW w:w="851"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55</w:t>
                  </w:r>
                </w:p>
              </w:tc>
              <w:tc>
                <w:tcPr>
                  <w:tcW w:w="851" w:type="pct"/>
                  <w:vMerge w:val="continue"/>
                  <w:vAlign w:val="center"/>
                </w:tcPr>
                <w:p>
                  <w:pPr>
                    <w:widowControl/>
                    <w:ind w:firstLine="420"/>
                    <w:jc w:val="center"/>
                    <w:textAlignment w:val="center"/>
                    <w:rPr>
                      <w:rFonts w:eastAsiaTheme="minorEastAsia"/>
                      <w:color w:val="000000" w:themeColor="text1"/>
                      <w:kern w:val="0"/>
                      <w:sz w:val="21"/>
                      <w:szCs w:val="21"/>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05" w:hRule="atLeast"/>
                <w:jc w:val="center"/>
              </w:trPr>
              <w:tc>
                <w:tcPr>
                  <w:tcW w:w="1160" w:type="pct"/>
                  <w:vMerge w:val="continue"/>
                  <w:vAlign w:val="center"/>
                </w:tcPr>
                <w:p>
                  <w:pPr>
                    <w:widowControl/>
                    <w:adjustRightInd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818" w:type="pct"/>
                  <w:vMerge w:val="continue"/>
                  <w:vAlign w:val="center"/>
                </w:tcPr>
                <w:p>
                  <w:pPr>
                    <w:widowControl/>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1320"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夜间</w:t>
                  </w:r>
                </w:p>
              </w:tc>
              <w:tc>
                <w:tcPr>
                  <w:tcW w:w="851" w:type="pct"/>
                  <w:vAlign w:val="center"/>
                </w:tcPr>
                <w:p>
                  <w:pPr>
                    <w:widowControl/>
                    <w:spacing w:line="240" w:lineRule="auto"/>
                    <w:ind w:firstLine="0" w:firstLineChars="0"/>
                    <w:jc w:val="center"/>
                    <w:textAlignment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45</w:t>
                  </w:r>
                </w:p>
              </w:tc>
              <w:tc>
                <w:tcPr>
                  <w:tcW w:w="851" w:type="pct"/>
                  <w:vMerge w:val="continue"/>
                  <w:vAlign w:val="center"/>
                </w:tcPr>
                <w:p>
                  <w:pPr>
                    <w:widowControl/>
                    <w:ind w:firstLine="420"/>
                    <w:jc w:val="center"/>
                    <w:textAlignment w:val="center"/>
                    <w:rPr>
                      <w:rFonts w:eastAsiaTheme="minorEastAsia"/>
                      <w:color w:val="000000" w:themeColor="text1"/>
                      <w:kern w:val="0"/>
                      <w:sz w:val="21"/>
                      <w:szCs w:val="21"/>
                      <w:lang w:bidi="ar"/>
                      <w14:textFill>
                        <w14:solidFill>
                          <w14:schemeClr w14:val="tx1"/>
                        </w14:solidFill>
                      </w14:textFill>
                    </w:rPr>
                  </w:pPr>
                </w:p>
              </w:tc>
            </w:tr>
          </w:tbl>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根据监测结果，监测时间内昼夜各监测点位声环境满足《声环境质量标准》（GB3096-2008）中2类标准要求。</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4、土壤环境质量</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本项目新建、修复河堤为防洪除涝项目，根据《环境影响评价技术导则土壤环境（试行）》（HJ 964—2018）附录A土壤环境影响评价项目类别表，本项目土壤环境影响评价类别为Ⅲ类；根据调查，项目所在地pH值在7.65≤pH≤7.97之间，水溶性盐总量范围为0.59~0.68，判定本项目所在地土壤敏感程度为不敏感。根据环境影响评价技术导则土壤环境（试行）》（HJ964—2018）6.2.1，可不开展土壤环境影响评价，故本项目不进行土壤环境影响评价。</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5、地下水环境质量</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根据《环境影响评价技术导则地下水环境》（HJ 610—2016）附录A地下水环境影响评价行业分类表，本项目地下水环境影响评价类别为Ⅳ类，根据《环境影响评价技术导则地下水环境》（HJ610—2016）4.1，Ⅳ类建设项目不开展地下水环境影响评价，故本项目不进行地下水环境影响评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75" w:type="pct"/>
            <w:vAlign w:val="center"/>
          </w:tcPr>
          <w:p>
            <w:pPr>
              <w:pStyle w:val="13"/>
              <w:spacing w:after="0"/>
              <w:ind w:firstLine="0" w:firstLineChars="0"/>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与项目有关的原有环境污染和生态破坏问题</w:t>
            </w:r>
          </w:p>
        </w:tc>
        <w:tc>
          <w:tcPr>
            <w:tcW w:w="4524" w:type="pct"/>
            <w:tcBorders>
              <w:top w:val="single" w:color="auto" w:sz="4" w:space="0"/>
              <w:bottom w:val="single" w:color="auto" w:sz="4" w:space="0"/>
              <w:right w:val="single" w:color="auto" w:sz="4" w:space="0"/>
            </w:tcBorders>
            <w:vAlign w:val="center"/>
          </w:tcPr>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河段部分为天然河岸，防洪设施不完善，防洪能力严重不足，汛期洪水对两岸居民的生命财产安全造成严重威胁。工程河段两岸主要为耕地、民居，两岸岸坡洪水掏刷岸坡，不断蚕食岸坡土地，水土流失严重。工程河段如发生洪水，将对当地主要居民聚居区造成威胁，同时当地防洪能力的不足对抗洪、抢险等工程有较大的潜在威胁，严重制约着周边的经济建设、农业生产发展。</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5" w:type="dxa"/>
                </w:tcPr>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4298950" cy="3228975"/>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342305" cy="3261117"/>
                                </a:xfrm>
                                <a:prstGeom prst="rect">
                                  <a:avLst/>
                                </a:prstGeom>
                                <a:noFill/>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5" w:type="dxa"/>
                </w:tcPr>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修复河堤段现状照片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5" w:type="dxa"/>
                </w:tcPr>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4192905" cy="31527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238527" cy="3186719"/>
                                </a:xfrm>
                                <a:prstGeom prst="rect">
                                  <a:avLst/>
                                </a:prstGeom>
                                <a:noFill/>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5" w:type="dxa"/>
                </w:tcPr>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修复河堤段现状照片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5" w:type="dxa"/>
                </w:tcPr>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4318000" cy="31432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8"/>
                                <a:stretch>
                                  <a:fillRect/>
                                </a:stretch>
                              </pic:blipFill>
                              <pic:spPr>
                                <a:xfrm>
                                  <a:off x="0" y="0"/>
                                  <a:ext cx="4329575" cy="3151396"/>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5" w:type="dxa"/>
                </w:tcPr>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新建河提段现状照片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5" w:type="dxa"/>
                </w:tcPr>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drawing>
                      <wp:inline distT="0" distB="0" distL="0" distR="0">
                        <wp:extent cx="4264660" cy="311785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9"/>
                                <a:stretch>
                                  <a:fillRect/>
                                </a:stretch>
                              </pic:blipFill>
                              <pic:spPr>
                                <a:xfrm>
                                  <a:off x="0" y="0"/>
                                  <a:ext cx="4295399" cy="3140722"/>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25" w:type="dxa"/>
                </w:tcPr>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新建河提段现状照片</w:t>
                  </w:r>
                </w:p>
              </w:tc>
            </w:tr>
          </w:tbl>
          <w:p>
            <w:pPr>
              <w:ind w:firstLine="0" w:firstLineChars="0"/>
              <w:rPr>
                <w:rFonts w:eastAsiaTheme="minorEastAsia"/>
                <w:color w:val="000000" w:themeColor="text1"/>
                <w14:textFill>
                  <w14:solidFill>
                    <w14:schemeClr w14:val="tx1"/>
                  </w14:solidFill>
                </w14:textFill>
              </w:rPr>
            </w:pPr>
          </w:p>
          <w:p>
            <w:pPr>
              <w:ind w:firstLine="0" w:firstLineChars="0"/>
              <w:rPr>
                <w:rFonts w:eastAsiaTheme="minorEastAsia"/>
                <w:color w:val="000000" w:themeColor="text1"/>
                <w14:textFill>
                  <w14:solidFill>
                    <w14:schemeClr w14:val="tx1"/>
                  </w14:solidFill>
                </w14:textFill>
              </w:rPr>
            </w:pPr>
          </w:p>
          <w:p>
            <w:pPr>
              <w:ind w:firstLine="0" w:firstLineChars="0"/>
              <w:rPr>
                <w:rFonts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475" w:type="pct"/>
            <w:vAlign w:val="center"/>
          </w:tcPr>
          <w:p>
            <w:pPr>
              <w:pStyle w:val="13"/>
              <w:spacing w:after="0"/>
              <w:ind w:firstLine="0" w:firstLineChars="0"/>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生态环境保护目标</w:t>
            </w:r>
          </w:p>
        </w:tc>
        <w:tc>
          <w:tcPr>
            <w:tcW w:w="4524" w:type="pct"/>
            <w:tcBorders>
              <w:top w:val="single" w:color="auto" w:sz="4" w:space="0"/>
            </w:tcBorders>
            <w:vAlign w:val="center"/>
          </w:tcPr>
          <w:p>
            <w:pPr>
              <w:widowControl/>
              <w:adjustRightInd w:val="0"/>
              <w:snapToGrid w:val="0"/>
              <w:ind w:firstLine="482"/>
              <w:contextualSpacing/>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1、项目外环境关系</w:t>
            </w:r>
          </w:p>
          <w:p>
            <w:pPr>
              <w:widowControl/>
              <w:adjustRightInd w:val="0"/>
              <w:snapToGrid w:val="0"/>
              <w:ind w:firstLine="480"/>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本项目选址于位于黑水县卡龙镇才盖村，</w:t>
            </w:r>
            <w:r>
              <w:rPr>
                <w:rFonts w:eastAsiaTheme="minorEastAsia"/>
                <w:b/>
                <w:bCs/>
                <w:color w:val="000000" w:themeColor="text1"/>
                <w:kern w:val="0"/>
                <w14:textFill>
                  <w14:solidFill>
                    <w14:schemeClr w14:val="tx1"/>
                  </w14:solidFill>
                </w14:textFill>
              </w:rPr>
              <w:t>位于达古冰山—卡龙沟风景名胜区三级保护区</w:t>
            </w:r>
            <w:r>
              <w:rPr>
                <w:rFonts w:eastAsiaTheme="minorEastAsia"/>
                <w:color w:val="000000" w:themeColor="text1"/>
                <w:kern w:val="0"/>
                <w:lang w:bidi="ar"/>
                <w14:textFill>
                  <w14:solidFill>
                    <w14:schemeClr w14:val="tx1"/>
                  </w14:solidFill>
                </w14:textFill>
              </w:rPr>
              <w:t>，两侧为当地村落居民。</w:t>
            </w:r>
          </w:p>
          <w:p>
            <w:pPr>
              <w:widowControl/>
              <w:adjustRightInd w:val="0"/>
              <w:snapToGrid w:val="0"/>
              <w:ind w:firstLine="480"/>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项目外环境关系详见附图。</w:t>
            </w:r>
          </w:p>
          <w:p>
            <w:pPr>
              <w:widowControl/>
              <w:adjustRightInd w:val="0"/>
              <w:snapToGrid w:val="0"/>
              <w:ind w:firstLine="482"/>
              <w:contextualSpacing/>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2、环境保护目标</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本项目位于黑水县卡龙镇才盖村，根据项目设计资料和现场实地踏勘和调查，确定了声环境、环境空气、水环境、生态环境保护目标。</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（1）大气环境</w:t>
            </w:r>
          </w:p>
          <w:p>
            <w:pPr>
              <w:pStyle w:val="13"/>
              <w:ind w:firstLine="468"/>
              <w:rPr>
                <w:rFonts w:ascii="Times New Roman" w:hAnsi="Times New Roman" w:eastAsiaTheme="minorEastAsia"/>
                <w:bCs/>
                <w:color w:val="000000" w:themeColor="text1"/>
                <w:spacing w:val="-3"/>
                <w14:textFill>
                  <w14:solidFill>
                    <w14:schemeClr w14:val="tx1"/>
                  </w14:solidFill>
                </w14:textFill>
              </w:rPr>
            </w:pPr>
            <w:r>
              <w:rPr>
                <w:rFonts w:ascii="Times New Roman" w:hAnsi="Times New Roman" w:eastAsiaTheme="minorEastAsia"/>
                <w:bCs/>
                <w:color w:val="000000" w:themeColor="text1"/>
                <w:spacing w:val="-3"/>
                <w14:textFill>
                  <w14:solidFill>
                    <w14:schemeClr w14:val="tx1"/>
                  </w14:solidFill>
                </w14:textFill>
              </w:rPr>
              <w:t>本项目厂界外500米范围内大气环境保护目标为两侧村民、达古冰山—卡龙沟风景名胜区。本项目500 米范围大气环境保护目标如下。</w:t>
            </w:r>
          </w:p>
          <w:p>
            <w:pPr>
              <w:snapToGrid w:val="0"/>
              <w:spacing w:before="120" w:line="240" w:lineRule="auto"/>
              <w:ind w:firstLine="0" w:firstLineChars="0"/>
              <w:jc w:val="center"/>
              <w:rPr>
                <w:rFonts w:eastAsiaTheme="minorEastAsia"/>
                <w:b/>
                <w:color w:val="000000" w:themeColor="text1"/>
                <w:sz w:val="21"/>
                <w:szCs w:val="20"/>
                <w14:textFill>
                  <w14:solidFill>
                    <w14:schemeClr w14:val="tx1"/>
                  </w14:solidFill>
                </w14:textFill>
              </w:rPr>
            </w:pPr>
            <w:r>
              <w:rPr>
                <w:rFonts w:eastAsiaTheme="minorEastAsia"/>
                <w:b/>
                <w:color w:val="000000" w:themeColor="text1"/>
                <w:sz w:val="21"/>
                <w:szCs w:val="20"/>
                <w14:textFill>
                  <w14:solidFill>
                    <w14:schemeClr w14:val="tx1"/>
                  </w14:solidFill>
                </w14:textFill>
              </w:rPr>
              <w:t>表 3-11 环境空气环境敏感点保护目标</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002"/>
              <w:gridCol w:w="1021"/>
              <w:gridCol w:w="876"/>
              <w:gridCol w:w="1315"/>
              <w:gridCol w:w="729"/>
              <w:gridCol w:w="973"/>
              <w:gridCol w:w="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63"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环境</w:t>
                  </w:r>
                </w:p>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要素</w:t>
                  </w:r>
                </w:p>
              </w:tc>
              <w:tc>
                <w:tcPr>
                  <w:tcW w:w="672"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名称</w:t>
                  </w:r>
                </w:p>
              </w:tc>
              <w:tc>
                <w:tcPr>
                  <w:tcW w:w="685"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保护</w:t>
                  </w:r>
                </w:p>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对象</w:t>
                  </w:r>
                </w:p>
              </w:tc>
              <w:tc>
                <w:tcPr>
                  <w:tcW w:w="588"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规模</w:t>
                  </w:r>
                </w:p>
              </w:tc>
              <w:tc>
                <w:tcPr>
                  <w:tcW w:w="882"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保护</w:t>
                  </w:r>
                </w:p>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内容</w:t>
                  </w:r>
                </w:p>
              </w:tc>
              <w:tc>
                <w:tcPr>
                  <w:tcW w:w="489"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环境功能区</w:t>
                  </w:r>
                </w:p>
              </w:tc>
              <w:tc>
                <w:tcPr>
                  <w:tcW w:w="653"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相对方位</w:t>
                  </w:r>
                </w:p>
              </w:tc>
              <w:tc>
                <w:tcPr>
                  <w:tcW w:w="568"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最近距离/m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63" w:type="pct"/>
                  <w:vMerge w:val="restar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大气环境</w:t>
                  </w:r>
                </w:p>
              </w:tc>
              <w:tc>
                <w:tcPr>
                  <w:tcW w:w="672"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卡龙镇才盖村村民</w:t>
                  </w:r>
                </w:p>
              </w:tc>
              <w:tc>
                <w:tcPr>
                  <w:tcW w:w="685"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居住</w:t>
                  </w:r>
                </w:p>
              </w:tc>
              <w:tc>
                <w:tcPr>
                  <w:tcW w:w="588"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约 200人</w:t>
                  </w:r>
                </w:p>
              </w:tc>
              <w:tc>
                <w:tcPr>
                  <w:tcW w:w="882" w:type="pct"/>
                  <w:vMerge w:val="restar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《环境空气质量标准》（GB3095-2026）中的一级标准</w:t>
                  </w:r>
                </w:p>
              </w:tc>
              <w:tc>
                <w:tcPr>
                  <w:tcW w:w="489" w:type="pct"/>
                  <w:vMerge w:val="restar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一类功能区</w:t>
                  </w:r>
                </w:p>
              </w:tc>
              <w:tc>
                <w:tcPr>
                  <w:tcW w:w="653"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东西两侧</w:t>
                  </w:r>
                </w:p>
              </w:tc>
              <w:tc>
                <w:tcPr>
                  <w:tcW w:w="568" w:type="pct"/>
                  <w:vAlign w:val="center"/>
                </w:tcPr>
                <w:p>
                  <w:pPr>
                    <w:spacing w:line="240" w:lineRule="auto"/>
                    <w:ind w:firstLine="0" w:firstLineChars="0"/>
                    <w:contextualSpacing/>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63" w:type="pct"/>
                  <w:vMerge w:val="continue"/>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p>
              </w:tc>
              <w:tc>
                <w:tcPr>
                  <w:tcW w:w="672"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达古冰山—卡龙沟风景名胜区</w:t>
                  </w:r>
                </w:p>
              </w:tc>
              <w:tc>
                <w:tcPr>
                  <w:tcW w:w="685"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风景名胜区</w:t>
                  </w:r>
                </w:p>
              </w:tc>
              <w:tc>
                <w:tcPr>
                  <w:tcW w:w="588"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w:t>
                  </w:r>
                </w:p>
              </w:tc>
              <w:tc>
                <w:tcPr>
                  <w:tcW w:w="882" w:type="pct"/>
                  <w:vMerge w:val="continue"/>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p>
              </w:tc>
              <w:tc>
                <w:tcPr>
                  <w:tcW w:w="489" w:type="pct"/>
                  <w:vMerge w:val="continue"/>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p>
              </w:tc>
              <w:tc>
                <w:tcPr>
                  <w:tcW w:w="653"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在达古冰山—卡龙沟风景名胜区内</w:t>
                  </w:r>
                </w:p>
              </w:tc>
              <w:tc>
                <w:tcPr>
                  <w:tcW w:w="568" w:type="pct"/>
                  <w:vAlign w:val="center"/>
                </w:tcPr>
                <w:p>
                  <w:pPr>
                    <w:spacing w:line="240" w:lineRule="auto"/>
                    <w:ind w:firstLine="0" w:firstLineChars="0"/>
                    <w:contextualSpacing/>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w:t>
                  </w:r>
                </w:p>
              </w:tc>
            </w:tr>
          </w:tbl>
          <w:p>
            <w:pPr>
              <w:ind w:firstLine="482"/>
              <w:rPr>
                <w:rFonts w:eastAsiaTheme="minorEastAsia"/>
                <w:b/>
                <w:color w:val="000000" w:themeColor="text1"/>
                <w:kern w:val="0"/>
                <w14:textFill>
                  <w14:solidFill>
                    <w14:schemeClr w14:val="tx1"/>
                  </w14:solidFill>
                </w14:textFill>
              </w:rPr>
            </w:pPr>
            <w:r>
              <w:rPr>
                <w:rFonts w:eastAsiaTheme="minorEastAsia"/>
                <w:b/>
                <w:color w:val="000000" w:themeColor="text1"/>
                <w:kern w:val="0"/>
                <w14:textFill>
                  <w14:solidFill>
                    <w14:schemeClr w14:val="tx1"/>
                  </w14:solidFill>
                </w14:textFill>
              </w:rPr>
              <w:t>（3）地表水环境</w:t>
            </w:r>
          </w:p>
          <w:p>
            <w:pPr>
              <w:ind w:firstLine="480"/>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本项目周边最近的地表水环境保护目标为小黑水河。</w:t>
            </w:r>
          </w:p>
          <w:p>
            <w:pPr>
              <w:pStyle w:val="80"/>
              <w:spacing w:before="166"/>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表3-12 地表水保护目标</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566"/>
              <w:gridCol w:w="776"/>
              <w:gridCol w:w="671"/>
              <w:gridCol w:w="1029"/>
              <w:gridCol w:w="1515"/>
              <w:gridCol w:w="805"/>
              <w:gridCol w:w="671"/>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465"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bookmarkStart w:id="30" w:name="OLE_LINK19"/>
                  <w:r>
                    <w:rPr>
                      <w:rFonts w:eastAsiaTheme="minorEastAsia"/>
                      <w:b/>
                      <w:color w:val="000000" w:themeColor="text1"/>
                      <w:kern w:val="0"/>
                      <w:sz w:val="21"/>
                      <w:szCs w:val="21"/>
                      <w14:textFill>
                        <w14:solidFill>
                          <w14:schemeClr w14:val="tx1"/>
                        </w14:solidFill>
                      </w14:textFill>
                    </w:rPr>
                    <w:t>环境要素</w:t>
                  </w:r>
                </w:p>
              </w:tc>
              <w:tc>
                <w:tcPr>
                  <w:tcW w:w="380"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名称</w:t>
                  </w:r>
                </w:p>
              </w:tc>
              <w:tc>
                <w:tcPr>
                  <w:tcW w:w="521"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保护</w:t>
                  </w:r>
                </w:p>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对象</w:t>
                  </w:r>
                </w:p>
              </w:tc>
              <w:tc>
                <w:tcPr>
                  <w:tcW w:w="450"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规模</w:t>
                  </w:r>
                </w:p>
              </w:tc>
              <w:tc>
                <w:tcPr>
                  <w:tcW w:w="691"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类型</w:t>
                  </w:r>
                </w:p>
              </w:tc>
              <w:tc>
                <w:tcPr>
                  <w:tcW w:w="1017"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保护</w:t>
                  </w:r>
                </w:p>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内容</w:t>
                  </w:r>
                </w:p>
              </w:tc>
              <w:tc>
                <w:tcPr>
                  <w:tcW w:w="540"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环境功能区</w:t>
                  </w:r>
                </w:p>
              </w:tc>
              <w:tc>
                <w:tcPr>
                  <w:tcW w:w="450"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相对方位</w:t>
                  </w:r>
                </w:p>
              </w:tc>
              <w:tc>
                <w:tcPr>
                  <w:tcW w:w="486"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相对距离/m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65"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地表水环境</w:t>
                  </w:r>
                </w:p>
              </w:tc>
              <w:tc>
                <w:tcPr>
                  <w:tcW w:w="380"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小黑水河</w:t>
                  </w:r>
                </w:p>
              </w:tc>
              <w:tc>
                <w:tcPr>
                  <w:tcW w:w="521"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地表水</w:t>
                  </w:r>
                </w:p>
              </w:tc>
              <w:tc>
                <w:tcPr>
                  <w:tcW w:w="450"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小河</w:t>
                  </w:r>
                </w:p>
              </w:tc>
              <w:tc>
                <w:tcPr>
                  <w:tcW w:w="691"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农灌、泄洪、饮用</w:t>
                  </w:r>
                </w:p>
              </w:tc>
              <w:tc>
                <w:tcPr>
                  <w:tcW w:w="1017"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《地表水环境质量标准》（GB3838-2002）Ⅱ类标准</w:t>
                  </w:r>
                </w:p>
              </w:tc>
              <w:tc>
                <w:tcPr>
                  <w:tcW w:w="540" w:type="pct"/>
                  <w:vAlign w:val="center"/>
                </w:tcPr>
                <w:p>
                  <w:pPr>
                    <w:spacing w:line="240" w:lineRule="auto"/>
                    <w:ind w:firstLine="0" w:firstLineChars="0"/>
                    <w:contextualSpacing/>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Ⅱ类水功能区</w:t>
                  </w:r>
                </w:p>
              </w:tc>
              <w:tc>
                <w:tcPr>
                  <w:tcW w:w="450" w:type="pct"/>
                  <w:vAlign w:val="center"/>
                </w:tcPr>
                <w:p>
                  <w:pPr>
                    <w:spacing w:line="240" w:lineRule="auto"/>
                    <w:ind w:firstLine="0" w:firstLineChars="0"/>
                    <w:contextualSpacing/>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东</w:t>
                  </w:r>
                </w:p>
              </w:tc>
              <w:tc>
                <w:tcPr>
                  <w:tcW w:w="486" w:type="pct"/>
                  <w:vAlign w:val="center"/>
                </w:tcPr>
                <w:p>
                  <w:pPr>
                    <w:spacing w:line="240" w:lineRule="auto"/>
                    <w:ind w:firstLine="0" w:firstLineChars="0"/>
                    <w:contextualSpacing/>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紧邻</w:t>
                  </w:r>
                </w:p>
              </w:tc>
            </w:tr>
            <w:bookmarkEnd w:id="30"/>
          </w:tbl>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（3）声环境</w:t>
            </w:r>
          </w:p>
          <w:p>
            <w:pPr>
              <w:pStyle w:val="78"/>
              <w:ind w:firstLine="480"/>
              <w:rPr>
                <w:rFonts w:hAnsi="Times New Roman" w:eastAsiaTheme="minorEastAsia"/>
                <w:bCs/>
                <w:color w:val="000000" w:themeColor="text1"/>
                <w:spacing w:val="-3"/>
                <w14:textFill>
                  <w14:solidFill>
                    <w14:schemeClr w14:val="tx1"/>
                  </w14:solidFill>
                </w14:textFill>
              </w:rPr>
            </w:pPr>
            <w:r>
              <w:rPr>
                <w:rFonts w:hAnsi="Times New Roman" w:eastAsiaTheme="minorEastAsia"/>
                <w:color w:val="000000" w:themeColor="text1"/>
                <w14:textFill>
                  <w14:solidFill>
                    <w14:schemeClr w14:val="tx1"/>
                  </w14:solidFill>
                </w14:textFill>
              </w:rPr>
              <w:t>本项目200米范围内声环境保护目标为</w:t>
            </w:r>
            <w:r>
              <w:rPr>
                <w:rFonts w:hAnsi="Times New Roman" w:eastAsiaTheme="minorEastAsia"/>
                <w:bCs/>
                <w:color w:val="000000" w:themeColor="text1"/>
                <w:spacing w:val="-3"/>
                <w14:textFill>
                  <w14:solidFill>
                    <w14:schemeClr w14:val="tx1"/>
                  </w14:solidFill>
                </w14:textFill>
              </w:rPr>
              <w:t>卡龙镇才盖村村民</w:t>
            </w:r>
            <w:r>
              <w:rPr>
                <w:rFonts w:hAnsi="Times New Roman" w:eastAsiaTheme="minorEastAsia"/>
                <w:color w:val="000000" w:themeColor="text1"/>
                <w14:textFill>
                  <w14:solidFill>
                    <w14:schemeClr w14:val="tx1"/>
                  </w14:solidFill>
                </w14:textFill>
              </w:rPr>
              <w:t>。本项目200 米范围大气环境保护目标如下。</w:t>
            </w:r>
          </w:p>
          <w:p>
            <w:pPr>
              <w:snapToGrid w:val="0"/>
              <w:spacing w:before="120" w:line="240" w:lineRule="auto"/>
              <w:ind w:firstLine="0" w:firstLineChars="0"/>
              <w:jc w:val="center"/>
              <w:rPr>
                <w:rFonts w:eastAsiaTheme="minorEastAsia"/>
                <w:b/>
                <w:color w:val="000000" w:themeColor="text1"/>
                <w:sz w:val="21"/>
                <w:szCs w:val="20"/>
                <w14:textFill>
                  <w14:solidFill>
                    <w14:schemeClr w14:val="tx1"/>
                  </w14:solidFill>
                </w14:textFill>
              </w:rPr>
            </w:pPr>
            <w:r>
              <w:rPr>
                <w:rFonts w:eastAsiaTheme="minorEastAsia"/>
                <w:b/>
                <w:color w:val="000000" w:themeColor="text1"/>
                <w:sz w:val="21"/>
                <w:szCs w:val="20"/>
                <w14:textFill>
                  <w14:solidFill>
                    <w14:schemeClr w14:val="tx1"/>
                  </w14:solidFill>
                </w14:textFill>
              </w:rPr>
              <w:t>表 3-13 环境空气环境敏感点保护目标</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002"/>
              <w:gridCol w:w="1021"/>
              <w:gridCol w:w="876"/>
              <w:gridCol w:w="1315"/>
              <w:gridCol w:w="729"/>
              <w:gridCol w:w="973"/>
              <w:gridCol w:w="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63"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环境</w:t>
                  </w:r>
                </w:p>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要素</w:t>
                  </w:r>
                </w:p>
              </w:tc>
              <w:tc>
                <w:tcPr>
                  <w:tcW w:w="672"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名称</w:t>
                  </w:r>
                </w:p>
              </w:tc>
              <w:tc>
                <w:tcPr>
                  <w:tcW w:w="685"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保护</w:t>
                  </w:r>
                </w:p>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对象</w:t>
                  </w:r>
                </w:p>
              </w:tc>
              <w:tc>
                <w:tcPr>
                  <w:tcW w:w="588"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规模</w:t>
                  </w:r>
                </w:p>
              </w:tc>
              <w:tc>
                <w:tcPr>
                  <w:tcW w:w="882"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保护</w:t>
                  </w:r>
                </w:p>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内容</w:t>
                  </w:r>
                </w:p>
              </w:tc>
              <w:tc>
                <w:tcPr>
                  <w:tcW w:w="489"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环境功能区</w:t>
                  </w:r>
                </w:p>
              </w:tc>
              <w:tc>
                <w:tcPr>
                  <w:tcW w:w="653"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相对方位</w:t>
                  </w:r>
                </w:p>
              </w:tc>
              <w:tc>
                <w:tcPr>
                  <w:tcW w:w="568" w:type="pct"/>
                  <w:vAlign w:val="center"/>
                </w:tcPr>
                <w:p>
                  <w:pPr>
                    <w:autoSpaceDE w:val="0"/>
                    <w:autoSpaceDN w:val="0"/>
                    <w:spacing w:line="240" w:lineRule="auto"/>
                    <w:ind w:firstLine="0" w:firstLineChars="0"/>
                    <w:jc w:val="center"/>
                    <w:textAlignment w:val="bottom"/>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最近距离/m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63"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声环境</w:t>
                  </w:r>
                </w:p>
              </w:tc>
              <w:tc>
                <w:tcPr>
                  <w:tcW w:w="672"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卡龙镇才盖村村民</w:t>
                  </w:r>
                </w:p>
              </w:tc>
              <w:tc>
                <w:tcPr>
                  <w:tcW w:w="685"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居住</w:t>
                  </w:r>
                </w:p>
              </w:tc>
              <w:tc>
                <w:tcPr>
                  <w:tcW w:w="588"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约 50人</w:t>
                  </w:r>
                </w:p>
              </w:tc>
              <w:tc>
                <w:tcPr>
                  <w:tcW w:w="882"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《声环境质量标准》（GB3096-2008）中2类标准</w:t>
                  </w:r>
                </w:p>
              </w:tc>
              <w:tc>
                <w:tcPr>
                  <w:tcW w:w="489"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2类功能区</w:t>
                  </w:r>
                </w:p>
              </w:tc>
              <w:tc>
                <w:tcPr>
                  <w:tcW w:w="653" w:type="pct"/>
                  <w:vAlign w:val="center"/>
                </w:tcPr>
                <w:p>
                  <w:pPr>
                    <w:autoSpaceDE w:val="0"/>
                    <w:autoSpaceDN w:val="0"/>
                    <w:spacing w:line="240" w:lineRule="auto"/>
                    <w:ind w:firstLine="0" w:firstLineChars="0"/>
                    <w:jc w:val="center"/>
                    <w:textAlignment w:val="bottom"/>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东西两侧侧</w:t>
                  </w:r>
                </w:p>
              </w:tc>
              <w:tc>
                <w:tcPr>
                  <w:tcW w:w="568" w:type="pct"/>
                  <w:vAlign w:val="center"/>
                </w:tcPr>
                <w:p>
                  <w:pPr>
                    <w:spacing w:line="240" w:lineRule="auto"/>
                    <w:ind w:firstLine="0" w:firstLineChars="0"/>
                    <w:contextualSpacing/>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5</w:t>
                  </w:r>
                </w:p>
              </w:tc>
            </w:tr>
          </w:tbl>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（4）</w:t>
            </w:r>
            <w:r>
              <w:rPr>
                <w:rFonts w:hAnsi="Times New Roman" w:eastAsiaTheme="minorEastAsia"/>
                <w:b/>
                <w:bCs/>
                <w:color w:val="000000" w:themeColor="text1"/>
                <w14:textFill>
                  <w14:solidFill>
                    <w14:schemeClr w14:val="tx1"/>
                  </w14:solidFill>
                </w14:textFill>
              </w:rPr>
              <w:t>生态环境</w:t>
            </w:r>
          </w:p>
          <w:p>
            <w:pPr>
              <w:widowControl/>
              <w:ind w:firstLine="480"/>
              <w:contextualSpacing/>
              <w:rPr>
                <w:rFonts w:eastAsiaTheme="minorEastAsia"/>
                <w:b/>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本项目选址于位于小黑水河干流卡龙镇，</w:t>
            </w:r>
            <w:bookmarkStart w:id="31" w:name="OLE_LINK70"/>
            <w:bookmarkStart w:id="32" w:name="OLE_LINK71"/>
            <w:r>
              <w:rPr>
                <w:rFonts w:eastAsiaTheme="minorEastAsia"/>
                <w:b/>
                <w:color w:val="000000" w:themeColor="text1"/>
                <w:kern w:val="0"/>
                <w14:textFill>
                  <w14:solidFill>
                    <w14:schemeClr w14:val="tx1"/>
                  </w14:solidFill>
                </w14:textFill>
              </w:rPr>
              <w:t>项目</w:t>
            </w:r>
            <w:r>
              <w:rPr>
                <w:rFonts w:eastAsiaTheme="minorEastAsia"/>
                <w:b/>
                <w:bCs/>
                <w:color w:val="000000" w:themeColor="text1"/>
                <w:kern w:val="0"/>
                <w14:textFill>
                  <w14:solidFill>
                    <w14:schemeClr w14:val="tx1"/>
                  </w14:solidFill>
                </w14:textFill>
              </w:rPr>
              <w:t>位于达古冰山—卡龙沟风景名胜区三级保护区</w:t>
            </w:r>
            <w:bookmarkEnd w:id="31"/>
            <w:bookmarkEnd w:id="32"/>
            <w:r>
              <w:rPr>
                <w:rFonts w:eastAsiaTheme="minorEastAsia"/>
                <w:color w:val="000000" w:themeColor="text1"/>
                <w:kern w:val="0"/>
                <w:lang w:bidi="ar"/>
                <w14:textFill>
                  <w14:solidFill>
                    <w14:schemeClr w14:val="tx1"/>
                  </w14:solidFill>
                </w14:textFill>
              </w:rPr>
              <w:t>，</w:t>
            </w:r>
            <w:r>
              <w:rPr>
                <w:rFonts w:eastAsiaTheme="minorEastAsia"/>
                <w:color w:val="000000" w:themeColor="text1"/>
                <w:kern w:val="0"/>
                <w14:textFill>
                  <w14:solidFill>
                    <w14:schemeClr w14:val="tx1"/>
                  </w14:solidFill>
                </w14:textFill>
              </w:rPr>
              <w:t>但不涉及国家公园、自然保护区、世界文化和自然遗产地等特殊生态敏感区，也无风景名胜区、重要水生生物的自然产卵场、索饵场、越冬场和洄游通道，无重点保护野生动物栖息地、重点保护野生植物生长繁殖地等特殊及重要生态敏感区。</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项目生态环境保护目标情况见下表。</w:t>
            </w:r>
          </w:p>
          <w:p>
            <w:pPr>
              <w:pStyle w:val="80"/>
              <w:spacing w:before="166"/>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 xml:space="preserve">表3-14 </w:t>
            </w:r>
            <w:r>
              <w:rPr>
                <w:rFonts w:hAnsi="Times New Roman" w:eastAsiaTheme="minorEastAsia"/>
                <w:color w:val="000000" w:themeColor="text1"/>
                <w:spacing w:val="-3"/>
                <w14:textFill>
                  <w14:solidFill>
                    <w14:schemeClr w14:val="tx1"/>
                  </w14:solidFill>
                </w14:textFill>
              </w:rPr>
              <w:t>生态</w:t>
            </w:r>
            <w:r>
              <w:rPr>
                <w:rFonts w:hAnsi="Times New Roman" w:eastAsiaTheme="minorEastAsia"/>
                <w:color w:val="000000" w:themeColor="text1"/>
                <w14:textFill>
                  <w14:solidFill>
                    <w14:schemeClr w14:val="tx1"/>
                  </w14:solidFill>
                </w14:textFill>
              </w:rPr>
              <w:t>环境保护目标一览表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11"/>
              <w:gridCol w:w="1665"/>
              <w:gridCol w:w="5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1" w:hRule="atLeast"/>
                <w:jc w:val="center"/>
              </w:trPr>
              <w:tc>
                <w:tcPr>
                  <w:tcW w:w="410" w:type="pct"/>
                  <w:vAlign w:val="center"/>
                </w:tcPr>
                <w:p>
                  <w:pPr>
                    <w:spacing w:line="240" w:lineRule="auto"/>
                    <w:ind w:firstLine="0" w:firstLineChars="0"/>
                    <w:jc w:val="center"/>
                    <w:rPr>
                      <w:rFonts w:eastAsiaTheme="minorEastAsia"/>
                      <w:b/>
                      <w:bCs/>
                      <w:color w:val="000000" w:themeColor="text1"/>
                      <w:sz w:val="21"/>
                      <w:szCs w:val="21"/>
                      <w:shd w:val="clear" w:color="auto" w:fill="FFFFFF"/>
                      <w:lang w:val="zh-CN"/>
                      <w14:textFill>
                        <w14:solidFill>
                          <w14:schemeClr w14:val="tx1"/>
                        </w14:solidFill>
                      </w14:textFill>
                    </w:rPr>
                  </w:pPr>
                  <w:r>
                    <w:rPr>
                      <w:rFonts w:eastAsiaTheme="minorEastAsia"/>
                      <w:b/>
                      <w:bCs/>
                      <w:color w:val="000000" w:themeColor="text1"/>
                      <w:sz w:val="21"/>
                      <w:szCs w:val="21"/>
                      <w:shd w:val="clear" w:color="auto" w:fill="FFFFFF"/>
                      <w:lang w:val="zh-CN"/>
                      <w14:textFill>
                        <w14:solidFill>
                          <w14:schemeClr w14:val="tx1"/>
                        </w14:solidFill>
                      </w14:textFill>
                    </w:rPr>
                    <w:t>环境</w:t>
                  </w:r>
                </w:p>
                <w:p>
                  <w:pPr>
                    <w:spacing w:line="240" w:lineRule="auto"/>
                    <w:ind w:firstLine="0" w:firstLineChars="0"/>
                    <w:jc w:val="center"/>
                    <w:rPr>
                      <w:rFonts w:eastAsiaTheme="minorEastAsia"/>
                      <w:b/>
                      <w:bCs/>
                      <w:color w:val="000000" w:themeColor="text1"/>
                      <w:sz w:val="21"/>
                      <w:szCs w:val="21"/>
                      <w:shd w:val="clear" w:color="auto" w:fill="FFFFFF"/>
                      <w:lang w:val="zh-CN"/>
                      <w14:textFill>
                        <w14:solidFill>
                          <w14:schemeClr w14:val="tx1"/>
                        </w14:solidFill>
                      </w14:textFill>
                    </w:rPr>
                  </w:pPr>
                  <w:r>
                    <w:rPr>
                      <w:rFonts w:eastAsiaTheme="minorEastAsia"/>
                      <w:b/>
                      <w:bCs/>
                      <w:color w:val="000000" w:themeColor="text1"/>
                      <w:sz w:val="21"/>
                      <w:szCs w:val="21"/>
                      <w:shd w:val="clear" w:color="auto" w:fill="FFFFFF"/>
                      <w:lang w:val="zh-CN"/>
                      <w14:textFill>
                        <w14:solidFill>
                          <w14:schemeClr w14:val="tx1"/>
                        </w14:solidFill>
                      </w14:textFill>
                    </w:rPr>
                    <w:t>要素</w:t>
                  </w:r>
                </w:p>
              </w:tc>
              <w:tc>
                <w:tcPr>
                  <w:tcW w:w="1117" w:type="pct"/>
                  <w:shd w:val="clear" w:color="auto" w:fill="auto"/>
                  <w:vAlign w:val="center"/>
                </w:tcPr>
                <w:p>
                  <w:pPr>
                    <w:spacing w:line="240" w:lineRule="auto"/>
                    <w:ind w:firstLine="0" w:firstLineChars="0"/>
                    <w:jc w:val="center"/>
                    <w:rPr>
                      <w:rFonts w:eastAsiaTheme="minorEastAsia"/>
                      <w:b/>
                      <w:bCs/>
                      <w:color w:val="000000" w:themeColor="text1"/>
                      <w:sz w:val="21"/>
                      <w:szCs w:val="21"/>
                      <w:shd w:val="clear" w:color="auto" w:fill="FFFFFF"/>
                      <w:lang w:val="zh-CN"/>
                      <w14:textFill>
                        <w14:solidFill>
                          <w14:schemeClr w14:val="tx1"/>
                        </w14:solidFill>
                      </w14:textFill>
                    </w:rPr>
                  </w:pPr>
                  <w:r>
                    <w:rPr>
                      <w:rFonts w:eastAsiaTheme="minorEastAsia"/>
                      <w:b/>
                      <w:bCs/>
                      <w:color w:val="000000" w:themeColor="text1"/>
                      <w:sz w:val="21"/>
                      <w:szCs w:val="21"/>
                      <w:shd w:val="clear" w:color="auto" w:fill="FFFFFF"/>
                      <w:lang w:val="zh-CN"/>
                      <w14:textFill>
                        <w14:solidFill>
                          <w14:schemeClr w14:val="tx1"/>
                        </w14:solidFill>
                      </w14:textFill>
                    </w:rPr>
                    <w:t>保护对象</w:t>
                  </w:r>
                </w:p>
                <w:p>
                  <w:pPr>
                    <w:spacing w:line="240" w:lineRule="auto"/>
                    <w:ind w:firstLine="0" w:firstLineChars="0"/>
                    <w:jc w:val="center"/>
                    <w:rPr>
                      <w:rFonts w:eastAsiaTheme="minorEastAsia"/>
                      <w:b/>
                      <w:bCs/>
                      <w:color w:val="000000" w:themeColor="text1"/>
                      <w:sz w:val="21"/>
                      <w:szCs w:val="21"/>
                      <w:shd w:val="clear" w:color="auto" w:fill="FFFFFF"/>
                      <w14:textFill>
                        <w14:solidFill>
                          <w14:schemeClr w14:val="tx1"/>
                        </w14:solidFill>
                      </w14:textFill>
                    </w:rPr>
                  </w:pPr>
                  <w:r>
                    <w:rPr>
                      <w:rFonts w:eastAsiaTheme="minorEastAsia"/>
                      <w:b/>
                      <w:bCs/>
                      <w:color w:val="000000" w:themeColor="text1"/>
                      <w:sz w:val="21"/>
                      <w:szCs w:val="21"/>
                      <w:shd w:val="clear" w:color="auto" w:fill="FFFFFF"/>
                      <w:lang w:val="zh-CN"/>
                      <w14:textFill>
                        <w14:solidFill>
                          <w14:schemeClr w14:val="tx1"/>
                        </w14:solidFill>
                      </w14:textFill>
                    </w:rPr>
                    <w:t>名称</w:t>
                  </w:r>
                </w:p>
              </w:tc>
              <w:tc>
                <w:tcPr>
                  <w:tcW w:w="3473" w:type="pct"/>
                  <w:vAlign w:val="center"/>
                </w:tcPr>
                <w:p>
                  <w:pPr>
                    <w:spacing w:line="240" w:lineRule="auto"/>
                    <w:ind w:firstLine="0" w:firstLineChars="0"/>
                    <w:jc w:val="center"/>
                    <w:rPr>
                      <w:rFonts w:eastAsiaTheme="minorEastAsia"/>
                      <w:b/>
                      <w:bCs/>
                      <w:color w:val="000000" w:themeColor="text1"/>
                      <w:sz w:val="21"/>
                      <w:szCs w:val="21"/>
                      <w:shd w:val="clear" w:color="auto" w:fill="FFFFFF"/>
                      <w:lang w:val="zh-CN"/>
                      <w14:textFill>
                        <w14:solidFill>
                          <w14:schemeClr w14:val="tx1"/>
                        </w14:solidFill>
                      </w14:textFill>
                    </w:rPr>
                  </w:pPr>
                  <w:r>
                    <w:rPr>
                      <w:rFonts w:eastAsiaTheme="minorEastAsia"/>
                      <w:b/>
                      <w:bCs/>
                      <w:color w:val="000000" w:themeColor="text1"/>
                      <w:sz w:val="21"/>
                      <w:szCs w:val="21"/>
                      <w:shd w:val="clear" w:color="auto" w:fill="FFFFFF"/>
                      <w:lang w:val="zh-CN"/>
                      <w14:textFill>
                        <w14:solidFill>
                          <w14:schemeClr w14:val="tx1"/>
                        </w14:solidFill>
                      </w14:textFill>
                    </w:rPr>
                    <w:t>保护内容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410" w:type="pct"/>
                  <w:vMerge w:val="restart"/>
                  <w:vAlign w:val="center"/>
                </w:tcPr>
                <w:p>
                  <w:pPr>
                    <w:spacing w:line="240" w:lineRule="auto"/>
                    <w:ind w:firstLine="0" w:firstLineChars="0"/>
                    <w:jc w:val="center"/>
                    <w:rPr>
                      <w:rFonts w:eastAsiaTheme="minorEastAsia"/>
                      <w:color w:val="000000" w:themeColor="text1"/>
                      <w:sz w:val="21"/>
                      <w:szCs w:val="21"/>
                      <w:shd w:val="clear" w:color="auto" w:fill="FFFFFF"/>
                      <w:lang w:val="zh-CN"/>
                      <w14:textFill>
                        <w14:solidFill>
                          <w14:schemeClr w14:val="tx1"/>
                        </w14:solidFill>
                      </w14:textFill>
                    </w:rPr>
                  </w:pPr>
                  <w:r>
                    <w:rPr>
                      <w:rFonts w:eastAsiaTheme="minorEastAsia"/>
                      <w:color w:val="000000" w:themeColor="text1"/>
                      <w:sz w:val="21"/>
                      <w:szCs w:val="21"/>
                      <w:shd w:val="clear" w:color="auto" w:fill="FFFFFF"/>
                      <w:lang w:val="zh-CN"/>
                      <w14:textFill>
                        <w14:solidFill>
                          <w14:schemeClr w14:val="tx1"/>
                        </w14:solidFill>
                      </w14:textFill>
                    </w:rPr>
                    <w:t>生态环境</w:t>
                  </w:r>
                </w:p>
              </w:tc>
              <w:tc>
                <w:tcPr>
                  <w:tcW w:w="1117" w:type="pct"/>
                  <w:shd w:val="clear" w:color="auto" w:fill="auto"/>
                  <w:vAlign w:val="center"/>
                </w:tcPr>
                <w:p>
                  <w:pPr>
                    <w:spacing w:line="240" w:lineRule="auto"/>
                    <w:ind w:firstLine="0" w:firstLineChars="0"/>
                    <w:jc w:val="center"/>
                    <w:rPr>
                      <w:rFonts w:eastAsiaTheme="minorEastAsia"/>
                      <w:color w:val="000000" w:themeColor="text1"/>
                      <w:sz w:val="21"/>
                      <w:szCs w:val="21"/>
                      <w:shd w:val="clear" w:color="auto" w:fill="FFFFFF"/>
                      <w14:textFill>
                        <w14:solidFill>
                          <w14:schemeClr w14:val="tx1"/>
                        </w14:solidFill>
                      </w14:textFill>
                    </w:rPr>
                  </w:pPr>
                  <w:r>
                    <w:rPr>
                      <w:rFonts w:eastAsiaTheme="minorEastAsia"/>
                      <w:color w:val="000000" w:themeColor="text1"/>
                      <w:sz w:val="21"/>
                      <w:szCs w:val="21"/>
                      <w:shd w:val="clear" w:color="auto" w:fill="FFFFFF"/>
                      <w14:textFill>
                        <w14:solidFill>
                          <w14:schemeClr w14:val="tx1"/>
                        </w14:solidFill>
                      </w14:textFill>
                    </w:rPr>
                    <w:t>陆生生态</w:t>
                  </w:r>
                </w:p>
              </w:tc>
              <w:tc>
                <w:tcPr>
                  <w:tcW w:w="3473" w:type="pct"/>
                  <w:vAlign w:val="center"/>
                </w:tcPr>
                <w:p>
                  <w:pPr>
                    <w:spacing w:line="240" w:lineRule="auto"/>
                    <w:ind w:firstLine="0" w:firstLineChars="0"/>
                    <w:rPr>
                      <w:rFonts w:eastAsiaTheme="minorEastAsia"/>
                      <w:color w:val="000000" w:themeColor="text1"/>
                      <w:sz w:val="21"/>
                      <w:szCs w:val="21"/>
                      <w:shd w:val="clear" w:color="auto" w:fill="FFFFFF"/>
                      <w:lang w:val="zh-CN"/>
                      <w14:textFill>
                        <w14:solidFill>
                          <w14:schemeClr w14:val="tx1"/>
                        </w14:solidFill>
                      </w14:textFill>
                    </w:rPr>
                  </w:pPr>
                  <w:r>
                    <w:rPr>
                      <w:rFonts w:eastAsiaTheme="minorEastAsia"/>
                      <w:color w:val="000000" w:themeColor="text1"/>
                      <w:sz w:val="21"/>
                      <w:szCs w:val="21"/>
                      <w:shd w:val="clear" w:color="auto" w:fill="FFFFFF"/>
                      <w:lang w:val="zh-CN"/>
                      <w14:textFill>
                        <w14:solidFill>
                          <w14:schemeClr w14:val="tx1"/>
                        </w14:solidFill>
                      </w14:textFill>
                    </w:rPr>
                    <w:t>工程影响区范围内需要保护的物种、种群、生物群落及生态空间等。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410" w:type="pct"/>
                  <w:vMerge w:val="continue"/>
                  <w:vAlign w:val="center"/>
                </w:tcPr>
                <w:p>
                  <w:pPr>
                    <w:spacing w:line="240" w:lineRule="auto"/>
                    <w:ind w:firstLine="0" w:firstLineChars="0"/>
                    <w:jc w:val="center"/>
                    <w:rPr>
                      <w:rFonts w:eastAsiaTheme="minorEastAsia"/>
                      <w:color w:val="000000" w:themeColor="text1"/>
                      <w:sz w:val="21"/>
                      <w:szCs w:val="21"/>
                      <w:shd w:val="clear" w:color="auto" w:fill="FFFFFF"/>
                      <w:lang w:val="zh-CN"/>
                      <w14:textFill>
                        <w14:solidFill>
                          <w14:schemeClr w14:val="tx1"/>
                        </w14:solidFill>
                      </w14:textFill>
                    </w:rPr>
                  </w:pPr>
                </w:p>
              </w:tc>
              <w:tc>
                <w:tcPr>
                  <w:tcW w:w="1117" w:type="pct"/>
                  <w:shd w:val="clear" w:color="auto" w:fill="auto"/>
                  <w:vAlign w:val="center"/>
                </w:tcPr>
                <w:p>
                  <w:pPr>
                    <w:spacing w:line="240" w:lineRule="auto"/>
                    <w:ind w:firstLine="0" w:firstLineChars="0"/>
                    <w:jc w:val="center"/>
                    <w:rPr>
                      <w:rFonts w:eastAsiaTheme="minorEastAsia"/>
                      <w:color w:val="000000" w:themeColor="text1"/>
                      <w:sz w:val="21"/>
                      <w:szCs w:val="21"/>
                      <w:shd w:val="clear" w:color="auto" w:fill="FFFFFF"/>
                      <w14:textFill>
                        <w14:solidFill>
                          <w14:schemeClr w14:val="tx1"/>
                        </w14:solidFill>
                      </w14:textFill>
                    </w:rPr>
                  </w:pPr>
                  <w:r>
                    <w:rPr>
                      <w:rFonts w:eastAsiaTheme="minorEastAsia"/>
                      <w:color w:val="000000" w:themeColor="text1"/>
                      <w:sz w:val="21"/>
                      <w:szCs w:val="21"/>
                      <w:shd w:val="clear" w:color="auto" w:fill="FFFFFF"/>
                      <w14:textFill>
                        <w14:solidFill>
                          <w14:schemeClr w14:val="tx1"/>
                        </w14:solidFill>
                      </w14:textFill>
                    </w:rPr>
                    <w:t>水生生态</w:t>
                  </w:r>
                </w:p>
              </w:tc>
              <w:tc>
                <w:tcPr>
                  <w:tcW w:w="3473" w:type="pct"/>
                  <w:vAlign w:val="center"/>
                </w:tcPr>
                <w:p>
                  <w:pPr>
                    <w:spacing w:line="240" w:lineRule="auto"/>
                    <w:ind w:firstLine="0" w:firstLineChars="0"/>
                    <w:rPr>
                      <w:rFonts w:eastAsiaTheme="minorEastAsia"/>
                      <w:color w:val="000000" w:themeColor="text1"/>
                      <w:sz w:val="21"/>
                      <w:szCs w:val="21"/>
                      <w:shd w:val="clear" w:color="auto" w:fill="FFFFFF"/>
                      <w14:textFill>
                        <w14:solidFill>
                          <w14:schemeClr w14:val="tx1"/>
                        </w14:solidFill>
                      </w14:textFill>
                    </w:rPr>
                  </w:pPr>
                  <w:r>
                    <w:rPr>
                      <w:rFonts w:eastAsiaTheme="minorEastAsia"/>
                      <w:color w:val="000000" w:themeColor="text1"/>
                      <w:sz w:val="21"/>
                      <w:szCs w:val="21"/>
                      <w:shd w:val="clear" w:color="auto" w:fill="FFFFFF"/>
                      <w14:textFill>
                        <w14:solidFill>
                          <w14:schemeClr w14:val="tx1"/>
                        </w14:solidFill>
                      </w14:textFill>
                    </w:rPr>
                    <w:t>工程影响河段需要保护的物种、种群、生物群落及生态空间等。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410" w:type="pct"/>
                  <w:vMerge w:val="continue"/>
                  <w:vAlign w:val="center"/>
                </w:tcPr>
                <w:p>
                  <w:pPr>
                    <w:spacing w:line="240" w:lineRule="auto"/>
                    <w:ind w:firstLine="0" w:firstLineChars="0"/>
                    <w:jc w:val="center"/>
                    <w:rPr>
                      <w:rFonts w:eastAsiaTheme="minorEastAsia"/>
                      <w:color w:val="000000" w:themeColor="text1"/>
                      <w:sz w:val="21"/>
                      <w:szCs w:val="21"/>
                      <w:shd w:val="clear" w:color="auto" w:fill="FFFFFF"/>
                      <w:lang w:val="zh-CN"/>
                      <w14:textFill>
                        <w14:solidFill>
                          <w14:schemeClr w14:val="tx1"/>
                        </w14:solidFill>
                      </w14:textFill>
                    </w:rPr>
                  </w:pPr>
                </w:p>
              </w:tc>
              <w:tc>
                <w:tcPr>
                  <w:tcW w:w="1117" w:type="pct"/>
                  <w:shd w:val="clear" w:color="auto" w:fill="auto"/>
                  <w:vAlign w:val="center"/>
                </w:tcPr>
                <w:p>
                  <w:pPr>
                    <w:spacing w:line="240" w:lineRule="auto"/>
                    <w:ind w:firstLine="0" w:firstLineChars="0"/>
                    <w:jc w:val="center"/>
                    <w:rPr>
                      <w:rFonts w:eastAsiaTheme="minorEastAsia"/>
                      <w:color w:val="000000" w:themeColor="text1"/>
                      <w:sz w:val="21"/>
                      <w:szCs w:val="21"/>
                      <w:shd w:val="clear" w:color="auto" w:fill="FFFFFF"/>
                      <w14:textFill>
                        <w14:solidFill>
                          <w14:schemeClr w14:val="tx1"/>
                        </w14:solidFill>
                      </w14:textFill>
                    </w:rPr>
                  </w:pPr>
                  <w:r>
                    <w:rPr>
                      <w:rFonts w:eastAsiaTheme="minorEastAsia"/>
                      <w:color w:val="000000" w:themeColor="text1"/>
                      <w:sz w:val="21"/>
                      <w:szCs w:val="21"/>
                      <w:shd w:val="clear" w:color="auto" w:fill="FFFFFF"/>
                      <w14:textFill>
                        <w14:solidFill>
                          <w14:schemeClr w14:val="tx1"/>
                        </w14:solidFill>
                      </w14:textFill>
                    </w:rPr>
                    <w:t>达古冰山—卡龙沟风景名胜区</w:t>
                  </w:r>
                </w:p>
              </w:tc>
              <w:tc>
                <w:tcPr>
                  <w:tcW w:w="3473" w:type="pct"/>
                  <w:vAlign w:val="center"/>
                </w:tcPr>
                <w:p>
                  <w:pPr>
                    <w:spacing w:line="240" w:lineRule="auto"/>
                    <w:ind w:firstLine="0" w:firstLineChars="0"/>
                    <w:rPr>
                      <w:rFonts w:eastAsiaTheme="minorEastAsia"/>
                      <w:color w:val="000000" w:themeColor="text1"/>
                      <w:sz w:val="21"/>
                      <w:szCs w:val="21"/>
                      <w:shd w:val="clear" w:color="auto" w:fill="FFFFFF"/>
                      <w:lang w:val="zh-CN"/>
                      <w14:textFill>
                        <w14:solidFill>
                          <w14:schemeClr w14:val="tx1"/>
                        </w14:solidFill>
                      </w14:textFill>
                    </w:rPr>
                  </w:pPr>
                  <w:r>
                    <w:rPr>
                      <w:rFonts w:eastAsiaTheme="minorEastAsia"/>
                      <w:color w:val="000000" w:themeColor="text1"/>
                      <w:sz w:val="21"/>
                      <w:szCs w:val="21"/>
                      <w:shd w:val="clear" w:color="auto" w:fill="FFFFFF"/>
                      <w:lang w:val="zh-CN"/>
                      <w14:textFill>
                        <w14:solidFill>
                          <w14:schemeClr w14:val="tx1"/>
                        </w14:solidFill>
                      </w14:textFill>
                    </w:rPr>
                    <w:t>项目位于达古冰山-卡龙沟风景名胜区三级保护区，主要保护</w:t>
                  </w:r>
                  <w:r>
                    <w:rPr>
                      <w:rFonts w:hint="eastAsia" w:eastAsiaTheme="minorEastAsia"/>
                      <w:color w:val="000000" w:themeColor="text1"/>
                      <w:sz w:val="21"/>
                      <w:szCs w:val="21"/>
                      <w:shd w:val="clear" w:color="auto" w:fill="FFFFFF"/>
                      <w:lang w:val="zh-CN"/>
                      <w14:textFill>
                        <w14:solidFill>
                          <w14:schemeClr w14:val="tx1"/>
                        </w14:solidFill>
                      </w14:textFill>
                    </w:rPr>
                    <w:t>野生动物、藏情景观（特色藏寨）</w:t>
                  </w:r>
                  <w:r>
                    <w:rPr>
                      <w:rFonts w:eastAsiaTheme="minorEastAsia"/>
                      <w:color w:val="000000" w:themeColor="text1"/>
                      <w:sz w:val="21"/>
                      <w:szCs w:val="21"/>
                      <w:shd w:val="clear" w:color="auto" w:fill="FFFFFF"/>
                      <w:lang w:val="zh-CN"/>
                      <w14:textFill>
                        <w14:solidFill>
                          <w14:schemeClr w14:val="tx1"/>
                        </w14:solidFill>
                      </w14:textFill>
                    </w:rPr>
                    <w:t>。</w:t>
                  </w:r>
                </w:p>
              </w:tc>
            </w:tr>
          </w:tbl>
          <w:p>
            <w:pPr>
              <w:pStyle w:val="88"/>
              <w:ind w:firstLine="0" w:firstLineChars="0"/>
              <w:rPr>
                <w:rFonts w:eastAsiaTheme="minorEastAsia"/>
                <w:color w:val="000000" w:themeColor="text1"/>
                <w14:textFill>
                  <w14:solidFill>
                    <w14:schemeClr w14:val="tx1"/>
                  </w14:solidFill>
                </w14:textFill>
              </w:rPr>
            </w:pPr>
          </w:p>
          <w:p>
            <w:pPr>
              <w:pStyle w:val="88"/>
              <w:ind w:firstLine="0" w:firstLineChars="0"/>
              <w:rPr>
                <w:rFonts w:eastAsiaTheme="minorEastAsia"/>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475" w:type="pct"/>
            <w:vAlign w:val="center"/>
          </w:tcPr>
          <w:p>
            <w:pPr>
              <w:pStyle w:val="13"/>
              <w:spacing w:after="0"/>
              <w:ind w:firstLine="0" w:firstLineChars="0"/>
              <w:jc w:val="center"/>
              <w:rPr>
                <w:rFonts w:ascii="Times New Roman" w:hAnsi="Times New Roman" w:eastAsiaTheme="minorEastAsia"/>
                <w:color w:val="000000" w:themeColor="text1"/>
                <w:kern w:val="0"/>
                <w:szCs w:val="21"/>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评价标准</w:t>
            </w:r>
          </w:p>
        </w:tc>
        <w:tc>
          <w:tcPr>
            <w:tcW w:w="4524" w:type="pct"/>
            <w:vAlign w:val="center"/>
          </w:tcPr>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一、环境质量标准</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1、大气环境</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执行国家《环境空气质量标准》（GB3095-2026）中一级标准限值要求。标准值见下表。</w:t>
            </w:r>
          </w:p>
          <w:p>
            <w:pPr>
              <w:pStyle w:val="80"/>
              <w:spacing w:before="166"/>
              <w:rPr>
                <w:rFonts w:hAnsi="Times New Roman" w:eastAsiaTheme="minorEastAsia"/>
                <w:color w:val="000000" w:themeColor="text1"/>
                <w:vertAlign w:val="superscript"/>
                <w14:textFill>
                  <w14:solidFill>
                    <w14:schemeClr w14:val="tx1"/>
                  </w14:solidFill>
                </w14:textFill>
              </w:rPr>
            </w:pPr>
            <w:r>
              <w:rPr>
                <w:rFonts w:hAnsi="Times New Roman" w:eastAsiaTheme="minorEastAsia"/>
                <w:color w:val="000000" w:themeColor="text1"/>
                <w14:textFill>
                  <w14:solidFill>
                    <w14:schemeClr w14:val="tx1"/>
                  </w14:solidFill>
                </w14:textFill>
              </w:rPr>
              <w:t>表3-15 《环境空气质量标准》（GB3095-2026）  单位：µg/m</w:t>
            </w:r>
            <w:r>
              <w:rPr>
                <w:rFonts w:hAnsi="Times New Roman" w:eastAsiaTheme="minorEastAsia"/>
                <w:color w:val="000000" w:themeColor="text1"/>
                <w:vertAlign w:val="superscript"/>
                <w14:textFill>
                  <w14:solidFill>
                    <w14:schemeClr w14:val="tx1"/>
                  </w14:solidFill>
                </w14:textFill>
              </w:rPr>
              <w:t>3</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813"/>
              <w:gridCol w:w="1112"/>
              <w:gridCol w:w="1114"/>
              <w:gridCol w:w="1112"/>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pct"/>
                  <w:vMerge w:val="restart"/>
                  <w:vAlign w:val="center"/>
                </w:tcPr>
                <w:p>
                  <w:pPr>
                    <w:widowControl/>
                    <w:spacing w:line="240" w:lineRule="auto"/>
                    <w:ind w:firstLine="0" w:firstLineChars="0"/>
                    <w:jc w:val="center"/>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污染物</w:t>
                  </w:r>
                </w:p>
                <w:p>
                  <w:pPr>
                    <w:widowControl/>
                    <w:spacing w:line="240" w:lineRule="auto"/>
                    <w:ind w:firstLine="0" w:firstLineChars="0"/>
                    <w:jc w:val="center"/>
                    <w:rPr>
                      <w:rFonts w:eastAsiaTheme="minorEastAsia"/>
                      <w:b/>
                      <w:color w:val="000000" w:themeColor="text1"/>
                      <w:kern w:val="0"/>
                      <w:sz w:val="21"/>
                      <w:szCs w:val="21"/>
                      <w14:textFill>
                        <w14:solidFill>
                          <w14:schemeClr w14:val="tx1"/>
                        </w14:solidFill>
                      </w14:textFill>
                    </w:rPr>
                  </w:pPr>
                  <w:r>
                    <w:rPr>
                      <w:rFonts w:eastAsiaTheme="minorEastAsia"/>
                      <w:b/>
                      <w:color w:val="000000" w:themeColor="text1"/>
                      <w:kern w:val="0"/>
                      <w:sz w:val="21"/>
                      <w:szCs w:val="21"/>
                      <w14:textFill>
                        <w14:solidFill>
                          <w14:schemeClr w14:val="tx1"/>
                        </w14:solidFill>
                      </w14:textFill>
                    </w:rPr>
                    <w:t>名称</w:t>
                  </w:r>
                </w:p>
              </w:tc>
              <w:tc>
                <w:tcPr>
                  <w:tcW w:w="4205" w:type="pct"/>
                  <w:gridSpan w:val="5"/>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17" w:type="dxa"/>
                  <w:vMerge w:val="continue"/>
                  <w:vAlign w:val="center"/>
                </w:tcPr>
                <w:p>
                  <w:pPr>
                    <w:widowControl/>
                    <w:spacing w:line="240" w:lineRule="auto"/>
                    <w:ind w:firstLine="0" w:firstLineChars="0"/>
                    <w:jc w:val="left"/>
                    <w:rPr>
                      <w:rFonts w:eastAsiaTheme="minorEastAsia"/>
                      <w:b/>
                      <w:color w:val="000000" w:themeColor="text1"/>
                      <w:kern w:val="0"/>
                      <w:sz w:val="21"/>
                      <w:szCs w:val="21"/>
                      <w14:textFill>
                        <w14:solidFill>
                          <w14:schemeClr w14:val="tx1"/>
                        </w14:solidFill>
                      </w14:textFill>
                    </w:rPr>
                  </w:pPr>
                </w:p>
              </w:tc>
              <w:tc>
                <w:tcPr>
                  <w:tcW w:w="1216" w:type="pct"/>
                  <w:vMerge w:val="restar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取值时间</w:t>
                  </w:r>
                </w:p>
              </w:tc>
              <w:tc>
                <w:tcPr>
                  <w:tcW w:w="1493" w:type="pct"/>
                  <w:gridSpan w:val="2"/>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过度阶段浓度限值</w:t>
                  </w:r>
                </w:p>
              </w:tc>
              <w:tc>
                <w:tcPr>
                  <w:tcW w:w="1495" w:type="pct"/>
                  <w:gridSpan w:val="2"/>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17" w:type="dxa"/>
                  <w:vMerge w:val="continue"/>
                  <w:vAlign w:val="center"/>
                </w:tcPr>
                <w:p>
                  <w:pPr>
                    <w:widowControl/>
                    <w:spacing w:line="240" w:lineRule="auto"/>
                    <w:ind w:firstLine="0" w:firstLineChars="0"/>
                    <w:jc w:val="left"/>
                    <w:rPr>
                      <w:rFonts w:eastAsiaTheme="minorEastAsia"/>
                      <w:b/>
                      <w:color w:val="000000" w:themeColor="text1"/>
                      <w:kern w:val="0"/>
                      <w:sz w:val="21"/>
                      <w:szCs w:val="21"/>
                      <w14:textFill>
                        <w14:solidFill>
                          <w14:schemeClr w14:val="tx1"/>
                        </w14:solidFill>
                      </w14:textFill>
                    </w:rPr>
                  </w:pPr>
                </w:p>
              </w:tc>
              <w:tc>
                <w:tcPr>
                  <w:tcW w:w="1865" w:type="dxa"/>
                  <w:vMerge w:val="continue"/>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p>
              </w:tc>
              <w:tc>
                <w:tcPr>
                  <w:tcW w:w="746" w:type="pct"/>
                  <w:vAlign w:val="center"/>
                </w:tcPr>
                <w:p>
                  <w:pPr>
                    <w:pStyle w:val="108"/>
                    <w:widowControl w:val="0"/>
                    <w:ind w:firstLine="0" w:firstLineChars="0"/>
                    <w:jc w:val="center"/>
                    <w:rPr>
                      <w:rFonts w:ascii="Times New Roman" w:hAnsi="Times New Roman" w:eastAsiaTheme="minorEastAsia"/>
                      <w:b/>
                      <w:bCs/>
                      <w:color w:val="000000" w:themeColor="text1"/>
                      <w:sz w:val="21"/>
                      <w:szCs w:val="21"/>
                      <w14:textFill>
                        <w14:solidFill>
                          <w14:schemeClr w14:val="tx1"/>
                        </w14:solidFill>
                      </w14:textFill>
                    </w:rPr>
                  </w:pPr>
                  <w:r>
                    <w:rPr>
                      <w:rFonts w:ascii="Times New Roman" w:hAnsi="Times New Roman" w:eastAsiaTheme="minorEastAsia"/>
                      <w:b/>
                      <w:bCs/>
                      <w:color w:val="000000" w:themeColor="text1"/>
                      <w:sz w:val="21"/>
                      <w:szCs w:val="21"/>
                      <w14:textFill>
                        <w14:solidFill>
                          <w14:schemeClr w14:val="tx1"/>
                        </w14:solidFill>
                      </w14:textFill>
                    </w:rPr>
                    <w:t>一级</w:t>
                  </w:r>
                </w:p>
              </w:tc>
              <w:tc>
                <w:tcPr>
                  <w:tcW w:w="746" w:type="pct"/>
                  <w:vAlign w:val="center"/>
                </w:tcPr>
                <w:p>
                  <w:pPr>
                    <w:pStyle w:val="108"/>
                    <w:widowControl w:val="0"/>
                    <w:ind w:firstLine="0" w:firstLineChars="0"/>
                    <w:jc w:val="center"/>
                    <w:rPr>
                      <w:rFonts w:ascii="Times New Roman" w:hAnsi="Times New Roman" w:eastAsiaTheme="minorEastAsia"/>
                      <w:b/>
                      <w:bCs/>
                      <w:color w:val="000000" w:themeColor="text1"/>
                      <w:sz w:val="21"/>
                      <w:szCs w:val="21"/>
                      <w14:textFill>
                        <w14:solidFill>
                          <w14:schemeClr w14:val="tx1"/>
                        </w14:solidFill>
                      </w14:textFill>
                    </w:rPr>
                  </w:pPr>
                  <w:r>
                    <w:rPr>
                      <w:rFonts w:ascii="Times New Roman" w:hAnsi="Times New Roman" w:eastAsiaTheme="minorEastAsia"/>
                      <w:b/>
                      <w:bCs/>
                      <w:color w:val="000000" w:themeColor="text1"/>
                      <w:sz w:val="21"/>
                      <w:szCs w:val="21"/>
                      <w14:textFill>
                        <w14:solidFill>
                          <w14:schemeClr w14:val="tx1"/>
                        </w14:solidFill>
                      </w14:textFill>
                    </w:rPr>
                    <w:t>二级</w:t>
                  </w:r>
                </w:p>
              </w:tc>
              <w:tc>
                <w:tcPr>
                  <w:tcW w:w="746" w:type="pct"/>
                  <w:vAlign w:val="center"/>
                </w:tcPr>
                <w:p>
                  <w:pPr>
                    <w:pStyle w:val="108"/>
                    <w:widowControl w:val="0"/>
                    <w:ind w:firstLine="0" w:firstLineChars="0"/>
                    <w:jc w:val="center"/>
                    <w:rPr>
                      <w:rFonts w:ascii="Times New Roman" w:hAnsi="Times New Roman" w:eastAsiaTheme="minorEastAsia"/>
                      <w:b/>
                      <w:bCs/>
                      <w:color w:val="000000" w:themeColor="text1"/>
                      <w:sz w:val="21"/>
                      <w:szCs w:val="21"/>
                      <w14:textFill>
                        <w14:solidFill>
                          <w14:schemeClr w14:val="tx1"/>
                        </w14:solidFill>
                      </w14:textFill>
                    </w:rPr>
                  </w:pPr>
                  <w:r>
                    <w:rPr>
                      <w:rFonts w:ascii="Times New Roman" w:hAnsi="Times New Roman" w:eastAsiaTheme="minorEastAsia"/>
                      <w:b/>
                      <w:bCs/>
                      <w:color w:val="000000" w:themeColor="text1"/>
                      <w:sz w:val="21"/>
                      <w:szCs w:val="21"/>
                      <w14:textFill>
                        <w14:solidFill>
                          <w14:schemeClr w14:val="tx1"/>
                        </w14:solidFill>
                      </w14:textFill>
                    </w:rPr>
                    <w:t>一级</w:t>
                  </w:r>
                </w:p>
              </w:tc>
              <w:tc>
                <w:tcPr>
                  <w:tcW w:w="748" w:type="pct"/>
                  <w:vAlign w:val="center"/>
                </w:tcPr>
                <w:p>
                  <w:pPr>
                    <w:pStyle w:val="108"/>
                    <w:widowControl w:val="0"/>
                    <w:ind w:firstLine="0" w:firstLineChars="0"/>
                    <w:jc w:val="center"/>
                    <w:rPr>
                      <w:rFonts w:ascii="Times New Roman" w:hAnsi="Times New Roman" w:eastAsiaTheme="minorEastAsia"/>
                      <w:b/>
                      <w:bCs/>
                      <w:color w:val="000000" w:themeColor="text1"/>
                      <w:sz w:val="21"/>
                      <w:szCs w:val="21"/>
                      <w14:textFill>
                        <w14:solidFill>
                          <w14:schemeClr w14:val="tx1"/>
                        </w14:solidFill>
                      </w14:textFill>
                    </w:rPr>
                  </w:pPr>
                  <w:r>
                    <w:rPr>
                      <w:rFonts w:ascii="Times New Roman" w:hAnsi="Times New Roman" w:eastAsiaTheme="minorEastAsia"/>
                      <w:b/>
                      <w:bCs/>
                      <w:color w:val="000000" w:themeColor="text1"/>
                      <w:sz w:val="21"/>
                      <w:szCs w:val="21"/>
                      <w14:textFill>
                        <w14:solidFill>
                          <w14:schemeClr w14:val="tx1"/>
                        </w14:solidFill>
                      </w14:textFill>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pct"/>
                  <w:vMerge w:val="restar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SO</w:t>
                  </w:r>
                  <w:r>
                    <w:rPr>
                      <w:rFonts w:eastAsiaTheme="minorEastAsia"/>
                      <w:color w:val="000000" w:themeColor="text1"/>
                      <w:kern w:val="0"/>
                      <w:sz w:val="21"/>
                      <w:szCs w:val="21"/>
                      <w:vertAlign w:val="subscript"/>
                      <w14:textFill>
                        <w14:solidFill>
                          <w14:schemeClr w14:val="tx1"/>
                        </w14:solidFill>
                      </w14:textFill>
                    </w:rPr>
                    <w:t>2</w:t>
                  </w: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年平均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60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Merge w:val="continue"/>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24小时平均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150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Merge w:val="continue"/>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1小时平均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150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150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pct"/>
                  <w:vMerge w:val="restar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NO</w:t>
                  </w:r>
                  <w:r>
                    <w:rPr>
                      <w:rFonts w:eastAsiaTheme="minorEastAsia"/>
                      <w:color w:val="000000" w:themeColor="text1"/>
                      <w:kern w:val="0"/>
                      <w:sz w:val="21"/>
                      <w:szCs w:val="21"/>
                      <w:vertAlign w:val="subscript"/>
                      <w14:textFill>
                        <w14:solidFill>
                          <w14:schemeClr w14:val="tx1"/>
                        </w14:solidFill>
                      </w14:textFill>
                    </w:rPr>
                    <w:t>2</w:t>
                  </w: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年平均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40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40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30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Merge w:val="continue"/>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24小时平均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80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80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Merge w:val="continue"/>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1小时平均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pct"/>
                  <w:vMerge w:val="restar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CO（mg/m</w:t>
                  </w:r>
                  <w:r>
                    <w:rPr>
                      <w:rFonts w:eastAsiaTheme="minorEastAsia"/>
                      <w:color w:val="000000" w:themeColor="text1"/>
                      <w:kern w:val="0"/>
                      <w:sz w:val="21"/>
                      <w:szCs w:val="21"/>
                      <w:vertAlign w:val="superscript"/>
                      <w14:textFill>
                        <w14:solidFill>
                          <w14:schemeClr w14:val="tx1"/>
                        </w14:solidFill>
                      </w14:textFill>
                    </w:rPr>
                    <w:t>3</w:t>
                  </w:r>
                  <w:r>
                    <w:rPr>
                      <w:rFonts w:eastAsiaTheme="minorEastAsia"/>
                      <w:color w:val="000000" w:themeColor="text1"/>
                      <w:kern w:val="0"/>
                      <w:sz w:val="21"/>
                      <w:szCs w:val="21"/>
                      <w14:textFill>
                        <w14:solidFill>
                          <w14:schemeClr w14:val="tx1"/>
                        </w14:solidFill>
                      </w14:textFill>
                    </w:rPr>
                    <w:t>）</w:t>
                  </w: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24小时平均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4</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4</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4</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Merge w:val="continue"/>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1小时平均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pct"/>
                  <w:vMerge w:val="restar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O</w:t>
                  </w:r>
                  <w:r>
                    <w:rPr>
                      <w:rFonts w:eastAsiaTheme="minorEastAsia"/>
                      <w:color w:val="000000" w:themeColor="text1"/>
                      <w:kern w:val="0"/>
                      <w:sz w:val="21"/>
                      <w:szCs w:val="21"/>
                      <w:vertAlign w:val="subscript"/>
                      <w14:textFill>
                        <w14:solidFill>
                          <w14:schemeClr w14:val="tx1"/>
                        </w14:solidFill>
                      </w14:textFill>
                    </w:rPr>
                    <w:t>3</w:t>
                  </w: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日最大8小时平均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100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160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100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Merge w:val="continue"/>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1小时平均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160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160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pct"/>
                  <w:vMerge w:val="restar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PM</w:t>
                  </w:r>
                  <w:r>
                    <w:rPr>
                      <w:rFonts w:eastAsiaTheme="minorEastAsia"/>
                      <w:color w:val="000000" w:themeColor="text1"/>
                      <w:kern w:val="0"/>
                      <w:sz w:val="21"/>
                      <w:szCs w:val="21"/>
                      <w:vertAlign w:val="subscript"/>
                      <w14:textFill>
                        <w14:solidFill>
                          <w14:schemeClr w14:val="tx1"/>
                        </w14:solidFill>
                      </w14:textFill>
                    </w:rPr>
                    <w:t>10</w:t>
                  </w: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年平均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40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70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Merge w:val="continue"/>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24小时平均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150</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pct"/>
                  <w:vMerge w:val="restar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PM</w:t>
                  </w:r>
                  <w:r>
                    <w:rPr>
                      <w:rFonts w:eastAsiaTheme="minorEastAsia"/>
                      <w:color w:val="000000" w:themeColor="text1"/>
                      <w:kern w:val="0"/>
                      <w:sz w:val="21"/>
                      <w:szCs w:val="21"/>
                      <w:vertAlign w:val="subscript"/>
                      <w14:textFill>
                        <w14:solidFill>
                          <w14:schemeClr w14:val="tx1"/>
                        </w14:solidFill>
                      </w14:textFill>
                    </w:rPr>
                    <w:t>2.5</w:t>
                  </w: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年平均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15</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35</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10</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Merge w:val="continue"/>
                  <w:vAlign w:val="center"/>
                </w:tcPr>
                <w:p>
                  <w:pPr>
                    <w:widowControl/>
                    <w:spacing w:beforeAutospacing="1" w:afterAutospacing="1" w:line="240" w:lineRule="auto"/>
                    <w:ind w:firstLine="0" w:firstLineChars="0"/>
                    <w:jc w:val="left"/>
                    <w:rPr>
                      <w:rFonts w:eastAsiaTheme="minorEastAsia"/>
                      <w:color w:val="000000" w:themeColor="text1"/>
                      <w:sz w:val="21"/>
                      <w:szCs w:val="21"/>
                      <w14:textFill>
                        <w14:solidFill>
                          <w14:schemeClr w14:val="tx1"/>
                        </w14:solidFill>
                      </w14:textFill>
                    </w:rPr>
                  </w:pPr>
                </w:p>
              </w:tc>
              <w:tc>
                <w:tcPr>
                  <w:tcW w:w="121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24小时平均</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35</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75</w:t>
                  </w:r>
                </w:p>
              </w:tc>
              <w:tc>
                <w:tcPr>
                  <w:tcW w:w="746"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25</w:t>
                  </w:r>
                </w:p>
              </w:tc>
              <w:tc>
                <w:tcPr>
                  <w:tcW w:w="74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pPr>
                    <w:spacing w:line="240" w:lineRule="auto"/>
                    <w:ind w:firstLine="0" w:firstLineChars="0"/>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注：自2026年3月1日至2030年12月31日止，实施过渡阶段浓度限值，自2031年1月1日起，实施浓度限值。</w:t>
                  </w:r>
                </w:p>
              </w:tc>
            </w:tr>
          </w:tbl>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2、地表水环境质量</w:t>
            </w:r>
          </w:p>
          <w:p>
            <w:pPr>
              <w:pStyle w:val="67"/>
              <w:ind w:firstLine="480"/>
              <w:rPr>
                <w:rFonts w:eastAsiaTheme="minorEastAsia"/>
                <w:bCs/>
                <w:color w:val="000000" w:themeColor="text1"/>
                <w14:textFill>
                  <w14:solidFill>
                    <w14:schemeClr w14:val="tx1"/>
                  </w14:solidFill>
                </w14:textFill>
              </w:rPr>
            </w:pPr>
            <w:r>
              <w:rPr>
                <w:rFonts w:eastAsiaTheme="minorEastAsia"/>
                <w:b w:val="0"/>
                <w:color w:val="000000" w:themeColor="text1"/>
                <w14:textFill>
                  <w14:solidFill>
                    <w14:schemeClr w14:val="tx1"/>
                  </w14:solidFill>
                </w14:textFill>
              </w:rPr>
              <w:t>区域地表水执行《地表水环境质量标准》（GB3838-2002）Ⅱ类水域标准。</w:t>
            </w:r>
          </w:p>
          <w:p>
            <w:pPr>
              <w:pStyle w:val="80"/>
              <w:spacing w:before="166"/>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表3-16 《地表水环境质量标准》（GB3838-2002）  单位：mg/L，pH无量纲</w:t>
            </w:r>
          </w:p>
          <w:tbl>
            <w:tblPr>
              <w:tblStyle w:val="3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675"/>
              <w:gridCol w:w="755"/>
              <w:gridCol w:w="704"/>
              <w:gridCol w:w="741"/>
              <w:gridCol w:w="714"/>
              <w:gridCol w:w="637"/>
              <w:gridCol w:w="478"/>
              <w:gridCol w:w="523"/>
              <w:gridCol w:w="731"/>
              <w:gridCol w:w="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项目</w:t>
                  </w:r>
                </w:p>
              </w:tc>
              <w:tc>
                <w:tcPr>
                  <w:tcW w:w="453"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pH</w:t>
                  </w:r>
                </w:p>
              </w:tc>
              <w:tc>
                <w:tcPr>
                  <w:tcW w:w="505"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COD</w:t>
                  </w:r>
                </w:p>
              </w:tc>
              <w:tc>
                <w:tcPr>
                  <w:tcW w:w="472"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BOD</w:t>
                  </w:r>
                  <w:r>
                    <w:rPr>
                      <w:rFonts w:eastAsiaTheme="minorEastAsia"/>
                      <w:b/>
                      <w:color w:val="000000" w:themeColor="text1"/>
                      <w:sz w:val="21"/>
                      <w:szCs w:val="21"/>
                      <w:vertAlign w:val="subscript"/>
                      <w14:textFill>
                        <w14:solidFill>
                          <w14:schemeClr w14:val="tx1"/>
                        </w14:solidFill>
                      </w14:textFill>
                    </w:rPr>
                    <w:t>5</w:t>
                  </w:r>
                </w:p>
              </w:tc>
              <w:tc>
                <w:tcPr>
                  <w:tcW w:w="497"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NH</w:t>
                  </w:r>
                  <w:r>
                    <w:rPr>
                      <w:rFonts w:eastAsiaTheme="minorEastAsia"/>
                      <w:b/>
                      <w:color w:val="000000" w:themeColor="text1"/>
                      <w:sz w:val="21"/>
                      <w:szCs w:val="21"/>
                      <w:vertAlign w:val="subscript"/>
                      <w14:textFill>
                        <w14:solidFill>
                          <w14:schemeClr w14:val="tx1"/>
                        </w14:solidFill>
                      </w14:textFill>
                    </w:rPr>
                    <w:t>3</w:t>
                  </w:r>
                  <w:r>
                    <w:rPr>
                      <w:rFonts w:eastAsiaTheme="minorEastAsia"/>
                      <w:b/>
                      <w:color w:val="000000" w:themeColor="text1"/>
                      <w:sz w:val="21"/>
                      <w:szCs w:val="21"/>
                      <w14:textFill>
                        <w14:solidFill>
                          <w14:schemeClr w14:val="tx1"/>
                        </w14:solidFill>
                      </w14:textFill>
                    </w:rPr>
                    <w:t>-N</w:t>
                  </w:r>
                </w:p>
              </w:tc>
              <w:tc>
                <w:tcPr>
                  <w:tcW w:w="480"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溶解氧</w:t>
                  </w:r>
                </w:p>
              </w:tc>
              <w:tc>
                <w:tcPr>
                  <w:tcW w:w="428"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石油类</w:t>
                  </w:r>
                </w:p>
              </w:tc>
              <w:tc>
                <w:tcPr>
                  <w:tcW w:w="321"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总磷</w:t>
                  </w:r>
                </w:p>
              </w:tc>
              <w:tc>
                <w:tcPr>
                  <w:tcW w:w="351"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总氮</w:t>
                  </w:r>
                </w:p>
              </w:tc>
              <w:tc>
                <w:tcPr>
                  <w:tcW w:w="491"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高锰酸盐指数</w:t>
                  </w:r>
                </w:p>
              </w:tc>
              <w:tc>
                <w:tcPr>
                  <w:tcW w:w="382"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标准值</w:t>
                  </w:r>
                </w:p>
              </w:tc>
              <w:tc>
                <w:tcPr>
                  <w:tcW w:w="453"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6-9</w:t>
                  </w:r>
                </w:p>
              </w:tc>
              <w:tc>
                <w:tcPr>
                  <w:tcW w:w="505"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≤15</w:t>
                  </w:r>
                </w:p>
              </w:tc>
              <w:tc>
                <w:tcPr>
                  <w:tcW w:w="472"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≤3</w:t>
                  </w:r>
                </w:p>
              </w:tc>
              <w:tc>
                <w:tcPr>
                  <w:tcW w:w="497"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≤0.5</w:t>
                  </w:r>
                </w:p>
              </w:tc>
              <w:tc>
                <w:tcPr>
                  <w:tcW w:w="480"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≥6</w:t>
                  </w:r>
                </w:p>
              </w:tc>
              <w:tc>
                <w:tcPr>
                  <w:tcW w:w="42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≤0.05</w:t>
                  </w:r>
                </w:p>
              </w:tc>
              <w:tc>
                <w:tcPr>
                  <w:tcW w:w="321"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0.1</w:t>
                  </w:r>
                </w:p>
              </w:tc>
              <w:tc>
                <w:tcPr>
                  <w:tcW w:w="351"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0.5</w:t>
                  </w:r>
                </w:p>
              </w:tc>
              <w:tc>
                <w:tcPr>
                  <w:tcW w:w="491"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4</w:t>
                  </w:r>
                </w:p>
              </w:tc>
              <w:tc>
                <w:tcPr>
                  <w:tcW w:w="382"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w:t>
                  </w:r>
                </w:p>
              </w:tc>
            </w:tr>
          </w:tbl>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3、声环境质量</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执行国家《声环境质量标准》（GB3096-2008）2类标准限值，标准值见下表。</w:t>
            </w:r>
          </w:p>
          <w:p>
            <w:pPr>
              <w:pStyle w:val="80"/>
              <w:spacing w:before="166"/>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表3-17 声环境质量标准  单位：dB（A）</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4"/>
              <w:gridCol w:w="3394"/>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声环境功能区划</w:t>
                  </w:r>
                </w:p>
              </w:tc>
              <w:tc>
                <w:tcPr>
                  <w:tcW w:w="2278"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昼间</w:t>
                  </w:r>
                </w:p>
              </w:tc>
              <w:tc>
                <w:tcPr>
                  <w:tcW w:w="1041"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2类</w:t>
                  </w:r>
                </w:p>
              </w:tc>
              <w:tc>
                <w:tcPr>
                  <w:tcW w:w="2278"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60</w:t>
                  </w:r>
                </w:p>
              </w:tc>
              <w:tc>
                <w:tcPr>
                  <w:tcW w:w="1041"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50</w:t>
                  </w:r>
                </w:p>
              </w:tc>
            </w:tr>
          </w:tbl>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二、污染物排放标准</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1、废水</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施工期废水经沉淀池沉淀后回用不外排；生活污水利用租用民房化粪池处置后，用于农肥。</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2、废气</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施工期废气排放执行《四川省施工场地扬尘排放标准》（DB51/2682-2020）。</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表3-18 《四川省施工场地扬尘排放标准》（DB51/2682-2020）</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1503"/>
              <w:gridCol w:w="1936"/>
              <w:gridCol w:w="1135"/>
              <w:gridCol w:w="1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监测项目</w:t>
                  </w:r>
                </w:p>
              </w:tc>
              <w:tc>
                <w:tcPr>
                  <w:tcW w:w="1008"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区域</w:t>
                  </w:r>
                </w:p>
              </w:tc>
              <w:tc>
                <w:tcPr>
                  <w:tcW w:w="1299"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施工</w:t>
                  </w:r>
                </w:p>
              </w:tc>
              <w:tc>
                <w:tcPr>
                  <w:tcW w:w="762"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排放浓度（µg/m</w:t>
                  </w:r>
                  <w:r>
                    <w:rPr>
                      <w:rFonts w:eastAsiaTheme="minorEastAsia"/>
                      <w:b/>
                      <w:color w:val="000000" w:themeColor="text1"/>
                      <w:sz w:val="21"/>
                      <w:szCs w:val="21"/>
                      <w:vertAlign w:val="superscript"/>
                      <w14:textFill>
                        <w14:solidFill>
                          <w14:schemeClr w14:val="tx1"/>
                        </w14:solidFill>
                      </w14:textFill>
                    </w:rPr>
                    <w:t>3</w:t>
                  </w:r>
                  <w:r>
                    <w:rPr>
                      <w:rFonts w:eastAsiaTheme="minorEastAsia"/>
                      <w:b/>
                      <w:color w:val="000000" w:themeColor="text1"/>
                      <w:sz w:val="21"/>
                      <w:szCs w:val="21"/>
                      <w14:textFill>
                        <w14:solidFill>
                          <w14:schemeClr w14:val="tx1"/>
                        </w14:solidFill>
                      </w14:textFill>
                    </w:rPr>
                    <w:t>）</w:t>
                  </w:r>
                </w:p>
              </w:tc>
              <w:tc>
                <w:tcPr>
                  <w:tcW w:w="976" w:type="pct"/>
                  <w:vAlign w:val="center"/>
                </w:tcPr>
                <w:p>
                  <w:pPr>
                    <w:spacing w:line="240" w:lineRule="auto"/>
                    <w:ind w:firstLine="0" w:firstLineChars="0"/>
                    <w:jc w:val="center"/>
                    <w:rPr>
                      <w:rFonts w:eastAsiaTheme="minorEastAsia"/>
                      <w:b/>
                      <w:color w:val="000000" w:themeColor="text1"/>
                      <w:sz w:val="21"/>
                      <w:szCs w:val="21"/>
                      <w14:textFill>
                        <w14:solidFill>
                          <w14:schemeClr w14:val="tx1"/>
                        </w14:solidFill>
                      </w14:textFill>
                    </w:rPr>
                  </w:pPr>
                  <w:r>
                    <w:rPr>
                      <w:rFonts w:eastAsiaTheme="minorEastAsia"/>
                      <w:b/>
                      <w:color w:val="000000" w:themeColor="text1"/>
                      <w:sz w:val="21"/>
                      <w:szCs w:val="21"/>
                      <w14:textFill>
                        <w14:solidFill>
                          <w14:schemeClr w14:val="tx1"/>
                        </w14:solidFill>
                      </w14:textFill>
                    </w:rPr>
                    <w:t>监测时间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vMerge w:val="restar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总悬浮颗粒物（TSP）</w:t>
                  </w:r>
                </w:p>
              </w:tc>
              <w:tc>
                <w:tcPr>
                  <w:tcW w:w="1008" w:type="pct"/>
                  <w:vMerge w:val="restar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攀枝花市、</w:t>
                  </w:r>
                  <w:r>
                    <w:rPr>
                      <w:rFonts w:eastAsiaTheme="minorEastAsia"/>
                      <w:b/>
                      <w:bCs/>
                      <w:color w:val="000000" w:themeColor="text1"/>
                      <w:sz w:val="21"/>
                      <w:szCs w:val="21"/>
                      <w14:textFill>
                        <w14:solidFill>
                          <w14:schemeClr w14:val="tx1"/>
                        </w14:solidFill>
                      </w14:textFill>
                    </w:rPr>
                    <w:t>阿坝藏族羌族自治州</w:t>
                  </w:r>
                  <w:r>
                    <w:rPr>
                      <w:rFonts w:eastAsiaTheme="minorEastAsia"/>
                      <w:bCs/>
                      <w:color w:val="000000" w:themeColor="text1"/>
                      <w:sz w:val="21"/>
                      <w:szCs w:val="21"/>
                      <w14:textFill>
                        <w14:solidFill>
                          <w14:schemeClr w14:val="tx1"/>
                        </w14:solidFill>
                      </w14:textFill>
                    </w:rPr>
                    <w:t>、甘孜藏族自治州、凉山彝族自治州</w:t>
                  </w:r>
                </w:p>
              </w:tc>
              <w:tc>
                <w:tcPr>
                  <w:tcW w:w="1299"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拆除工程/土方开挖/土方回填阶段</w:t>
                  </w:r>
                </w:p>
              </w:tc>
              <w:tc>
                <w:tcPr>
                  <w:tcW w:w="762"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900</w:t>
                  </w:r>
                </w:p>
              </w:tc>
              <w:tc>
                <w:tcPr>
                  <w:tcW w:w="976" w:type="pct"/>
                  <w:vMerge w:val="restar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自监测起持续15分钟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vMerge w:val="continue"/>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p>
              </w:tc>
              <w:tc>
                <w:tcPr>
                  <w:tcW w:w="1008" w:type="pct"/>
                  <w:vMerge w:val="continue"/>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p>
              </w:tc>
              <w:tc>
                <w:tcPr>
                  <w:tcW w:w="1299"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其他工程阶段</w:t>
                  </w:r>
                </w:p>
              </w:tc>
              <w:tc>
                <w:tcPr>
                  <w:tcW w:w="762" w:type="pct"/>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350</w:t>
                  </w:r>
                </w:p>
              </w:tc>
              <w:tc>
                <w:tcPr>
                  <w:tcW w:w="976" w:type="pct"/>
                  <w:vMerge w:val="continue"/>
                  <w:vAlign w:val="center"/>
                </w:tcPr>
                <w:p>
                  <w:pPr>
                    <w:spacing w:line="240" w:lineRule="auto"/>
                    <w:ind w:firstLine="0" w:firstLineChars="0"/>
                    <w:jc w:val="center"/>
                    <w:rPr>
                      <w:rFonts w:eastAsiaTheme="minorEastAsia"/>
                      <w:bCs/>
                      <w:color w:val="000000" w:themeColor="text1"/>
                      <w:sz w:val="21"/>
                      <w:szCs w:val="21"/>
                      <w14:textFill>
                        <w14:solidFill>
                          <w14:schemeClr w14:val="tx1"/>
                        </w14:solidFill>
                      </w14:textFill>
                    </w:rPr>
                  </w:pPr>
                </w:p>
              </w:tc>
            </w:tr>
          </w:tbl>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3、噪声</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施工期执行《建筑施工噪声排放标准》（GB12523-2025）中的相关标准限值，评价因子标准限值见下表。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表3-19 《建筑施工噪声排放标准》（GB12523-2025）</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8"/>
              <w:gridCol w:w="3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7" w:type="pct"/>
                  <w:vAlign w:val="center"/>
                </w:tcPr>
                <w:p>
                  <w:pPr>
                    <w:tabs>
                      <w:tab w:val="left" w:pos="2418"/>
                      <w:tab w:val="left" w:pos="4203"/>
                      <w:tab w:val="left" w:pos="5708"/>
                      <w:tab w:val="left" w:pos="7213"/>
                      <w:tab w:val="left" w:pos="8718"/>
                    </w:tabs>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昼间dB(A)</w:t>
                  </w:r>
                </w:p>
              </w:tc>
              <w:tc>
                <w:tcPr>
                  <w:tcW w:w="2633" w:type="pct"/>
                  <w:vAlign w:val="center"/>
                </w:tcPr>
                <w:p>
                  <w:pPr>
                    <w:tabs>
                      <w:tab w:val="left" w:pos="2418"/>
                      <w:tab w:val="left" w:pos="4203"/>
                      <w:tab w:val="left" w:pos="5708"/>
                      <w:tab w:val="left" w:pos="7213"/>
                      <w:tab w:val="left" w:pos="8718"/>
                    </w:tabs>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夜间dB(A)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7" w:type="pct"/>
                  <w:vAlign w:val="center"/>
                </w:tcPr>
                <w:p>
                  <w:pPr>
                    <w:tabs>
                      <w:tab w:val="left" w:pos="2418"/>
                      <w:tab w:val="left" w:pos="4203"/>
                      <w:tab w:val="left" w:pos="5708"/>
                      <w:tab w:val="left" w:pos="7213"/>
                      <w:tab w:val="left" w:pos="8718"/>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70</w:t>
                  </w:r>
                </w:p>
              </w:tc>
              <w:tc>
                <w:tcPr>
                  <w:tcW w:w="2633" w:type="pct"/>
                  <w:vAlign w:val="center"/>
                </w:tcPr>
                <w:p>
                  <w:pPr>
                    <w:tabs>
                      <w:tab w:val="left" w:pos="2418"/>
                      <w:tab w:val="left" w:pos="4203"/>
                      <w:tab w:val="left" w:pos="5708"/>
                      <w:tab w:val="left" w:pos="7213"/>
                      <w:tab w:val="left" w:pos="8718"/>
                    </w:tabs>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55</w:t>
                  </w:r>
                </w:p>
              </w:tc>
            </w:tr>
          </w:tbl>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4、固废</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一般固废按照《中华人民共和国生态环境法典》中固体废物污染防治 相关要求进行妥善处置。</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5、生态环境</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（1）生态环境以不减少区域内濒危珍稀动植物和不破坏该区生态系统完整性为标准。</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（2）水土流失以不增加土壤侵蚀类型为标准。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475" w:type="pct"/>
            <w:vAlign w:val="center"/>
          </w:tcPr>
          <w:p>
            <w:pPr>
              <w:pStyle w:val="13"/>
              <w:spacing w:after="0"/>
              <w:ind w:firstLine="0" w:firstLineChars="0"/>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其他</w:t>
            </w:r>
          </w:p>
        </w:tc>
        <w:tc>
          <w:tcPr>
            <w:tcW w:w="4524" w:type="pct"/>
            <w:vAlign w:val="center"/>
          </w:tcPr>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本项目新建堤防为生态影响类项目，营运期无三废污染物产生，故本项目不涉及总量控制指标。</w:t>
            </w:r>
          </w:p>
        </w:tc>
      </w:tr>
    </w:tbl>
    <w:p>
      <w:pPr>
        <w:pStyle w:val="26"/>
        <w:ind w:firstLine="600"/>
        <w:jc w:val="center"/>
        <w:outlineLvl w:val="0"/>
        <w:rPr>
          <w:rFonts w:ascii="Times New Roman" w:hAnsi="Times New Roman" w:eastAsiaTheme="minorEastAsia"/>
          <w:snapToGrid w:val="0"/>
          <w:color w:val="000000" w:themeColor="text1"/>
          <w:sz w:val="30"/>
          <w:szCs w:val="30"/>
          <w14:textFill>
            <w14:solidFill>
              <w14:schemeClr w14:val="tx1"/>
            </w14:solidFill>
          </w14:textFill>
        </w:rPr>
        <w:sectPr>
          <w:pgSz w:w="11906" w:h="16838"/>
          <w:pgMar w:top="1440" w:right="1797" w:bottom="1440" w:left="1797" w:header="851" w:footer="1077" w:gutter="0"/>
          <w:cols w:space="720" w:num="1"/>
          <w:docGrid w:type="lines" w:linePitch="332" w:charSpace="0"/>
        </w:sectPr>
      </w:pPr>
    </w:p>
    <w:p>
      <w:pPr>
        <w:pStyle w:val="26"/>
        <w:ind w:firstLine="0" w:firstLineChars="0"/>
        <w:jc w:val="center"/>
        <w:outlineLvl w:val="0"/>
        <w:rPr>
          <w:rFonts w:ascii="Times New Roman" w:hAnsi="Times New Roman" w:eastAsiaTheme="minorEastAsia"/>
          <w:b/>
          <w:snapToGrid w:val="0"/>
          <w:color w:val="000000" w:themeColor="text1"/>
          <w:sz w:val="30"/>
          <w:szCs w:val="30"/>
          <w14:textFill>
            <w14:solidFill>
              <w14:schemeClr w14:val="tx1"/>
            </w14:solidFill>
          </w14:textFill>
        </w:rPr>
      </w:pPr>
      <w:bookmarkStart w:id="33" w:name="_Toc155338880"/>
      <w:r>
        <w:rPr>
          <w:rFonts w:ascii="Times New Roman" w:hAnsi="Times New Roman" w:eastAsiaTheme="minorEastAsia"/>
          <w:b/>
          <w:snapToGrid w:val="0"/>
          <w:color w:val="000000" w:themeColor="text1"/>
          <w:sz w:val="30"/>
          <w:szCs w:val="30"/>
          <w14:textFill>
            <w14:solidFill>
              <w14:schemeClr w14:val="tx1"/>
            </w14:solidFill>
          </w14:textFill>
        </w:rPr>
        <w:t>四、生态环境影响分析</w:t>
      </w:r>
      <w:bookmarkEnd w:id="33"/>
    </w:p>
    <w:tbl>
      <w:tblPr>
        <w:tblStyle w:val="30"/>
        <w:tblW w:w="50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3"/>
        <w:gridCol w:w="77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01" w:type="pct"/>
            <w:tcMar>
              <w:left w:w="28" w:type="dxa"/>
              <w:right w:w="28" w:type="dxa"/>
            </w:tcMar>
            <w:vAlign w:val="center"/>
          </w:tcPr>
          <w:p>
            <w:pPr>
              <w:pStyle w:val="13"/>
              <w:spacing w:after="0"/>
              <w:ind w:firstLine="0" w:firstLineChars="0"/>
              <w:jc w:val="center"/>
              <w:rPr>
                <w:rFonts w:ascii="Times New Roman" w:hAnsi="Times New Roman" w:eastAsiaTheme="minorEastAsia"/>
                <w:color w:val="000000" w:themeColor="text1"/>
                <w:spacing w:val="-3"/>
                <w14:textFill>
                  <w14:solidFill>
                    <w14:schemeClr w14:val="tx1"/>
                  </w14:solidFill>
                </w14:textFill>
              </w:rPr>
            </w:pPr>
            <w:bookmarkStart w:id="34" w:name="_Hlk49796138"/>
            <w:r>
              <w:rPr>
                <w:rFonts w:ascii="Times New Roman" w:hAnsi="Times New Roman" w:eastAsiaTheme="minorEastAsia"/>
                <w:color w:val="000000" w:themeColor="text1"/>
                <w:spacing w:val="-3"/>
                <w14:textFill>
                  <w14:solidFill>
                    <w14:schemeClr w14:val="tx1"/>
                  </w14:solidFill>
                </w14:textFill>
              </w:rPr>
              <w:t>施工期生态环境影响分析</w:t>
            </w:r>
            <w:bookmarkEnd w:id="34"/>
          </w:p>
        </w:tc>
        <w:tc>
          <w:tcPr>
            <w:tcW w:w="4498" w:type="pct"/>
          </w:tcPr>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本项目为非污染生态类项目，对环境的影响主要集中在施工期间，</w:t>
            </w:r>
            <w:r>
              <w:rPr>
                <w:rFonts w:ascii="Times New Roman" w:hAnsi="Times New Roman" w:eastAsiaTheme="minorEastAsia"/>
                <w:color w:val="000000" w:themeColor="text1"/>
                <w14:textFill>
                  <w14:solidFill>
                    <w14:schemeClr w14:val="tx1"/>
                  </w14:solidFill>
                </w14:textFill>
              </w:rPr>
              <w:t>施工期环境污染问题主要为：施工扬尘、施工人员生活污水、噪声、弃土、生活垃圾以及对植被土壤等的生态影响。这些污染几乎发生于整个施工过程中，不同污染因子在不同施工段的污染强度不同。但这些污染物是暂时的，会随着施工期的结束而结束。</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一、产污环节</w:t>
            </w:r>
          </w:p>
          <w:p>
            <w:pPr>
              <w:pStyle w:val="13"/>
              <w:spacing w:after="0"/>
              <w:ind w:firstLine="468"/>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spacing w:val="-3"/>
                <w14:textFill>
                  <w14:solidFill>
                    <w14:schemeClr w14:val="tx1"/>
                  </w14:solidFill>
                </w14:textFill>
              </w:rPr>
              <w:t>项目施工期产污环节情况见下表。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表4-1 项目施工期产污情况一览表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2171"/>
              <w:gridCol w:w="3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pct"/>
                  <w:vAlign w:val="center"/>
                </w:tcPr>
                <w:p>
                  <w:pPr>
                    <w:pStyle w:val="19"/>
                    <w:spacing w:line="240" w:lineRule="auto"/>
                    <w:ind w:left="0"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类型</w:t>
                  </w:r>
                </w:p>
              </w:tc>
              <w:tc>
                <w:tcPr>
                  <w:tcW w:w="1444" w:type="pct"/>
                  <w:vAlign w:val="center"/>
                </w:tcPr>
                <w:p>
                  <w:pPr>
                    <w:pStyle w:val="19"/>
                    <w:spacing w:line="240" w:lineRule="auto"/>
                    <w:ind w:left="0"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产污环节与工序</w:t>
                  </w:r>
                </w:p>
              </w:tc>
              <w:tc>
                <w:tcPr>
                  <w:tcW w:w="2629" w:type="pct"/>
                  <w:vAlign w:val="center"/>
                </w:tcPr>
                <w:p>
                  <w:pPr>
                    <w:pStyle w:val="19"/>
                    <w:spacing w:line="240" w:lineRule="auto"/>
                    <w:ind w:left="0"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927"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废气</w:t>
                  </w:r>
                </w:p>
              </w:tc>
              <w:tc>
                <w:tcPr>
                  <w:tcW w:w="1444"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整个施工期</w:t>
                  </w:r>
                </w:p>
              </w:tc>
              <w:tc>
                <w:tcPr>
                  <w:tcW w:w="2629" w:type="pct"/>
                  <w:vAlign w:val="center"/>
                </w:tcPr>
                <w:p>
                  <w:pPr>
                    <w:pStyle w:val="19"/>
                    <w:spacing w:line="240" w:lineRule="auto"/>
                    <w:ind w:left="0"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施工扬尘、车辆和设备尾气、施工燃油废气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927" w:type="pct"/>
                  <w:vMerge w:val="restar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废水</w:t>
                  </w:r>
                </w:p>
              </w:tc>
              <w:tc>
                <w:tcPr>
                  <w:tcW w:w="1444"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基坑排水</w:t>
                  </w:r>
                </w:p>
              </w:tc>
              <w:tc>
                <w:tcPr>
                  <w:tcW w:w="2629" w:type="pct"/>
                  <w:vAlign w:val="center"/>
                </w:tcPr>
                <w:p>
                  <w:pPr>
                    <w:pStyle w:val="19"/>
                    <w:spacing w:line="240" w:lineRule="auto"/>
                    <w:ind w:left="0"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927" w:type="pct"/>
                  <w:vMerge w:val="continue"/>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p>
              </w:tc>
              <w:tc>
                <w:tcPr>
                  <w:tcW w:w="1444"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施工人员</w:t>
                  </w:r>
                </w:p>
              </w:tc>
              <w:tc>
                <w:tcPr>
                  <w:tcW w:w="2629" w:type="pct"/>
                  <w:vAlign w:val="center"/>
                </w:tcPr>
                <w:p>
                  <w:pPr>
                    <w:pStyle w:val="19"/>
                    <w:spacing w:line="240" w:lineRule="auto"/>
                    <w:ind w:left="0"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生活污水（COD、BOD</w:t>
                  </w:r>
                  <w:r>
                    <w:rPr>
                      <w:rFonts w:eastAsiaTheme="minorEastAsia"/>
                      <w:color w:val="000000" w:themeColor="text1"/>
                      <w:sz w:val="21"/>
                      <w:szCs w:val="21"/>
                      <w:vertAlign w:val="subscript"/>
                      <w14:textFill>
                        <w14:solidFill>
                          <w14:schemeClr w14:val="tx1"/>
                        </w14:solidFill>
                      </w14:textFill>
                    </w:rPr>
                    <w:t>5</w:t>
                  </w:r>
                  <w:r>
                    <w:rPr>
                      <w:rFonts w:eastAsiaTheme="minorEastAsia"/>
                      <w:color w:val="000000" w:themeColor="text1"/>
                      <w:sz w:val="21"/>
                      <w:szCs w:val="21"/>
                      <w14:textFill>
                        <w14:solidFill>
                          <w14:schemeClr w14:val="tx1"/>
                        </w14:solidFill>
                      </w14:textFill>
                    </w:rPr>
                    <w:t>、SS、氨氮）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927" w:type="pct"/>
                  <w:vMerge w:val="restar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固废</w:t>
                  </w:r>
                </w:p>
              </w:tc>
              <w:tc>
                <w:tcPr>
                  <w:tcW w:w="1444"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土石方开挖</w:t>
                  </w:r>
                </w:p>
              </w:tc>
              <w:tc>
                <w:tcPr>
                  <w:tcW w:w="2629" w:type="pct"/>
                  <w:vAlign w:val="center"/>
                </w:tcPr>
                <w:p>
                  <w:pPr>
                    <w:pStyle w:val="19"/>
                    <w:spacing w:line="240" w:lineRule="auto"/>
                    <w:ind w:left="0"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弃土石方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927" w:type="pct"/>
                  <w:vMerge w:val="continue"/>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p>
              </w:tc>
              <w:tc>
                <w:tcPr>
                  <w:tcW w:w="1444"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建设过程</w:t>
                  </w:r>
                </w:p>
              </w:tc>
              <w:tc>
                <w:tcPr>
                  <w:tcW w:w="2629" w:type="pct"/>
                  <w:vAlign w:val="center"/>
                </w:tcPr>
                <w:p>
                  <w:pPr>
                    <w:pStyle w:val="19"/>
                    <w:spacing w:line="240" w:lineRule="auto"/>
                    <w:ind w:left="0"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建筑垃圾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27" w:type="pct"/>
                  <w:vMerge w:val="continue"/>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p>
              </w:tc>
              <w:tc>
                <w:tcPr>
                  <w:tcW w:w="1444"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施工人员</w:t>
                  </w:r>
                </w:p>
              </w:tc>
              <w:tc>
                <w:tcPr>
                  <w:tcW w:w="2629" w:type="pct"/>
                  <w:vAlign w:val="center"/>
                </w:tcPr>
                <w:p>
                  <w:pPr>
                    <w:pStyle w:val="19"/>
                    <w:spacing w:line="240" w:lineRule="auto"/>
                    <w:ind w:left="0"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生活垃圾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噪声</w:t>
                  </w:r>
                </w:p>
              </w:tc>
              <w:tc>
                <w:tcPr>
                  <w:tcW w:w="1444"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整个施工期</w:t>
                  </w:r>
                </w:p>
              </w:tc>
              <w:tc>
                <w:tcPr>
                  <w:tcW w:w="2629" w:type="pct"/>
                  <w:vAlign w:val="center"/>
                </w:tcPr>
                <w:p>
                  <w:pPr>
                    <w:pStyle w:val="19"/>
                    <w:spacing w:line="240" w:lineRule="auto"/>
                    <w:ind w:left="0"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设备、车辆噪声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927"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生态环境</w:t>
                  </w:r>
                </w:p>
              </w:tc>
              <w:tc>
                <w:tcPr>
                  <w:tcW w:w="1444" w:type="pct"/>
                  <w:vAlign w:val="center"/>
                </w:tcPr>
                <w:p>
                  <w:pPr>
                    <w:pStyle w:val="19"/>
                    <w:spacing w:line="240" w:lineRule="auto"/>
                    <w:ind w:left="0"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整个施工期</w:t>
                  </w:r>
                </w:p>
              </w:tc>
              <w:tc>
                <w:tcPr>
                  <w:tcW w:w="2629" w:type="pct"/>
                  <w:vAlign w:val="center"/>
                </w:tcPr>
                <w:p>
                  <w:pPr>
                    <w:pStyle w:val="19"/>
                    <w:spacing w:line="240" w:lineRule="auto"/>
                    <w:ind w:left="0"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水土流失、植被破坏、水环境扰动</w:t>
                  </w:r>
                </w:p>
              </w:tc>
            </w:tr>
          </w:tbl>
          <w:p>
            <w:pPr>
              <w:ind w:firstLine="470"/>
              <w:rPr>
                <w:rFonts w:eastAsiaTheme="minorEastAsia"/>
                <w:color w:val="000000" w:themeColor="text1"/>
                <w14:textFill>
                  <w14:solidFill>
                    <w14:schemeClr w14:val="tx1"/>
                  </w14:solidFill>
                </w14:textFill>
              </w:rPr>
            </w:pPr>
            <w:r>
              <w:rPr>
                <w:rFonts w:eastAsiaTheme="minorEastAsia"/>
                <w:b/>
                <w:bCs/>
                <w:color w:val="000000" w:themeColor="text1"/>
                <w:spacing w:val="-3"/>
                <w14:textFill>
                  <w14:solidFill>
                    <w14:schemeClr w14:val="tx1"/>
                  </w14:solidFill>
                </w14:textFill>
              </w:rPr>
              <w:t>二、生态环境影响分析</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对生态环境影响有直接影响和间接影响、有利影响和不利影响、长期影响和短期影响之分。施工期对生态环境的影响最为严重，主要以直接、短期和不利影响为主，营运期为有利影响为主。本项目施工期区域生态环境影响主要表现在：施工过程中占地对植被的破坏、水土流失以及对陆生和水生动植物的影响。</w:t>
            </w:r>
          </w:p>
          <w:p>
            <w:pPr>
              <w:pStyle w:val="21"/>
              <w:ind w:firstLine="482"/>
              <w:rPr>
                <w:rFonts w:ascii="Times New Roman" w:hAnsi="Times New Roman" w:eastAsiaTheme="minorEastAsia"/>
                <w:b/>
                <w:bCs/>
                <w:color w:val="000000" w:themeColor="text1"/>
                <w:sz w:val="24"/>
                <w:szCs w:val="24"/>
                <w14:textFill>
                  <w14:solidFill>
                    <w14:schemeClr w14:val="tx1"/>
                  </w14:solidFill>
                </w14:textFill>
              </w:rPr>
            </w:pPr>
            <w:r>
              <w:rPr>
                <w:rFonts w:ascii="Times New Roman" w:hAnsi="Times New Roman" w:eastAsiaTheme="minorEastAsia"/>
                <w:b/>
                <w:bCs/>
                <w:color w:val="000000" w:themeColor="text1"/>
                <w:sz w:val="24"/>
                <w:szCs w:val="24"/>
                <w14:textFill>
                  <w14:solidFill>
                    <w14:schemeClr w14:val="tx1"/>
                  </w14:solidFill>
                </w14:textFill>
              </w:rPr>
              <w:t>1、工程占地的影响</w:t>
            </w:r>
          </w:p>
          <w:p>
            <w:pPr>
              <w:wordWrap w:val="0"/>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本项目永久占地面积811m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、临时用地面积1500m</w:t>
            </w:r>
            <w:r>
              <w:rPr>
                <w:rFonts w:eastAsiaTheme="minorEastAsia"/>
                <w:color w:val="000000" w:themeColor="text1"/>
                <w:vertAlign w:val="superscript"/>
                <w14:textFill>
                  <w14:solidFill>
                    <w14:schemeClr w14:val="tx1"/>
                  </w14:solidFill>
                </w14:textFill>
              </w:rPr>
              <w:t>2</w:t>
            </w:r>
            <w:r>
              <w:rPr>
                <w:rFonts w:eastAsiaTheme="minorEastAsia"/>
                <w:color w:val="000000" w:themeColor="text1"/>
                <w14:textFill>
                  <w14:solidFill>
                    <w14:schemeClr w14:val="tx1"/>
                  </w14:solidFill>
                </w14:textFill>
              </w:rPr>
              <w:t>，项目占地类型主要涉及水利及水域设施用地。项目永久占地面积较小，不会改变区域整体土地利用的格局。因此，从整体评价而言，工程建设不会改变工程区主要的构成地类型，工程占地对区域土地利用的不利影响并不显著。</w:t>
            </w:r>
          </w:p>
          <w:p>
            <w:pPr>
              <w:ind w:firstLine="498"/>
              <w:rPr>
                <w:rFonts w:eastAsiaTheme="minorEastAsia"/>
                <w:b/>
                <w:bCs/>
                <w:color w:val="000000" w:themeColor="text1"/>
                <w:spacing w:val="4"/>
                <w14:textFill>
                  <w14:solidFill>
                    <w14:schemeClr w14:val="tx1"/>
                  </w14:solidFill>
                </w14:textFill>
              </w:rPr>
            </w:pPr>
            <w:r>
              <w:rPr>
                <w:rFonts w:eastAsiaTheme="minorEastAsia"/>
                <w:b/>
                <w:bCs/>
                <w:color w:val="000000" w:themeColor="text1"/>
                <w:spacing w:val="4"/>
                <w14:textFill>
                  <w14:solidFill>
                    <w14:schemeClr w14:val="tx1"/>
                  </w14:solidFill>
                </w14:textFill>
              </w:rPr>
              <w:t>2、对陆生植物资源的影响</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本工程对植被的影响主要为新建河堤施工占地区域对植被的影响，其影响途径主要是通过对地表植被和土壤结构的破坏，导致植被覆盖度降低，生物量减少，对局域生态环境造成一定影响。</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经调查，场地内未发现珍稀植物、名木古树等，无国家和地方保护性植物分布，由于受人工活动影响，生物多样性较单一，也没有特殊生境，项目建设对陆生植物的影响主要体现在项目施工区。施工结束后及时进行迹地恢复、按原植被类型进行植被恢复，使植物损失得到一定程度的恢复，植被恢复后对占地区域影响小。</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此外，工程开始施工后，工程区内人为活动程度剧烈，车辆的运输、基坑开挖会产生一些粉尘、废燃油废气、废水，人员的生活会产生生活废水和废渣。这些活动都会污染周围植被环境，对施工区域及周边的植物植被造成不同程度的影响，可能导致植物植株生长不良、对个体造成损伤，主要表现在：</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lang w:eastAsia="ja-JP"/>
                <w14:textFill>
                  <w14:solidFill>
                    <w14:schemeClr w14:val="tx1"/>
                  </w14:solidFill>
                </w14:textFill>
              </w:rPr>
              <w:t>①</w:t>
            </w:r>
            <w:r>
              <w:rPr>
                <w:rFonts w:eastAsiaTheme="minorEastAsia"/>
                <w:color w:val="000000" w:themeColor="text1"/>
                <w14:textFill>
                  <w14:solidFill>
                    <w14:schemeClr w14:val="tx1"/>
                  </w14:solidFill>
                </w14:textFill>
              </w:rPr>
              <w:t>废气的排放影响植物的生长体现在改变植物生存区的大气环境，影响植物进行光合作用和呼吸作用，有害废气的排放会使植物被动地调整和改变自身的组织结构与代谢。</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废水的排出主要是给各施工点附近地带的植被带来影响，改善植物根部的吸水与矿物质的吸收过程。</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lang w:eastAsia="ja-JP"/>
                <w14:textFill>
                  <w14:solidFill>
                    <w14:schemeClr w14:val="tx1"/>
                  </w14:solidFill>
                </w14:textFill>
              </w:rPr>
              <w:t>③</w:t>
            </w:r>
            <w:r>
              <w:rPr>
                <w:rFonts w:eastAsiaTheme="minorEastAsia"/>
                <w:color w:val="000000" w:themeColor="text1"/>
                <w14:textFill>
                  <w14:solidFill>
                    <w14:schemeClr w14:val="tx1"/>
                  </w14:solidFill>
                </w14:textFill>
              </w:rPr>
              <w:t xml:space="preserve">施工及车辆经过时产生的粉尘可以飘向远处附着在植物表面特别是堆积在植物气孔处影响植物的光合作用和呼吸作用。 </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评要求施工单位在施工过程中要加强施工管理，在堤防基础开挖时及时进行洒水降尘，并及时对项目沿线道路进行洒水降尘，同时对运输车辆进行封闭或采用篷布覆盖，尽量保持车辆轮胎湿润，减少起尘量。在落实项目扬尘治理措施的前提下，项目施工对陆生植被的影响较小。</w:t>
            </w:r>
          </w:p>
          <w:p>
            <w:pPr>
              <w:ind w:firstLine="498"/>
              <w:rPr>
                <w:rFonts w:eastAsiaTheme="minorEastAsia"/>
                <w:b/>
                <w:bCs/>
                <w:color w:val="000000" w:themeColor="text1"/>
                <w:spacing w:val="4"/>
                <w14:textFill>
                  <w14:solidFill>
                    <w14:schemeClr w14:val="tx1"/>
                  </w14:solidFill>
                </w14:textFill>
              </w:rPr>
            </w:pPr>
            <w:r>
              <w:rPr>
                <w:rFonts w:eastAsiaTheme="minorEastAsia"/>
                <w:b/>
                <w:bCs/>
                <w:color w:val="000000" w:themeColor="text1"/>
                <w:spacing w:val="4"/>
                <w14:textFill>
                  <w14:solidFill>
                    <w14:schemeClr w14:val="tx1"/>
                  </w14:solidFill>
                </w14:textFill>
              </w:rPr>
              <w:t>3、对沿线动物的影响分析</w:t>
            </w:r>
          </w:p>
          <w:p>
            <w:pPr>
              <w:ind w:firstLine="480"/>
              <w:rPr>
                <w:rFonts w:eastAsiaTheme="minorEastAsia"/>
                <w:color w:val="000000" w:themeColor="text1"/>
                <w14:textFill>
                  <w14:solidFill>
                    <w14:schemeClr w14:val="tx1"/>
                  </w14:solidFill>
                </w14:textFill>
              </w:rPr>
            </w:pPr>
            <w:bookmarkStart w:id="35" w:name="_Hlk160186007"/>
            <w:r>
              <w:rPr>
                <w:rFonts w:eastAsiaTheme="minorEastAsia"/>
                <w:color w:val="000000" w:themeColor="text1"/>
                <w14:textFill>
                  <w14:solidFill>
                    <w14:schemeClr w14:val="tx1"/>
                  </w14:solidFill>
                </w14:textFill>
              </w:rPr>
              <w:t>本工程施工期对工程内动物的影响可以概括为以下几个方面：</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施工占地导致原在此区域栖息的两栖类、爬类、鸟类、兽类的部分栖息地将被直接侵占，迫使其迁往周边区域适宜栖息地；</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施工活动可能直接导致动物巢穴破坏，使动物幼体死亡；</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工程活动和施工人员产生的废水、废气污染物造成水体或土壤污染，施工扬尘造成环境及空气污染，危害动物健康甚至危及动物生命，两栖、爬行动物对此类影响最为敏感；</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施工噪声、机械振动、施工人员活动惊扰野生动物，影响它们的正常活动、觅食及繁殖，噪音影响严重的将迫使它们暂时迁徙。</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1）两栖动物</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对两栖动物的影响有：栖息地占用、环境污染、人为捕捉，这三个方面的因素都可能使两栖动物各物种的种群数量减少。施工中施工区开挖及材料运输，皆会破坏原生环境，对占地区涉及的植被造成一定的破坏甚至水土流失，使原有的两栖动物栖息地有所缩小。同时减小两栖动物的活动范围和强度，甚至直接造成部分个体死亡。施工活动可能将产生弃土、生活垃圾、生活污水，会在周围土壤形成有毒物质，破坏两栖动物栖息地的质量，从而导致它们的生存力和繁殖力下降。同时，施工人员可能会捕获当地两栖动物。</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两栖动物迁移能力较弱、对环境的依赖性较强。两栖动物主要栖息于农田、溪流及附近的草丛中，本项目占用两栖动物的主要生境很小。本工程在一定程度上将改变施工点附近部分水域水质，影响该河段两栖动物生境。但工程施工时间较短，且对水质影响范围较小，工程建设影响的范围不大且影响时间短，因此对两栖动物不会造成大的影响。当恢复河床及周边生境后，它们仍可回到原来的栖息地。</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在施工过程中严格执行施工方案及环境保护措施，生活垃圾、生活污水经严格回收处理，不外排。在施工过程中还要严格规范施工人员的行为，禁止捕获两栖动物。由于工程区内两栖类种类单一，种群密度低，且多为当地常见种，故工程施工对两栖类影响较小。</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2）爬行动物</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施工期对爬行动物的影响主要为占地区植被的破坏将改变爬行动物的生境及人为捕捉将导致区域爬行动物种群数量下降。</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据调查，区域爬行类动物主要为蛇类。爬行类动物多生活在人烟稀少、植被茂密的丛林里，工程建设区分布的此类动物稀少，对工程区域爬行类动物影响微弱。由于爬行类对人类威胁的感知能力和迅速逃避能力较强，可以有效避免直接伤害。它们将由原来的生境转移到远离施工区的相似生境生活，虽然会造成施工区周边动物密度的减少，但不会造成整个区域爬行动物物种种类的减少。</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因此，在严格禁止施工人员捕捉爬行动物情况下，工程建设对爬行类动物的影响较小。</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3）鸟类</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间对鸟类的影响主要体现在两个方面，即施工占地对栖息环境的直接破坏、施工噪声产生的干扰。首先，工程占地对草地的破坏，会导致原本栖息于此的鸟类失去栖息场所，转移到其他乔木林、灌木丛栖息、繁衍。其次，鸟类对声音极其敏感，施工期间的噪声影响包括施工人员噪声及机械噪声影响，这些噪声会导致鸟类觅食、活动时避开施工区域，转移到其他区域范围内活动。夜间施工，灯光的照射会影响夜行性鸟类的活动，给它们带来不利影响。</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鸟类活动范围广泛，所栖息的环境多种多样，像林地、草地、农田、村庄等都是它们的活动和栖息场所，它们的食物也丰富多彩，动物尸体、小动物、昆虫、植物枝叶、种子、果实等都是它们的食物。工程施工区域只占鸟类活动和栖息场所的很小一部分，对大多数鸟类的栖息环境和食物数量不会产生明显的影响。施工期间采取文明施工、加强管理、运输车辆限速禁鸣等措施。因此，工程建设对鸟类影响较小。</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4）哺乳动物</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工程对兽类的影响主要体现在3个方面，即工程占地破坏部分兽类的栖息环境、河堤施工阻隔部分兽类的移动通道、人为活动干扰兽类分布范围。首先，对于工程占地对兽类栖息地的破坏，主要体现在对小型兽类的影响，如占地范围内的巢穴会被直接破坏，占地对植被的破坏导致兽类栖息环境直接改变。其次，河道施工的阻隔作用会导致部分小型兽类暂时失去迁移行走的通道，对于活动能力较弱的兽类，会无法跨越施工区。夜间施工，灯光的照射会影响兽类的夜间活动，给它们带来不利影响。最后，因施工范围内施工人员的增加，导致区域范围内人为活动频繁，限制了部分兽类的活动范围，或迫使活动范围转移，同时也增加了对兽类捕杀发生的几率。</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经调查及查阅相关资料，区域的生境相似，未发现大中型兽类，小型兽类具有较强的适应能力、繁殖快，受到干扰后可寻找到替代生境，因此占地不会使种群数量发生明显波动。工程施工期限较短，随着施工的结束，对兽类的阻隔影响逐渐消失。施工期应加强对施工人员的宣传教育和管理，禁止捕杀。</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综上所述，项目施工期对施工范围内兽类物种及种群数量影响较小。</w:t>
            </w:r>
          </w:p>
          <w:bookmarkEnd w:id="35"/>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4、水生生物影响分析</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对水生生态的影响主要为河道内施工的影响，主要为新建堤防施工等。主要的影响为围堰修建、施工填筑、开挖、基坑排水等导致局部水域水体悬浮物浓度增加，水质下降对水生生物和鱼类栖息产生不利影响，施工噪声、振动对附近水域鱼类和水生生物产生惊扰。</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堤防工程施工需占用河道，在一定程度上将会破坏水生浮游生物、底栖动植物的生境，对鱼类等水生生物也会造成惊扰或损伤，河道施工造成河水悬浮物升高。</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（1）对浮游生物的影响分析</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对浮游植物、浮游动物的影响主要来自河道内施工会使施工断面水体受到扰动、泥沙上浮，形成一定范围的悬浮物高密度区域，使得水体悬浮物浓度增加，局部水域悬浮物浓度增大，使透光率降低，这将阻碍浮游植物光合作用，降低单位水体内浮游植物的数量，最终导致附近水域初级生产力水平下降；同时水中悬浮颗粒的摩擦、冲击造成浮游生物的损伤，从而造成水体浮游植物种类减少、生产力下降，浮游动物种类减少，密度下降。但是本工程施工期涉水水域范围较小，且在枯水期施工，影响时段较短。这种影响是暂时的、局部的、可逆的，随着工程的结束，悬浮物浓度的降低，浮游生物的数量可逐渐恢复。因此，工程施工对浮游生物影响较小。</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间的生活污水如不经处理而直接排放，固体废弃物、生活垃圾等如不集中防护和处理，将对水体造成一定程度的污染，主要是具有较高悬浮物浓度而使水体透明度下降，pH值呈弱碱性，并带有少量的油污。生活污水依托附近村民化粪池处理后用于农肥。生活垃圾集中收集后统一清运处理。因此，施工期间的生活污水、生活垃圾等对工程区河段浮游生物的影响较小。</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（2）对底栖生物的影响分析</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底栖无脊椎动物是沿水底生活的，而且很多种类都是鱼类优良的天然饵料和环境指示物种。堤防工程的挖掘等作业将对底栖无脊椎动物的生存和繁衍造成较大影响。挖掘等作业活动会翻动河床底质，直接破坏底栖无脊椎动物的生境。施工期翻动的卵石呈裸露状态，不构成底栖无脊椎动物的生境，但丰水期及洪水期，这些卵石将成为底栖无脊椎动物的活动场所，翻动后需要较长时间才能恢复。这一影响将从施工后第一次丰水期开始到新的底质稳定后才会消失。涉水施工活动破坏河床底部地栖动物生存的环境。工程施工产生的生活污水和固体垃圾的排放，使水体有机质增加，若污染物的排放控制不当，则会造成水体局部污染，使得底栖无脊椎动物的种类组成和区系发生变化。毛翅目、蜉蝣目中喜清洁水体的种类将大幅减少。</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水体底层富含有机质，施工期开挖导致水体底泥被搅动、开挖或搬运后，底栖动物也将随底泥的取走而死亡或迁移它地。因沿线水生底栖动物在附近其</w:t>
            </w:r>
            <w:r>
              <w:rPr>
                <w:rFonts w:hint="eastAsia" w:eastAsiaTheme="minorEastAsia"/>
                <w:color w:val="000000" w:themeColor="text1"/>
                <w:lang w:eastAsia="zh-CN"/>
                <w14:textFill>
                  <w14:solidFill>
                    <w14:schemeClr w14:val="tx1"/>
                  </w14:solidFill>
                </w14:textFill>
              </w:rPr>
              <w:t>他</w:t>
            </w:r>
            <w:r>
              <w:rPr>
                <w:rFonts w:eastAsiaTheme="minorEastAsia"/>
                <w:color w:val="000000" w:themeColor="text1"/>
                <w14:textFill>
                  <w14:solidFill>
                    <w14:schemeClr w14:val="tx1"/>
                  </w14:solidFill>
                </w14:textFill>
              </w:rPr>
              <w:t>地区相似的环境中亦有分布，并非本地区的特有种，从物种保护的角度看，工程的建设不会导致这些物种的消亡。水下堤防引起的悬浮物增加将恶化其固有的栖息环境，除活动能力较强的底栖生物逃往他处外，大部分种类将难以存活。虽然堤防施工产生的悬浮物对底栖生物会造成较为严重的暂时伤害，但这些损害在较短时间内是可以得到初步恢复的，故从长期来看，施工不会对该水域的底栖生物造成较大影响。</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（3）对水生植物的影响分析</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由于区域河床基本上都是由卵石或乱石组成的，水流湍急，水温低，水生维管束植物无法在此环境下得到良好的生长繁殖条件，施工对水生维管束植物贫乏的状况基本没有改变。</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（4）对鱼类的影响分析</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本工程堤防建设涉水施工，会占用部分河道，但施工占用的长度较短，对鱼类的通行造成影响较小，但难免会对施工区域鱼类资源造成影响。</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挖掘作业等将改变部分河床现状底质，从而影响浮游生物、底栖动物的种类和数量。上述饵料生物的减少将对鱼类索饵造成影响，从而降低施工水域附近鱼类的密度。自然流域中，底栖动物的种类和数量与底栖杂食性鱼类有密切的关系，通常底栖动物资源破坏后恢复较困难，会导致以底栖动物为食的鱼类数量减少，从而也会影响到部分底栖性鱼类的索饵。</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工程施工时间短，不会造成鱼类生物多样性降低，对鱼类资源量和生物多样性影响较小。</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堤防施工过程中产生的噪声会驱赶鱼类，鱼类会逃逸至其他适宜的河段，造成作业河段鱼类资源量下降，建议选用低噪声施工先进技术和设备，加强施工作业管理，尽最大可能降低施工噪声。这种资源量的下降是暂时的，将随施工的结束而得到恢复。</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在施工时对该河段产生较大的扰动，但本项目的扰动范围仅限于本项目建设范围，而本项目涉及的河段较短，相对于整个河流范围是很小的。另外本项目采用分期围堰，使河道保持畅通，保证水生生物能正常游动。本项目堤防的建设会使得该河段水环境得到改善，基本不会影响栖息在这一水域中的鱼类。同时，本项目河段内未发现固定的珍稀水生生物、重要鱼类的自然产卵场、索饵场、越冬场和洄游通道。</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综上所述，本项目的施工对小黑水河水生生态环境影响是短暂的、可逆的。施工期对附近水体的水生生态系统不会产生明显的影响。</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5、对水文情势的影响分析</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w:t>
            </w:r>
            <w:r>
              <w:rPr>
                <w:rFonts w:eastAsiaTheme="minorEastAsia"/>
                <w:bCs/>
                <w:color w:val="000000" w:themeColor="text1"/>
                <w14:textFill>
                  <w14:solidFill>
                    <w14:schemeClr w14:val="tx1"/>
                  </w14:solidFill>
                </w14:textFill>
              </w:rPr>
              <w:t>《黑水县卡龙镇才盖村基础设施提升建设项目初步设计报告》对</w:t>
            </w:r>
            <w:r>
              <w:rPr>
                <w:rFonts w:eastAsiaTheme="minorEastAsia"/>
                <w:color w:val="000000" w:themeColor="text1"/>
                <w14:textFill>
                  <w14:solidFill>
                    <w14:schemeClr w14:val="tx1"/>
                  </w14:solidFill>
                </w14:textFill>
              </w:rPr>
              <w:t>本项目治理河段前后的水面相关参数进行计算，得出实施前后河道的水面宽度、过水面积、流速、洪水位等各数据，根据对比分析，本项目实施后，水面宽度基本下降，但是变化量较小，过水面积下降，流速、洪水位略微上升，但是变化情况微小，基本可忽略其变化。故本项目实施后对河流水文情势影响较小。</w:t>
            </w:r>
          </w:p>
          <w:p>
            <w:pPr>
              <w:ind w:firstLine="498"/>
              <w:rPr>
                <w:rFonts w:eastAsiaTheme="minorEastAsia"/>
                <w:b/>
                <w:bCs/>
                <w:color w:val="000000" w:themeColor="text1"/>
                <w:spacing w:val="4"/>
                <w14:textFill>
                  <w14:solidFill>
                    <w14:schemeClr w14:val="tx1"/>
                  </w14:solidFill>
                </w14:textFill>
              </w:rPr>
            </w:pPr>
            <w:r>
              <w:rPr>
                <w:rFonts w:eastAsiaTheme="minorEastAsia"/>
                <w:b/>
                <w:bCs/>
                <w:color w:val="000000" w:themeColor="text1"/>
                <w:spacing w:val="4"/>
                <w14:textFill>
                  <w14:solidFill>
                    <w14:schemeClr w14:val="tx1"/>
                  </w14:solidFill>
                </w14:textFill>
              </w:rPr>
              <w:t>三、污染影响分析</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1、废气</w:t>
            </w:r>
          </w:p>
          <w:p>
            <w:pPr>
              <w:pStyle w:val="13"/>
              <w:spacing w:after="0"/>
              <w:ind w:firstLine="480"/>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color w:val="000000" w:themeColor="text1"/>
                <w:kern w:val="0"/>
                <w:lang w:val="zh-CN"/>
                <w14:textFill>
                  <w14:solidFill>
                    <w14:schemeClr w14:val="tx1"/>
                  </w14:solidFill>
                </w14:textFill>
              </w:rPr>
              <w:t>施工期大气污染源主要来自土石方开挖、运输过程中产生的扬尘；以燃油为动力的施工机械、运输车辆排放的尾气。</w:t>
            </w:r>
            <w:r>
              <w:rPr>
                <w:rFonts w:ascii="Times New Roman" w:hAnsi="Times New Roman" w:eastAsiaTheme="minorEastAsia"/>
                <w:color w:val="000000" w:themeColor="text1"/>
                <w:kern w:val="0"/>
                <w14:textFill>
                  <w14:solidFill>
                    <w14:schemeClr w14:val="tx1"/>
                  </w14:solidFill>
                </w14:textFill>
              </w:rPr>
              <w:t>根据调查，本工程所在地河道水流湍急、水质好，本工程河段基础开挖料多为砂砾石，无腐殖质，无恶臭产生。</w:t>
            </w:r>
          </w:p>
          <w:p>
            <w:pPr>
              <w:pStyle w:val="13"/>
              <w:spacing w:after="0"/>
              <w:ind w:firstLine="470"/>
              <w:rPr>
                <w:rFonts w:ascii="Times New Roman" w:hAnsi="Times New Roman" w:eastAsiaTheme="minorEastAsia"/>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（1）</w:t>
            </w:r>
            <w:r>
              <w:rPr>
                <w:rFonts w:ascii="Times New Roman" w:hAnsi="Times New Roman" w:eastAsiaTheme="minorEastAsia"/>
                <w:b/>
                <w:bCs/>
                <w:color w:val="000000" w:themeColor="text1"/>
                <w:kern w:val="0"/>
                <w:szCs w:val="20"/>
                <w14:textFill>
                  <w14:solidFill>
                    <w14:schemeClr w14:val="tx1"/>
                  </w14:solidFill>
                </w14:textFill>
              </w:rPr>
              <w:t>施工扬尘</w:t>
            </w:r>
          </w:p>
          <w:p>
            <w:pPr>
              <w:ind w:firstLine="480"/>
              <w:textAlignment w:val="baseline"/>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扬尘是施工活动中的一个重要污染因素，将对施工区周边和线路两侧一定范围内环境空气质量造成影响。施工扬尘的大小，随施工季节，土壤类别情况、土壤颗粒的松散程度、土壤的含水率、施工管理以及运输道路的清洁程度等不同而差异甚大。</w:t>
            </w:r>
          </w:p>
          <w:p>
            <w:pPr>
              <w:ind w:firstLine="480"/>
              <w:textAlignment w:val="baseline"/>
              <w:rPr>
                <w:rFonts w:eastAsiaTheme="minorEastAsia"/>
                <w:color w:val="000000" w:themeColor="text1"/>
                <w:kern w:val="0"/>
                <w14:textFill>
                  <w14:solidFill>
                    <w14:schemeClr w14:val="tx1"/>
                  </w14:solidFill>
                </w14:textFill>
              </w:rPr>
            </w:pPr>
            <w:r>
              <w:rPr>
                <w:rFonts w:eastAsiaTheme="minorEastAsia"/>
                <w:color w:val="000000" w:themeColor="text1"/>
                <w14:textFill>
                  <w14:solidFill>
                    <w14:schemeClr w14:val="tx1"/>
                  </w14:solidFill>
                </w14:textFill>
              </w:rPr>
              <w:t>工程区周边有居民点分布</w:t>
            </w:r>
            <w:r>
              <w:rPr>
                <w:rFonts w:eastAsiaTheme="minorEastAsia"/>
                <w:color w:val="000000" w:themeColor="text1"/>
                <w:kern w:val="0"/>
                <w14:textFill>
                  <w14:solidFill>
                    <w14:schemeClr w14:val="tx1"/>
                  </w14:solidFill>
                </w14:textFill>
              </w:rPr>
              <w:t>，为减轻施工扬尘对周边环境的影响，应采取以下几点措施：</w:t>
            </w:r>
          </w:p>
          <w:p>
            <w:pPr>
              <w:ind w:firstLine="480"/>
              <w:textAlignment w:val="baseline"/>
              <w:rPr>
                <w:rFonts w:eastAsiaTheme="minorEastAsia"/>
                <w:color w:val="000000" w:themeColor="text1"/>
                <w:kern w:val="0"/>
                <w:lang w:bidi="en-US"/>
                <w14:textFill>
                  <w14:solidFill>
                    <w14:schemeClr w14:val="tx1"/>
                  </w14:solidFill>
                </w14:textFill>
              </w:rPr>
            </w:pPr>
            <w:r>
              <w:rPr>
                <w:rFonts w:eastAsiaTheme="minorEastAsia"/>
                <w:color w:val="000000" w:themeColor="text1"/>
                <w:kern w:val="0"/>
                <w:lang w:bidi="en-US"/>
                <w14:textFill>
                  <w14:solidFill>
                    <w14:schemeClr w14:val="tx1"/>
                  </w14:solidFill>
                </w14:textFill>
              </w:rPr>
              <w:t>在施工过程中施工单位必须严格按照《大气污染防治行动计划》、《住房和城乡建设部办公厅关于进一步加强施工工地和道路扬尘管控工作的通知》（建办质(2019)23号）、《四川省大气污染防治行动计划实施细则》、《四川省重污染天气应急预案》（</w:t>
            </w:r>
            <w:r>
              <w:rPr>
                <w:rFonts w:eastAsiaTheme="minorEastAsia"/>
                <w:bCs/>
                <w:color w:val="000000" w:themeColor="text1"/>
                <w:kern w:val="0"/>
                <w:lang w:bidi="en-US"/>
                <w14:textFill>
                  <w14:solidFill>
                    <w14:schemeClr w14:val="tx1"/>
                  </w14:solidFill>
                </w14:textFill>
              </w:rPr>
              <w:t>川办发〔2024〕46号</w:t>
            </w:r>
            <w:r>
              <w:rPr>
                <w:rFonts w:eastAsiaTheme="minorEastAsia"/>
                <w:color w:val="000000" w:themeColor="text1"/>
                <w:kern w:val="0"/>
                <w:lang w:bidi="en-US"/>
                <w14:textFill>
                  <w14:solidFill>
                    <w14:schemeClr w14:val="tx1"/>
                  </w14:solidFill>
                </w14:textFill>
              </w:rPr>
              <w:t>）、《阿坝州大气环境突出问题专项整治行动方案》等要求，施工现场应采取以下扬尘污染防治措施：</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①</w:t>
            </w:r>
            <w:r>
              <w:rPr>
                <w:rFonts w:eastAsiaTheme="minorEastAsia"/>
                <w:color w:val="000000" w:themeColor="text1"/>
                <w:kern w:val="0"/>
                <w:lang w:bidi="en-US"/>
                <w14:textFill>
                  <w14:solidFill>
                    <w14:schemeClr w14:val="tx1"/>
                  </w14:solidFill>
                </w14:textFill>
              </w:rPr>
              <w:t>施工现场架设1.8-2.5m高的围挡，封闭施工现场，采用密目安全网，以减少施工过程中的粉尘飞散现象，降低粉尘向大气中排放，设置喷雾降尘设备。</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②</w:t>
            </w:r>
            <w:r>
              <w:rPr>
                <w:rFonts w:eastAsiaTheme="minorEastAsia"/>
                <w:color w:val="000000" w:themeColor="text1"/>
                <w:kern w:val="0"/>
                <w:lang w:bidi="en-US"/>
                <w14:textFill>
                  <w14:solidFill>
                    <w14:schemeClr w14:val="tx1"/>
                  </w14:solidFill>
                </w14:textFill>
              </w:rPr>
              <w:t>施工单位文明施工，定期对地面洒水，并对撒落在路面的渣土及时清除，清理阶段做到先洒水后清扫，避免产生扬尘。</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③</w:t>
            </w:r>
            <w:r>
              <w:rPr>
                <w:rFonts w:eastAsiaTheme="minorEastAsia"/>
                <w:color w:val="000000" w:themeColor="text1"/>
                <w:kern w:val="0"/>
                <w:lang w:bidi="en-US"/>
                <w14:textFill>
                  <w14:solidFill>
                    <w14:schemeClr w14:val="tx1"/>
                  </w14:solidFill>
                </w14:textFill>
              </w:rPr>
              <w:t>自卸车、固废运输车等输出车辆不允许超载，选择对周围环境影响较小的运输路线，定时对运输路线进行清扫，运输车辆必须封闭，避免在运输过程中的抛洒现象；</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④</w:t>
            </w:r>
            <w:r>
              <w:rPr>
                <w:rFonts w:eastAsiaTheme="minorEastAsia"/>
                <w:color w:val="000000" w:themeColor="text1"/>
                <w:kern w:val="0"/>
                <w:lang w:bidi="en-US"/>
                <w14:textFill>
                  <w14:solidFill>
                    <w14:schemeClr w14:val="tx1"/>
                  </w14:solidFill>
                </w14:textFill>
              </w:rPr>
              <w:t>施工现场进行易产生扬尘的施工作业活动时，应采取喷淋、喷雾等湿法降尘措施。</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⑤</w:t>
            </w:r>
            <w:r>
              <w:rPr>
                <w:rFonts w:eastAsiaTheme="minorEastAsia"/>
                <w:color w:val="000000" w:themeColor="text1"/>
                <w:kern w:val="0"/>
                <w:lang w:bidi="en-US"/>
                <w14:textFill>
                  <w14:solidFill>
                    <w14:schemeClr w14:val="tx1"/>
                  </w14:solidFill>
                </w14:textFill>
              </w:rPr>
              <w:t>应在施工建设中做到规范管理，文明施工，全面督查建设工程现场管理；</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⑥</w:t>
            </w:r>
            <w:r>
              <w:rPr>
                <w:rFonts w:eastAsiaTheme="minorEastAsia"/>
                <w:color w:val="000000" w:themeColor="text1"/>
                <w:kern w:val="0"/>
                <w:lang w:bidi="en-US"/>
                <w14:textFill>
                  <w14:solidFill>
                    <w14:schemeClr w14:val="tx1"/>
                  </w14:solidFill>
                </w14:textFill>
              </w:rPr>
              <w:t>建设单位必须设置环境保护公示牌，并按照《中华人民共和国生态环境法典》相关规定，在施工现场工地公示扬尘污染防治措施、负责人、扬尘监督管理主管部门等信息。</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⑦</w:t>
            </w:r>
            <w:r>
              <w:rPr>
                <w:rFonts w:eastAsiaTheme="minorEastAsia"/>
                <w:color w:val="000000" w:themeColor="text1"/>
                <w:kern w:val="0"/>
                <w:lang w:bidi="en-US"/>
                <w14:textFill>
                  <w14:solidFill>
                    <w14:schemeClr w14:val="tx1"/>
                  </w14:solidFill>
                </w14:textFill>
              </w:rPr>
              <w:t>项目施工期间出现重污染天气时应当按照《四川省重污染天气应急预案》（</w:t>
            </w:r>
            <w:r>
              <w:rPr>
                <w:rFonts w:eastAsiaTheme="minorEastAsia"/>
                <w:bCs/>
                <w:color w:val="000000" w:themeColor="text1"/>
                <w:kern w:val="0"/>
                <w:lang w:bidi="en-US"/>
                <w14:textFill>
                  <w14:solidFill>
                    <w14:schemeClr w14:val="tx1"/>
                  </w14:solidFill>
                </w14:textFill>
              </w:rPr>
              <w:t>川办发〔2024〕46号</w:t>
            </w:r>
            <w:r>
              <w:rPr>
                <w:rFonts w:eastAsiaTheme="minorEastAsia"/>
                <w:color w:val="000000" w:themeColor="text1"/>
                <w:kern w:val="0"/>
                <w:lang w:bidi="en-US"/>
                <w14:textFill>
                  <w14:solidFill>
                    <w14:schemeClr w14:val="tx1"/>
                  </w14:solidFill>
                </w14:textFill>
              </w:rPr>
              <w:t>）要求做好重污染天气状况下，大气污染物的应急处置。</w:t>
            </w:r>
          </w:p>
          <w:p>
            <w:pPr>
              <w:ind w:firstLine="480"/>
              <w:textAlignment w:val="baseline"/>
              <w:rPr>
                <w:rFonts w:eastAsiaTheme="minorEastAsia"/>
                <w:color w:val="000000" w:themeColor="text1"/>
                <w:kern w:val="0"/>
                <w:lang w:bidi="en-US"/>
                <w14:textFill>
                  <w14:solidFill>
                    <w14:schemeClr w14:val="tx1"/>
                  </w14:solidFill>
                </w14:textFill>
              </w:rPr>
            </w:pPr>
            <w:r>
              <w:rPr>
                <w:rFonts w:eastAsiaTheme="minorEastAsia"/>
                <w:color w:val="000000" w:themeColor="text1"/>
                <w:kern w:val="0"/>
                <w:lang w:bidi="en-US"/>
                <w14:textFill>
                  <w14:solidFill>
                    <w14:schemeClr w14:val="tx1"/>
                  </w14:solidFill>
                </w14:textFill>
              </w:rPr>
              <w:t>本项目施工期采取以上环保措施后，可以有效地控制施工期扬尘影响的范围及程度，可满足《四川省施工场地扬尘排放标准》(DB51/2682-2020)表1中的相关要求。</w:t>
            </w:r>
          </w:p>
          <w:p>
            <w:pPr>
              <w:pStyle w:val="13"/>
              <w:spacing w:after="0"/>
              <w:ind w:firstLine="470"/>
              <w:rPr>
                <w:rFonts w:ascii="Times New Roman" w:hAnsi="Times New Roman" w:eastAsiaTheme="minorEastAsia"/>
                <w:b/>
                <w:bCs/>
                <w:color w:val="000000" w:themeColor="text1"/>
                <w:spacing w:val="-3"/>
                <w14:textFill>
                  <w14:solidFill>
                    <w14:schemeClr w14:val="tx1"/>
                  </w14:solidFill>
                </w14:textFill>
              </w:rPr>
            </w:pPr>
            <w:r>
              <w:rPr>
                <w:rFonts w:ascii="Times New Roman" w:hAnsi="Times New Roman" w:eastAsiaTheme="minorEastAsia"/>
                <w:b/>
                <w:bCs/>
                <w:color w:val="000000" w:themeColor="text1"/>
                <w:spacing w:val="-3"/>
                <w14:textFill>
                  <w14:solidFill>
                    <w14:schemeClr w14:val="tx1"/>
                  </w14:solidFill>
                </w14:textFill>
              </w:rPr>
              <w:t>（2）</w:t>
            </w:r>
            <w:r>
              <w:rPr>
                <w:rFonts w:ascii="Times New Roman" w:hAnsi="Times New Roman" w:eastAsiaTheme="minorEastAsia"/>
                <w:b/>
                <w:color w:val="000000" w:themeColor="text1"/>
                <w:kern w:val="0"/>
                <w:szCs w:val="20"/>
                <w14:textFill>
                  <w14:solidFill>
                    <w14:schemeClr w14:val="tx1"/>
                  </w14:solidFill>
                </w14:textFill>
              </w:rPr>
              <w:t>车辆运输扬尘</w:t>
            </w:r>
          </w:p>
          <w:p>
            <w:pPr>
              <w:ind w:firstLine="480"/>
              <w:textAlignment w:val="baseline"/>
              <w:rPr>
                <w:rFonts w:eastAsiaTheme="minorEastAsia"/>
                <w:color w:val="000000" w:themeColor="text1"/>
                <w:kern w:val="0"/>
                <w:szCs w:val="20"/>
                <w14:textFill>
                  <w14:solidFill>
                    <w14:schemeClr w14:val="tx1"/>
                  </w14:solidFill>
                </w14:textFill>
              </w:rPr>
            </w:pPr>
            <w:r>
              <w:rPr>
                <w:rFonts w:eastAsiaTheme="minorEastAsia"/>
                <w:color w:val="000000" w:themeColor="text1"/>
                <w:kern w:val="0"/>
                <w:szCs w:val="20"/>
                <w14:textFill>
                  <w14:solidFill>
                    <w14:schemeClr w14:val="tx1"/>
                  </w14:solidFill>
                </w14:textFill>
              </w:rPr>
              <w:t>施工过程中，各施工材料的运输，尤其混凝土、土石料等松散物料的运输将给运输道路的沿线带来扬尘污染，车辆道路扬尘为线源污染，扬尘在道路两侧扩散，最大起尘浓度出现在道路两侧，随离散距离的增加扬尘浓度逐渐降低，最终可达背景值。虽然是间歇性的，但是对沿线道路两侧及整个施工区环境空气质量将产生不利影响。</w:t>
            </w:r>
          </w:p>
          <w:p>
            <w:pPr>
              <w:ind w:firstLine="480"/>
              <w:textAlignment w:val="baseline"/>
              <w:rPr>
                <w:rFonts w:eastAsiaTheme="minorEastAsia"/>
                <w:color w:val="000000" w:themeColor="text1"/>
                <w:kern w:val="0"/>
                <w:szCs w:val="20"/>
                <w14:textFill>
                  <w14:solidFill>
                    <w14:schemeClr w14:val="tx1"/>
                  </w14:solidFill>
                </w14:textFill>
              </w:rPr>
            </w:pPr>
            <w:r>
              <w:rPr>
                <w:rFonts w:eastAsiaTheme="minorEastAsia"/>
                <w:color w:val="000000" w:themeColor="text1"/>
                <w:kern w:val="0"/>
                <w:szCs w:val="20"/>
                <w14:textFill>
                  <w14:solidFill>
                    <w14:schemeClr w14:val="tx1"/>
                  </w14:solidFill>
                </w14:textFill>
              </w:rPr>
              <w:t>项目土石料运输主要依靠村道和市政路网，运输车辆在离开施工区后因颠簸或风的作用洒落尘土，将产生一次和二次扬尘污染，在不洒水的情况下将对道路两侧100m范围内的居民产生影响，洒水的情况下对道路两侧50m范围有一定的影响。</w:t>
            </w:r>
          </w:p>
          <w:p>
            <w:pPr>
              <w:ind w:firstLine="480"/>
              <w:textAlignment w:val="baseline"/>
              <w:rPr>
                <w:rFonts w:eastAsiaTheme="minorEastAsia"/>
                <w:color w:val="000000" w:themeColor="text1"/>
                <w:kern w:val="0"/>
                <w:szCs w:val="20"/>
                <w14:textFill>
                  <w14:solidFill>
                    <w14:schemeClr w14:val="tx1"/>
                  </w14:solidFill>
                </w14:textFill>
              </w:rPr>
            </w:pPr>
            <w:r>
              <w:rPr>
                <w:rFonts w:eastAsiaTheme="minorEastAsia"/>
                <w:color w:val="000000" w:themeColor="text1"/>
                <w:kern w:val="0"/>
                <w:szCs w:val="20"/>
                <w14:textFill>
                  <w14:solidFill>
                    <w14:schemeClr w14:val="tx1"/>
                  </w14:solidFill>
                </w14:textFill>
              </w:rPr>
              <w:t>车辆行驶扬尘对施工区及物料运输路线两侧的敏感目标的大气环境造成一定的影响，施工单位应针对实际情况，在物料运输高峰期，通过对居民点附近的路面采取喷洒措施后，可有效降低路面粉尘，进而降低汽车运输扬尘。同时施工单位应针对实际情况，对物料运输车辆加盖篷布或采用封闭车辆，不超重装载，可避免运输过程中产生物料遗撒；物料运输过程中加强对路面的清洁及洒水降尘；运输车辆经过沿途居民点时注意控制车速，减速慢行，防止行车时产生大量扬尘，在采取以上防尘降尘措施后，可有效降低车辆运输扬尘对周围环境空气的影响。</w:t>
            </w:r>
          </w:p>
          <w:p>
            <w:pPr>
              <w:pStyle w:val="47"/>
              <w:adjustRightInd/>
              <w:spacing w:line="360" w:lineRule="auto"/>
              <w:ind w:firstLine="481" w:firstLineChars="200"/>
              <w:rPr>
                <w:rFonts w:ascii="Times New Roman" w:hAnsi="Times New Roman" w:eastAsiaTheme="minorEastAsia"/>
                <w:b/>
                <w:bCs/>
                <w:color w:val="000000" w:themeColor="text1"/>
                <w:kern w:val="2"/>
                <w14:textFill>
                  <w14:solidFill>
                    <w14:schemeClr w14:val="tx1"/>
                  </w14:solidFill>
                </w14:textFill>
              </w:rPr>
            </w:pPr>
            <w:r>
              <w:rPr>
                <w:rFonts w:ascii="Times New Roman" w:hAnsi="Times New Roman" w:eastAsiaTheme="minorEastAsia"/>
                <w:b/>
                <w:bCs/>
                <w:color w:val="000000" w:themeColor="text1"/>
                <w:kern w:val="2"/>
                <w14:textFill>
                  <w14:solidFill>
                    <w14:schemeClr w14:val="tx1"/>
                  </w14:solidFill>
                </w14:textFill>
              </w:rPr>
              <w:t>（3）施工机械燃油废气</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施工过程所使用的各种工程机械、施工车辆会排放一定量的燃油废气，主要污染物为CO、NO</w:t>
            </w:r>
            <w:r>
              <w:rPr>
                <w:rFonts w:hAnsi="Times New Roman" w:eastAsiaTheme="minorEastAsia"/>
                <w:color w:val="000000" w:themeColor="text1"/>
                <w:vertAlign w:val="subscript"/>
                <w14:textFill>
                  <w14:solidFill>
                    <w14:schemeClr w14:val="tx1"/>
                  </w14:solidFill>
                </w14:textFill>
              </w:rPr>
              <w:t>2</w:t>
            </w:r>
            <w:r>
              <w:rPr>
                <w:rFonts w:hAnsi="Times New Roman" w:eastAsiaTheme="minorEastAsia"/>
                <w:color w:val="000000" w:themeColor="text1"/>
                <w14:textFill>
                  <w14:solidFill>
                    <w14:schemeClr w14:val="tx1"/>
                  </w14:solidFill>
                </w14:textFill>
              </w:rPr>
              <w:t>、SO</w:t>
            </w:r>
            <w:r>
              <w:rPr>
                <w:rFonts w:hAnsi="Times New Roman" w:eastAsiaTheme="minorEastAsia"/>
                <w:color w:val="000000" w:themeColor="text1"/>
                <w:vertAlign w:val="subscript"/>
                <w14:textFill>
                  <w14:solidFill>
                    <w14:schemeClr w14:val="tx1"/>
                  </w14:solidFill>
                </w14:textFill>
              </w:rPr>
              <w:t>2</w:t>
            </w:r>
            <w:r>
              <w:rPr>
                <w:rFonts w:hAnsi="Times New Roman" w:eastAsiaTheme="minorEastAsia"/>
                <w:color w:val="000000" w:themeColor="text1"/>
                <w14:textFill>
                  <w14:solidFill>
                    <w14:schemeClr w14:val="tx1"/>
                  </w14:solidFill>
                </w14:textFill>
              </w:rPr>
              <w:t>和THC等。由于施工机械燃烧废气具有流动性、且排放量较小，属间断性排放，加之本项目施工区开阔，扩散条件良好，因此，施工机械废气对周边环境影响较小。</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综上所述，本项目施工期大气污染物产生量小，采取相应措施后，不会对周围环境产生明显不利影响，且施工期大气污染物随施工期的结束而停止，不会产生累积的污染影响。</w:t>
            </w:r>
          </w:p>
          <w:p>
            <w:pPr>
              <w:pStyle w:val="5"/>
              <w:ind w:firstLine="482"/>
              <w:rPr>
                <w:rFonts w:cs="Times New Roman" w:eastAsiaTheme="minorEastAsia"/>
                <w:color w:val="000000" w:themeColor="text1"/>
                <w14:textFill>
                  <w14:solidFill>
                    <w14:schemeClr w14:val="tx1"/>
                  </w14:solidFill>
                </w14:textFill>
              </w:rPr>
            </w:pPr>
            <w:r>
              <w:rPr>
                <w:rFonts w:cs="Times New Roman" w:eastAsiaTheme="minorEastAsia"/>
                <w:color w:val="000000" w:themeColor="text1"/>
                <w14:textFill>
                  <w14:solidFill>
                    <w14:schemeClr w14:val="tx1"/>
                  </w14:solidFill>
                </w14:textFill>
              </w:rPr>
              <w:t>2、废水</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根据施工进度安排，堤防工程在一个枯水期内即可完建，本项目施工时安排在枯水期进行，</w:t>
            </w:r>
            <w:r>
              <w:rPr>
                <w:rFonts w:hAnsi="Times New Roman" w:eastAsiaTheme="minorEastAsia"/>
                <w:color w:val="000000" w:themeColor="text1"/>
                <w:lang w:bidi="ar"/>
                <w14:textFill>
                  <w14:solidFill>
                    <w14:schemeClr w14:val="tx1"/>
                  </w14:solidFill>
                </w14:textFill>
              </w:rPr>
              <w:t>采用</w:t>
            </w:r>
            <w:r>
              <w:rPr>
                <w:rFonts w:hAnsi="Times New Roman" w:eastAsiaTheme="minorEastAsia"/>
                <w:color w:val="000000" w:themeColor="text1"/>
                <w14:textFill>
                  <w14:solidFill>
                    <w14:schemeClr w14:val="tx1"/>
                  </w14:solidFill>
                </w14:textFill>
              </w:rPr>
              <w:t>分段岸边</w:t>
            </w:r>
            <w:r>
              <w:rPr>
                <w:rFonts w:hAnsi="Times New Roman" w:eastAsiaTheme="minorEastAsia"/>
                <w:color w:val="000000" w:themeColor="text1"/>
                <w:lang w:bidi="ar"/>
                <w14:textFill>
                  <w14:solidFill>
                    <w14:schemeClr w14:val="tx1"/>
                  </w14:solidFill>
                </w14:textFill>
              </w:rPr>
              <w:t>围堰束窄河床的导流方式导流，提供围堰内干地施工条件。因此，施工期主要废水为生活污水、</w:t>
            </w:r>
            <w:r>
              <w:rPr>
                <w:rFonts w:hAnsi="Times New Roman" w:eastAsiaTheme="minorEastAsia"/>
                <w:snapToGrid w:val="0"/>
                <w:color w:val="000000" w:themeColor="text1"/>
                <w:szCs w:val="20"/>
                <w14:textFill>
                  <w14:solidFill>
                    <w14:schemeClr w14:val="tx1"/>
                  </w14:solidFill>
                </w14:textFill>
              </w:rPr>
              <w:t>基坑排水。</w:t>
            </w:r>
          </w:p>
          <w:p>
            <w:pPr>
              <w:ind w:firstLine="482"/>
              <w:rPr>
                <w:rFonts w:eastAsiaTheme="minorEastAsia"/>
                <w:b/>
                <w:color w:val="000000" w:themeColor="text1"/>
                <w:kern w:val="0"/>
                <w:szCs w:val="20"/>
                <w:lang w:val="zh-CN"/>
                <w14:textFill>
                  <w14:solidFill>
                    <w14:schemeClr w14:val="tx1"/>
                  </w14:solidFill>
                </w14:textFill>
              </w:rPr>
            </w:pPr>
            <w:r>
              <w:rPr>
                <w:rFonts w:eastAsiaTheme="minorEastAsia"/>
                <w:b/>
                <w:color w:val="000000" w:themeColor="text1"/>
                <w:kern w:val="0"/>
                <w:szCs w:val="20"/>
                <w14:textFill>
                  <w14:solidFill>
                    <w14:schemeClr w14:val="tx1"/>
                  </w14:solidFill>
                </w14:textFill>
              </w:rPr>
              <w:t>（1）</w:t>
            </w:r>
            <w:r>
              <w:rPr>
                <w:rFonts w:eastAsiaTheme="minorEastAsia"/>
                <w:b/>
                <w:color w:val="000000" w:themeColor="text1"/>
                <w:kern w:val="0"/>
                <w:szCs w:val="20"/>
                <w:lang w:val="zh-CN"/>
                <w14:textFill>
                  <w14:solidFill>
                    <w14:schemeClr w14:val="tx1"/>
                  </w14:solidFill>
                </w14:textFill>
              </w:rPr>
              <w:t>生活污水</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项目不设施工生活营地，施工期间工人租用当地民房作为施工营地。本工程施工高峰期施工人员约</w:t>
            </w:r>
            <w:bookmarkStart w:id="36" w:name="OLE_LINK37"/>
            <w:bookmarkStart w:id="37" w:name="OLE_LINK39"/>
            <w:r>
              <w:rPr>
                <w:rFonts w:eastAsiaTheme="minorEastAsia"/>
                <w:color w:val="000000" w:themeColor="text1"/>
                <w14:textFill>
                  <w14:solidFill>
                    <w14:schemeClr w14:val="tx1"/>
                  </w14:solidFill>
                </w14:textFill>
              </w:rPr>
              <w:t>20人</w:t>
            </w:r>
            <w:bookmarkEnd w:id="36"/>
            <w:bookmarkEnd w:id="37"/>
            <w:r>
              <w:rPr>
                <w:rFonts w:eastAsiaTheme="minorEastAsia"/>
                <w:color w:val="000000" w:themeColor="text1"/>
                <w14:textFill>
                  <w14:solidFill>
                    <w14:schemeClr w14:val="tx1"/>
                  </w14:solidFill>
                </w14:textFill>
              </w:rPr>
              <w:t>，按20L/人·d计算，用水量为0.4m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/d，生活污水排放系数按0.85计，则生活污水排放量为0.34m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/d。生活污水中的主要污染物及其浓度一般为COD</w:t>
            </w:r>
            <w:r>
              <w:rPr>
                <w:rFonts w:eastAsiaTheme="minorEastAsia"/>
                <w:color w:val="000000" w:themeColor="text1"/>
                <w:vertAlign w:val="subscript"/>
                <w14:textFill>
                  <w14:solidFill>
                    <w14:schemeClr w14:val="tx1"/>
                  </w14:solidFill>
                </w14:textFill>
              </w:rPr>
              <w:t>Cr</w:t>
            </w:r>
            <w:r>
              <w:rPr>
                <w:rFonts w:eastAsiaTheme="minorEastAsia"/>
                <w:color w:val="000000" w:themeColor="text1"/>
                <w14:textFill>
                  <w14:solidFill>
                    <w14:schemeClr w14:val="tx1"/>
                  </w14:solidFill>
                </w14:textFill>
              </w:rPr>
              <w:t>：400mg/L、NH</w:t>
            </w:r>
            <w:r>
              <w:rPr>
                <w:rFonts w:eastAsiaTheme="minorEastAsia"/>
                <w:color w:val="000000" w:themeColor="text1"/>
                <w:vertAlign w:val="subscript"/>
                <w14:textFill>
                  <w14:solidFill>
                    <w14:schemeClr w14:val="tx1"/>
                  </w14:solidFill>
                </w14:textFill>
              </w:rPr>
              <w:t>3</w:t>
            </w:r>
            <w:r>
              <w:rPr>
                <w:rFonts w:eastAsiaTheme="minorEastAsia"/>
                <w:color w:val="000000" w:themeColor="text1"/>
                <w14:textFill>
                  <w14:solidFill>
                    <w14:schemeClr w14:val="tx1"/>
                  </w14:solidFill>
                </w14:textFill>
              </w:rPr>
              <w:t>-N：30mg/L、SS：250mg/L、BOD</w:t>
            </w:r>
            <w:r>
              <w:rPr>
                <w:rFonts w:eastAsiaTheme="minorEastAsia"/>
                <w:color w:val="000000" w:themeColor="text1"/>
                <w:vertAlign w:val="subscript"/>
                <w14:textFill>
                  <w14:solidFill>
                    <w14:schemeClr w14:val="tx1"/>
                  </w14:solidFill>
                </w14:textFill>
              </w:rPr>
              <w:t>5</w:t>
            </w:r>
            <w:r>
              <w:rPr>
                <w:rFonts w:eastAsiaTheme="minorEastAsia"/>
                <w:color w:val="000000" w:themeColor="text1"/>
                <w14:textFill>
                  <w14:solidFill>
                    <w14:schemeClr w14:val="tx1"/>
                  </w14:solidFill>
                </w14:textFill>
              </w:rPr>
              <w:t>：200mg/L。生活污水利用租用民房化粪池进行收集处理后，用于农肥。</w:t>
            </w:r>
          </w:p>
          <w:p>
            <w:pPr>
              <w:ind w:firstLine="482"/>
              <w:textAlignment w:val="baseline"/>
              <w:rPr>
                <w:rFonts w:eastAsiaTheme="minorEastAsia"/>
                <w:b/>
                <w:bCs/>
                <w:color w:val="000000" w:themeColor="text1"/>
                <w:kern w:val="10"/>
                <w:szCs w:val="20"/>
                <w14:textFill>
                  <w14:solidFill>
                    <w14:schemeClr w14:val="tx1"/>
                  </w14:solidFill>
                </w14:textFill>
              </w:rPr>
            </w:pPr>
            <w:r>
              <w:rPr>
                <w:rFonts w:eastAsiaTheme="minorEastAsia"/>
                <w:b/>
                <w:bCs/>
                <w:color w:val="000000" w:themeColor="text1"/>
                <w:kern w:val="10"/>
                <w:szCs w:val="20"/>
                <w14:textFill>
                  <w14:solidFill>
                    <w14:schemeClr w14:val="tx1"/>
                  </w14:solidFill>
                </w14:textFill>
              </w:rPr>
              <w:t>（2）基坑排水</w:t>
            </w:r>
          </w:p>
          <w:p>
            <w:pPr>
              <w:pStyle w:val="78"/>
              <w:ind w:firstLine="480"/>
              <w:rPr>
                <w:rFonts w:hAnsi="Times New Roman" w:eastAsiaTheme="minorEastAsia"/>
                <w:color w:val="000000" w:themeColor="text1"/>
                <w:lang w:bidi="ar"/>
                <w14:textFill>
                  <w14:solidFill>
                    <w14:schemeClr w14:val="tx1"/>
                  </w14:solidFill>
                </w14:textFill>
              </w:rPr>
            </w:pPr>
            <w:r>
              <w:rPr>
                <w:rFonts w:hAnsi="Times New Roman" w:eastAsiaTheme="minorEastAsia"/>
                <w:color w:val="000000" w:themeColor="text1"/>
                <w:lang w:bidi="ar"/>
                <w14:textFill>
                  <w14:solidFill>
                    <w14:schemeClr w14:val="tx1"/>
                  </w14:solidFill>
                </w14:textFill>
              </w:rPr>
              <w:t>本项目需修建围堰，围堰所形成的基坑内将产生基坑排水。</w:t>
            </w:r>
          </w:p>
          <w:p>
            <w:pPr>
              <w:pStyle w:val="78"/>
              <w:ind w:firstLine="480"/>
              <w:rPr>
                <w:rFonts w:hAnsi="Times New Roman" w:eastAsiaTheme="minorEastAsia"/>
                <w:color w:val="000000" w:themeColor="text1"/>
                <w:lang w:bidi="ar"/>
                <w14:textFill>
                  <w14:solidFill>
                    <w14:schemeClr w14:val="tx1"/>
                  </w14:solidFill>
                </w14:textFill>
              </w:rPr>
            </w:pPr>
            <w:r>
              <w:rPr>
                <w:rFonts w:hAnsi="Times New Roman" w:eastAsiaTheme="minorEastAsia"/>
                <w:color w:val="000000" w:themeColor="text1"/>
                <w:lang w:bidi="ar"/>
                <w14:textFill>
                  <w14:solidFill>
                    <w14:schemeClr w14:val="tx1"/>
                  </w14:solidFill>
                </w14:textFill>
              </w:rPr>
              <w:t>由于围堰施工时安排在枯水期进行，采用编织袋装土石填筑围堰，在填筑过程中对河底泥沙的扰动影响不大。施工过程中产生的基坑排水一般为施工期开挖面废水及降雨等造成的基坑积水等，故对局部河段采用袋装土石料简易围堰及作业区辅助抽水施工，围堰后形成的基坑水主要含SS，类比同类工程，基坑排水产生量，</w:t>
            </w:r>
            <w:r>
              <w:rPr>
                <w:rFonts w:hAnsi="Times New Roman" w:eastAsiaTheme="minorEastAsia"/>
                <w:color w:val="000000" w:themeColor="text1"/>
                <w:spacing w:val="-3"/>
                <w14:textFill>
                  <w14:solidFill>
                    <w14:schemeClr w14:val="tx1"/>
                  </w14:solidFill>
                </w14:textFill>
              </w:rPr>
              <w:t>排水中SS浓度约1500~2500mg/L</w:t>
            </w:r>
            <w:r>
              <w:rPr>
                <w:rFonts w:hAnsi="Times New Roman" w:eastAsiaTheme="minorEastAsia"/>
                <w:color w:val="000000" w:themeColor="text1"/>
                <w:lang w:bidi="ar"/>
                <w14:textFill>
                  <w14:solidFill>
                    <w14:schemeClr w14:val="tx1"/>
                  </w14:solidFill>
                </w14:textFill>
              </w:rPr>
              <w:t>。经沉淀后排入地表水体，对水体影响较小。</w:t>
            </w:r>
          </w:p>
          <w:p>
            <w:pPr>
              <w:pStyle w:val="25"/>
              <w:ind w:left="240" w:leftChars="100" w:firstLine="240" w:firstLineChars="100"/>
              <w:jc w:val="both"/>
              <w:rPr>
                <w:rFonts w:eastAsiaTheme="minorEastAsia"/>
                <w:b/>
                <w:bCs/>
                <w:smallCaps w:val="0"/>
                <w:color w:val="000000" w:themeColor="text1"/>
                <w:sz w:val="24"/>
                <w:szCs w:val="24"/>
                <w14:textFill>
                  <w14:solidFill>
                    <w14:schemeClr w14:val="tx1"/>
                  </w14:solidFill>
                </w14:textFill>
              </w:rPr>
            </w:pPr>
            <w:r>
              <w:rPr>
                <w:rFonts w:eastAsiaTheme="minorEastAsia"/>
                <w:b/>
                <w:bCs/>
                <w:smallCaps w:val="0"/>
                <w:color w:val="000000" w:themeColor="text1"/>
                <w:sz w:val="24"/>
                <w:szCs w:val="24"/>
                <w14:textFill>
                  <w14:solidFill>
                    <w14:schemeClr w14:val="tx1"/>
                  </w14:solidFill>
                </w14:textFill>
              </w:rPr>
              <w:t>3、</w:t>
            </w:r>
            <w:r>
              <w:rPr>
                <w:rFonts w:eastAsiaTheme="minorEastAsia"/>
                <w:b/>
                <w:bCs/>
                <w:color w:val="000000" w:themeColor="text1"/>
                <w:sz w:val="24"/>
                <w14:textFill>
                  <w14:solidFill>
                    <w14:schemeClr w14:val="tx1"/>
                  </w14:solidFill>
                </w14:textFill>
              </w:rPr>
              <w:t>噪声</w:t>
            </w:r>
          </w:p>
          <w:p>
            <w:pPr>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工程施工噪声主要来自施工机械产生的噪声。工程使用的机械主要有挖掘机、装载机等。根据有关资料将主要施工机械的噪声状况列于下表。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表4-2 主要施工机械设备噪声  单位：dB（A）</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949"/>
              <w:gridCol w:w="2291"/>
              <w:gridCol w:w="1146"/>
              <w:gridCol w:w="1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序号</w:t>
                  </w:r>
                </w:p>
              </w:tc>
              <w:tc>
                <w:tcPr>
                  <w:tcW w:w="1296"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机械类型</w:t>
                  </w:r>
                </w:p>
              </w:tc>
              <w:tc>
                <w:tcPr>
                  <w:tcW w:w="1523"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声源强度值dB（A）</w:t>
                  </w:r>
                </w:p>
              </w:tc>
              <w:tc>
                <w:tcPr>
                  <w:tcW w:w="762"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单位</w:t>
                  </w:r>
                </w:p>
              </w:tc>
              <w:tc>
                <w:tcPr>
                  <w:tcW w:w="793"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129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挖掘机</w:t>
                  </w:r>
                </w:p>
              </w:tc>
              <w:tc>
                <w:tcPr>
                  <w:tcW w:w="15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90</w:t>
                  </w:r>
                </w:p>
              </w:tc>
              <w:tc>
                <w:tcPr>
                  <w:tcW w:w="762" w:type="pc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台</w:t>
                  </w:r>
                </w:p>
              </w:tc>
              <w:tc>
                <w:tcPr>
                  <w:tcW w:w="793" w:type="pc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w:t>
                  </w:r>
                </w:p>
              </w:tc>
              <w:tc>
                <w:tcPr>
                  <w:tcW w:w="129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bookmarkStart w:id="38" w:name="OLE_LINK44"/>
                  <w:bookmarkStart w:id="39" w:name="OLE_LINK43"/>
                  <w:r>
                    <w:rPr>
                      <w:rFonts w:eastAsiaTheme="minorEastAsia"/>
                      <w:color w:val="000000" w:themeColor="text1"/>
                      <w:sz w:val="21"/>
                      <w:szCs w:val="21"/>
                      <w14:textFill>
                        <w14:solidFill>
                          <w14:schemeClr w14:val="tx1"/>
                        </w14:solidFill>
                      </w14:textFill>
                    </w:rPr>
                    <w:t>空压机</w:t>
                  </w:r>
                  <w:bookmarkEnd w:id="38"/>
                  <w:bookmarkEnd w:id="39"/>
                </w:p>
              </w:tc>
              <w:tc>
                <w:tcPr>
                  <w:tcW w:w="15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95</w:t>
                  </w:r>
                </w:p>
              </w:tc>
              <w:tc>
                <w:tcPr>
                  <w:tcW w:w="762" w:type="pc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台</w:t>
                  </w:r>
                </w:p>
              </w:tc>
              <w:tc>
                <w:tcPr>
                  <w:tcW w:w="793" w:type="pc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2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129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推土机</w:t>
                  </w:r>
                </w:p>
              </w:tc>
              <w:tc>
                <w:tcPr>
                  <w:tcW w:w="15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88</w:t>
                  </w:r>
                </w:p>
              </w:tc>
              <w:tc>
                <w:tcPr>
                  <w:tcW w:w="762" w:type="pc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台</w:t>
                  </w:r>
                </w:p>
              </w:tc>
              <w:tc>
                <w:tcPr>
                  <w:tcW w:w="793" w:type="pc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w:t>
                  </w:r>
                </w:p>
              </w:tc>
              <w:tc>
                <w:tcPr>
                  <w:tcW w:w="1296" w:type="pct"/>
                  <w:vAlign w:val="center"/>
                </w:tcPr>
                <w:p>
                  <w:pPr>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蛙式打夯机</w:t>
                  </w:r>
                </w:p>
              </w:tc>
              <w:tc>
                <w:tcPr>
                  <w:tcW w:w="15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101</w:t>
                  </w:r>
                </w:p>
              </w:tc>
              <w:tc>
                <w:tcPr>
                  <w:tcW w:w="762" w:type="pc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台</w:t>
                  </w:r>
                </w:p>
              </w:tc>
              <w:tc>
                <w:tcPr>
                  <w:tcW w:w="793" w:type="pc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w:t>
                  </w:r>
                </w:p>
              </w:tc>
              <w:tc>
                <w:tcPr>
                  <w:tcW w:w="1296"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振捣器</w:t>
                  </w:r>
                </w:p>
              </w:tc>
              <w:tc>
                <w:tcPr>
                  <w:tcW w:w="1523"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88</w:t>
                  </w:r>
                </w:p>
              </w:tc>
              <w:tc>
                <w:tcPr>
                  <w:tcW w:w="762" w:type="pc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台</w:t>
                  </w:r>
                </w:p>
              </w:tc>
              <w:tc>
                <w:tcPr>
                  <w:tcW w:w="793" w:type="pct"/>
                  <w:vAlign w:val="center"/>
                </w:tcPr>
                <w:p>
                  <w:pPr>
                    <w:widowControl/>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4</w:t>
                  </w:r>
                </w:p>
              </w:tc>
            </w:tr>
          </w:tbl>
          <w:p>
            <w:pPr>
              <w:widowControl/>
              <w:ind w:firstLine="480"/>
              <w:jc w:val="left"/>
              <w:rPr>
                <w:rFonts w:eastAsiaTheme="minorEastAsia"/>
                <w:color w:val="000000" w:themeColor="text1"/>
                <w:sz w:val="20"/>
                <w14:textFill>
                  <w14:solidFill>
                    <w14:schemeClr w14:val="tx1"/>
                  </w14:solidFill>
                </w14:textFill>
              </w:rPr>
            </w:pPr>
            <w:r>
              <w:rPr>
                <w:rFonts w:eastAsiaTheme="minorEastAsia"/>
                <w:color w:val="000000" w:themeColor="text1"/>
                <w14:textFill>
                  <w14:solidFill>
                    <w14:schemeClr w14:val="tx1"/>
                  </w14:solidFill>
                </w14:textFill>
              </w:rPr>
              <w:t>本项目噪声设备源强主要来自运行时的施工设备，主要是室外施工。根据点声源衰减模式预测和叠加公式，每个点源对预测点的影响声级Lp为：</w:t>
            </w:r>
          </w:p>
          <w:p>
            <w:pPr>
              <w:pStyle w:val="5"/>
              <w:ind w:firstLine="482"/>
              <w:rPr>
                <w:rFonts w:cs="Times New Roman" w:eastAsiaTheme="minorEastAsia"/>
                <w:color w:val="000000" w:themeColor="text1"/>
                <w14:textFill>
                  <w14:solidFill>
                    <w14:schemeClr w14:val="tx1"/>
                  </w14:solidFill>
                </w14:textFill>
              </w:rPr>
            </w:pPr>
            <m:oMathPara>
              <m:oMath>
                <m:sSub>
                  <m:sSubPr>
                    <m:ctrlPr>
                      <w:rPr>
                        <w:rFonts w:ascii="Cambria Math" w:hAnsi="Cambria Math" w:cs="Times New Roman" w:eastAsiaTheme="minorEastAsia"/>
                        <w:i/>
                        <w:color w:val="000000" w:themeColor="text1"/>
                        <w14:textFill>
                          <w14:solidFill>
                            <w14:schemeClr w14:val="tx1"/>
                          </w14:solidFill>
                        </w14:textFill>
                      </w:rPr>
                    </m:ctrlPr>
                  </m:sSubPr>
                  <m:e>
                    <m:r>
                      <m:rPr>
                        <m:sty m:val="bi"/>
                      </m:rPr>
                      <w:rPr>
                        <w:rFonts w:ascii="Cambria Math" w:hAnsi="Cambria Math" w:cs="Times New Roman" w:eastAsiaTheme="minorEastAsia"/>
                        <w:color w:val="000000" w:themeColor="text1"/>
                        <w14:textFill>
                          <w14:solidFill>
                            <w14:schemeClr w14:val="tx1"/>
                          </w14:solidFill>
                        </w14:textFill>
                      </w:rPr>
                      <m:t>L</m:t>
                    </m:r>
                    <m:ctrlPr>
                      <w:rPr>
                        <w:rFonts w:ascii="Cambria Math" w:hAnsi="Cambria Math" w:cs="Times New Roman" w:eastAsiaTheme="minorEastAsia"/>
                        <w:i/>
                        <w:color w:val="000000" w:themeColor="text1"/>
                        <w14:textFill>
                          <w14:solidFill>
                            <w14:schemeClr w14:val="tx1"/>
                          </w14:solidFill>
                        </w14:textFill>
                      </w:rPr>
                    </m:ctrlPr>
                  </m:e>
                  <m:sub>
                    <m:r>
                      <m:rPr>
                        <m:sty m:val="bi"/>
                      </m:rPr>
                      <w:rPr>
                        <w:rFonts w:ascii="Cambria Math" w:hAnsi="Cambria Math" w:cs="Times New Roman" w:eastAsiaTheme="minorEastAsia"/>
                        <w:color w:val="000000" w:themeColor="text1"/>
                        <w14:textFill>
                          <w14:solidFill>
                            <w14:schemeClr w14:val="tx1"/>
                          </w14:solidFill>
                        </w14:textFill>
                      </w:rPr>
                      <m:t>p</m:t>
                    </m:r>
                    <m:ctrlPr>
                      <w:rPr>
                        <w:rFonts w:ascii="Cambria Math" w:hAnsi="Cambria Math" w:cs="Times New Roman" w:eastAsiaTheme="minorEastAsia"/>
                        <w:i/>
                        <w:color w:val="000000" w:themeColor="text1"/>
                        <w14:textFill>
                          <w14:solidFill>
                            <w14:schemeClr w14:val="tx1"/>
                          </w14:solidFill>
                        </w14:textFill>
                      </w:rPr>
                    </m:ctrlPr>
                  </m:sub>
                </m:sSub>
                <m:r>
                  <m:rPr>
                    <m:sty m:val="bi"/>
                  </m:rPr>
                  <w:rPr>
                    <w:rFonts w:ascii="Cambria Math" w:hAnsi="Cambria Math" w:cs="Times New Roman" w:eastAsiaTheme="minorEastAsia"/>
                    <w:color w:val="000000" w:themeColor="text1"/>
                    <w14:textFill>
                      <w14:solidFill>
                        <w14:schemeClr w14:val="tx1"/>
                      </w14:solidFill>
                    </w14:textFill>
                  </w:rPr>
                  <m:t>=</m:t>
                </m:r>
                <m:sSub>
                  <m:sSubPr>
                    <m:ctrlPr>
                      <w:rPr>
                        <w:rFonts w:ascii="Cambria Math" w:hAnsi="Cambria Math" w:cs="Times New Roman" w:eastAsiaTheme="minorEastAsia"/>
                        <w:i/>
                        <w:color w:val="000000" w:themeColor="text1"/>
                        <w14:textFill>
                          <w14:solidFill>
                            <w14:schemeClr w14:val="tx1"/>
                          </w14:solidFill>
                        </w14:textFill>
                      </w:rPr>
                    </m:ctrlPr>
                  </m:sSubPr>
                  <m:e>
                    <m:r>
                      <m:rPr>
                        <m:sty m:val="bi"/>
                      </m:rPr>
                      <w:rPr>
                        <w:rFonts w:ascii="Cambria Math" w:hAnsi="Cambria Math" w:cs="Times New Roman" w:eastAsiaTheme="minorEastAsia"/>
                        <w:color w:val="000000" w:themeColor="text1"/>
                        <w14:textFill>
                          <w14:solidFill>
                            <w14:schemeClr w14:val="tx1"/>
                          </w14:solidFill>
                        </w14:textFill>
                      </w:rPr>
                      <m:t>L</m:t>
                    </m:r>
                    <m:ctrlPr>
                      <w:rPr>
                        <w:rFonts w:ascii="Cambria Math" w:hAnsi="Cambria Math" w:cs="Times New Roman" w:eastAsiaTheme="minorEastAsia"/>
                        <w:i/>
                        <w:color w:val="000000" w:themeColor="text1"/>
                        <w14:textFill>
                          <w14:solidFill>
                            <w14:schemeClr w14:val="tx1"/>
                          </w14:solidFill>
                        </w14:textFill>
                      </w:rPr>
                    </m:ctrlPr>
                  </m:e>
                  <m:sub>
                    <m:r>
                      <m:rPr>
                        <m:sty m:val="bi"/>
                      </m:rPr>
                      <w:rPr>
                        <w:rFonts w:ascii="Cambria Math" w:hAnsi="Cambria Math" w:cs="Times New Roman" w:eastAsiaTheme="minorEastAsia"/>
                        <w:color w:val="000000" w:themeColor="text1"/>
                        <w14:textFill>
                          <w14:solidFill>
                            <w14:schemeClr w14:val="tx1"/>
                          </w14:solidFill>
                        </w14:textFill>
                      </w:rPr>
                      <m:t>p0</m:t>
                    </m:r>
                    <m:ctrlPr>
                      <w:rPr>
                        <w:rFonts w:ascii="Cambria Math" w:hAnsi="Cambria Math" w:cs="Times New Roman" w:eastAsiaTheme="minorEastAsia"/>
                        <w:i/>
                        <w:color w:val="000000" w:themeColor="text1"/>
                        <w14:textFill>
                          <w14:solidFill>
                            <w14:schemeClr w14:val="tx1"/>
                          </w14:solidFill>
                        </w14:textFill>
                      </w:rPr>
                    </m:ctrlPr>
                  </m:sub>
                </m:sSub>
                <m:r>
                  <m:rPr>
                    <m:sty m:val="bi"/>
                  </m:rPr>
                  <w:rPr>
                    <w:rFonts w:ascii="Cambria Math" w:hAnsi="Cambria Math" w:cs="Times New Roman" w:eastAsiaTheme="minorEastAsia"/>
                    <w:color w:val="000000" w:themeColor="text1"/>
                    <w14:textFill>
                      <w14:solidFill>
                        <w14:schemeClr w14:val="tx1"/>
                      </w14:solidFill>
                    </w14:textFill>
                  </w:rPr>
                  <m:t>−20lg</m:t>
                </m:r>
                <m:f>
                  <m:fPr>
                    <m:ctrlPr>
                      <w:rPr>
                        <w:rFonts w:ascii="Cambria Math" w:hAnsi="Cambria Math" w:cs="Times New Roman" w:eastAsiaTheme="minorEastAsia"/>
                        <w:i/>
                        <w:color w:val="000000" w:themeColor="text1"/>
                        <w14:textFill>
                          <w14:solidFill>
                            <w14:schemeClr w14:val="tx1"/>
                          </w14:solidFill>
                        </w14:textFill>
                      </w:rPr>
                    </m:ctrlPr>
                  </m:fPr>
                  <m:num>
                    <m:r>
                      <m:rPr>
                        <m:sty m:val="bi"/>
                      </m:rPr>
                      <w:rPr>
                        <w:rFonts w:ascii="Cambria Math" w:hAnsi="Cambria Math" w:cs="Times New Roman" w:eastAsiaTheme="minorEastAsia"/>
                        <w:color w:val="000000" w:themeColor="text1"/>
                        <w14:textFill>
                          <w14:solidFill>
                            <w14:schemeClr w14:val="tx1"/>
                          </w14:solidFill>
                        </w14:textFill>
                      </w:rPr>
                      <m:t>r</m:t>
                    </m:r>
                    <m:ctrlPr>
                      <w:rPr>
                        <w:rFonts w:ascii="Cambria Math" w:hAnsi="Cambria Math" w:cs="Times New Roman" w:eastAsiaTheme="minorEastAsia"/>
                        <w:i/>
                        <w:color w:val="000000" w:themeColor="text1"/>
                        <w14:textFill>
                          <w14:solidFill>
                            <w14:schemeClr w14:val="tx1"/>
                          </w14:solidFill>
                        </w14:textFill>
                      </w:rPr>
                    </m:ctrlPr>
                  </m:num>
                  <m:den>
                    <m:sSub>
                      <m:sSubPr>
                        <m:ctrlPr>
                          <w:rPr>
                            <w:rFonts w:ascii="Cambria Math" w:hAnsi="Cambria Math" w:cs="Times New Roman" w:eastAsiaTheme="minorEastAsia"/>
                            <w:i/>
                            <w:color w:val="000000" w:themeColor="text1"/>
                            <w14:textFill>
                              <w14:solidFill>
                                <w14:schemeClr w14:val="tx1"/>
                              </w14:solidFill>
                            </w14:textFill>
                          </w:rPr>
                        </m:ctrlPr>
                      </m:sSubPr>
                      <m:e>
                        <m:r>
                          <m:rPr>
                            <m:sty m:val="bi"/>
                          </m:rPr>
                          <w:rPr>
                            <w:rFonts w:ascii="Cambria Math" w:hAnsi="Cambria Math" w:cs="Times New Roman" w:eastAsiaTheme="minorEastAsia"/>
                            <w:color w:val="000000" w:themeColor="text1"/>
                            <w14:textFill>
                              <w14:solidFill>
                                <w14:schemeClr w14:val="tx1"/>
                              </w14:solidFill>
                            </w14:textFill>
                          </w:rPr>
                          <m:t>r</m:t>
                        </m:r>
                        <m:ctrlPr>
                          <w:rPr>
                            <w:rFonts w:ascii="Cambria Math" w:hAnsi="Cambria Math" w:cs="Times New Roman" w:eastAsiaTheme="minorEastAsia"/>
                            <w:i/>
                            <w:color w:val="000000" w:themeColor="text1"/>
                            <w14:textFill>
                              <w14:solidFill>
                                <w14:schemeClr w14:val="tx1"/>
                              </w14:solidFill>
                            </w14:textFill>
                          </w:rPr>
                        </m:ctrlPr>
                      </m:e>
                      <m:sub>
                        <m:r>
                          <m:rPr>
                            <m:sty m:val="bi"/>
                          </m:rPr>
                          <w:rPr>
                            <w:rFonts w:ascii="Cambria Math" w:hAnsi="Cambria Math" w:cs="Times New Roman" w:eastAsiaTheme="minorEastAsia"/>
                            <w:color w:val="000000" w:themeColor="text1"/>
                            <w14:textFill>
                              <w14:solidFill>
                                <w14:schemeClr w14:val="tx1"/>
                              </w14:solidFill>
                            </w14:textFill>
                          </w:rPr>
                          <m:t>0</m:t>
                        </m:r>
                        <m:ctrlPr>
                          <w:rPr>
                            <w:rFonts w:ascii="Cambria Math" w:hAnsi="Cambria Math" w:cs="Times New Roman" w:eastAsiaTheme="minorEastAsia"/>
                            <w:i/>
                            <w:color w:val="000000" w:themeColor="text1"/>
                            <w14:textFill>
                              <w14:solidFill>
                                <w14:schemeClr w14:val="tx1"/>
                              </w14:solidFill>
                            </w14:textFill>
                          </w:rPr>
                        </m:ctrlPr>
                      </m:sub>
                    </m:sSub>
                    <m:ctrlPr>
                      <w:rPr>
                        <w:rFonts w:ascii="Cambria Math" w:hAnsi="Cambria Math" w:cs="Times New Roman" w:eastAsiaTheme="minorEastAsia"/>
                        <w:i/>
                        <w:color w:val="000000" w:themeColor="text1"/>
                        <w14:textFill>
                          <w14:solidFill>
                            <w14:schemeClr w14:val="tx1"/>
                          </w14:solidFill>
                        </w14:textFill>
                      </w:rPr>
                    </m:ctrlPr>
                  </m:den>
                </m:f>
                <m:r>
                  <m:rPr>
                    <m:sty m:val="bi"/>
                  </m:rPr>
                  <w:rPr>
                    <w:rFonts w:ascii="Cambria Math" w:hAnsi="Cambria Math" w:cs="Times New Roman" w:eastAsiaTheme="minorEastAsia"/>
                    <w:color w:val="000000" w:themeColor="text1"/>
                    <w14:textFill>
                      <w14:solidFill>
                        <w14:schemeClr w14:val="tx1"/>
                      </w14:solidFill>
                    </w14:textFill>
                  </w:rPr>
                  <m:t>−∆L</m:t>
                </m:r>
              </m:oMath>
            </m:oMathPara>
          </w:p>
          <w:p>
            <w:pPr>
              <w:widowControl/>
              <w:ind w:firstLine="48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所有点源对预测点的影响声级Lp 总为：</w:t>
            </w:r>
          </w:p>
          <w:p>
            <w:pPr>
              <w:widowControl/>
              <w:ind w:firstLine="480"/>
              <w:jc w:val="left"/>
              <w:rPr>
                <w:rFonts w:eastAsiaTheme="minorEastAsia"/>
                <w:b/>
                <w:bCs/>
                <w:color w:val="000000" w:themeColor="text1"/>
                <w14:textFill>
                  <w14:solidFill>
                    <w14:schemeClr w14:val="tx1"/>
                  </w14:solidFill>
                </w14:textFill>
              </w:rPr>
            </w:pPr>
            <m:oMathPara>
              <m:oMath>
                <m:sSub>
                  <m:sSubPr>
                    <m:ctrlPr>
                      <w:rPr>
                        <w:rFonts w:ascii="Cambria Math" w:hAnsi="Cambria Math" w:eastAsiaTheme="minorEastAsia"/>
                        <w:i/>
                        <w:color w:val="000000" w:themeColor="text1"/>
                        <w14:textFill>
                          <w14:solidFill>
                            <w14:schemeClr w14:val="tx1"/>
                          </w14:solidFill>
                        </w14:textFill>
                      </w:rPr>
                    </m:ctrlPr>
                  </m:sSubPr>
                  <m:e>
                    <m:r>
                      <m:rPr/>
                      <w:rPr>
                        <w:rFonts w:ascii="Cambria Math" w:hAnsi="Cambria Math" w:eastAsiaTheme="minorEastAsia"/>
                        <w:color w:val="000000" w:themeColor="text1"/>
                        <w14:textFill>
                          <w14:solidFill>
                            <w14:schemeClr w14:val="tx1"/>
                          </w14:solidFill>
                        </w14:textFill>
                      </w:rPr>
                      <m:t>L</m:t>
                    </m:r>
                    <m:ctrlPr>
                      <w:rPr>
                        <w:rFonts w:ascii="Cambria Math" w:hAnsi="Cambria Math" w:eastAsiaTheme="minorEastAsia"/>
                        <w:i/>
                        <w:color w:val="000000" w:themeColor="text1"/>
                        <w14:textFill>
                          <w14:solidFill>
                            <w14:schemeClr w14:val="tx1"/>
                          </w14:solidFill>
                        </w14:textFill>
                      </w:rPr>
                    </m:ctrlPr>
                  </m:e>
                  <m:sub>
                    <m:r>
                      <m:rPr/>
                      <w:rPr>
                        <w:rFonts w:ascii="Cambria Math" w:hAnsi="Cambria Math" w:eastAsiaTheme="minorEastAsia"/>
                        <w:color w:val="000000" w:themeColor="text1"/>
                        <w14:textFill>
                          <w14:solidFill>
                            <w14:schemeClr w14:val="tx1"/>
                          </w14:solidFill>
                        </w14:textFill>
                      </w:rPr>
                      <m:t>p总</m:t>
                    </m:r>
                    <m:ctrlPr>
                      <w:rPr>
                        <w:rFonts w:ascii="Cambria Math" w:hAnsi="Cambria Math" w:eastAsiaTheme="minorEastAsia"/>
                        <w:i/>
                        <w:color w:val="000000" w:themeColor="text1"/>
                        <w14:textFill>
                          <w14:solidFill>
                            <w14:schemeClr w14:val="tx1"/>
                          </w14:solidFill>
                        </w14:textFill>
                      </w:rPr>
                    </m:ctrlPr>
                  </m:sub>
                </m:sSub>
                <m:r>
                  <m:rPr/>
                  <w:rPr>
                    <w:rFonts w:ascii="Cambria Math" w:hAnsi="Cambria Math" w:eastAsiaTheme="minorEastAsia"/>
                    <w:color w:val="000000" w:themeColor="text1"/>
                    <w14:textFill>
                      <w14:solidFill>
                        <w14:schemeClr w14:val="tx1"/>
                      </w14:solidFill>
                    </w14:textFill>
                  </w:rPr>
                  <m:t>=10lg(</m:t>
                </m:r>
                <m:sSup>
                  <m:sSupPr>
                    <m:ctrlPr>
                      <w:rPr>
                        <w:rFonts w:ascii="Cambria Math" w:hAnsi="Cambria Math" w:eastAsiaTheme="minorEastAsia"/>
                        <w:i/>
                        <w:color w:val="000000" w:themeColor="text1"/>
                        <w14:textFill>
                          <w14:solidFill>
                            <w14:schemeClr w14:val="tx1"/>
                          </w14:solidFill>
                        </w14:textFill>
                      </w:rPr>
                    </m:ctrlPr>
                  </m:sSupPr>
                  <m:e>
                    <m:r>
                      <m:rPr/>
                      <w:rPr>
                        <w:rFonts w:ascii="Cambria Math" w:hAnsi="Cambria Math" w:eastAsiaTheme="minorEastAsia"/>
                        <w:color w:val="000000" w:themeColor="text1"/>
                        <w14:textFill>
                          <w14:solidFill>
                            <w14:schemeClr w14:val="tx1"/>
                          </w14:solidFill>
                        </w14:textFill>
                      </w:rPr>
                      <m:t>10</m:t>
                    </m:r>
                    <m:ctrlPr>
                      <w:rPr>
                        <w:rFonts w:ascii="Cambria Math" w:hAnsi="Cambria Math" w:eastAsiaTheme="minorEastAsia"/>
                        <w:i/>
                        <w:color w:val="000000" w:themeColor="text1"/>
                        <w14:textFill>
                          <w14:solidFill>
                            <w14:schemeClr w14:val="tx1"/>
                          </w14:solidFill>
                        </w14:textFill>
                      </w:rPr>
                    </m:ctrlPr>
                  </m:e>
                  <m:sup>
                    <m:r>
                      <m:rPr/>
                      <w:rPr>
                        <w:rFonts w:ascii="Cambria Math" w:hAnsi="Cambria Math" w:eastAsiaTheme="minorEastAsia"/>
                        <w:color w:val="000000" w:themeColor="text1"/>
                        <w14:textFill>
                          <w14:solidFill>
                            <w14:schemeClr w14:val="tx1"/>
                          </w14:solidFill>
                        </w14:textFill>
                      </w:rPr>
                      <m:t>0.1</m:t>
                    </m:r>
                    <m:sSub>
                      <m:sSubPr>
                        <m:ctrlPr>
                          <w:rPr>
                            <w:rFonts w:ascii="Cambria Math" w:hAnsi="Cambria Math" w:eastAsiaTheme="minorEastAsia"/>
                            <w:i/>
                            <w:color w:val="000000" w:themeColor="text1"/>
                            <w14:textFill>
                              <w14:solidFill>
                                <w14:schemeClr w14:val="tx1"/>
                              </w14:solidFill>
                            </w14:textFill>
                          </w:rPr>
                        </m:ctrlPr>
                      </m:sSubPr>
                      <m:e>
                        <m:r>
                          <m:rPr/>
                          <w:rPr>
                            <w:rFonts w:ascii="Cambria Math" w:hAnsi="Cambria Math" w:eastAsiaTheme="minorEastAsia"/>
                            <w:color w:val="000000" w:themeColor="text1"/>
                            <w14:textFill>
                              <w14:solidFill>
                                <w14:schemeClr w14:val="tx1"/>
                              </w14:solidFill>
                            </w14:textFill>
                          </w:rPr>
                          <m:t>L</m:t>
                        </m:r>
                        <m:ctrlPr>
                          <w:rPr>
                            <w:rFonts w:ascii="Cambria Math" w:hAnsi="Cambria Math" w:eastAsiaTheme="minorEastAsia"/>
                            <w:i/>
                            <w:color w:val="000000" w:themeColor="text1"/>
                            <w14:textFill>
                              <w14:solidFill>
                                <w14:schemeClr w14:val="tx1"/>
                              </w14:solidFill>
                            </w14:textFill>
                          </w:rPr>
                        </m:ctrlPr>
                      </m:e>
                      <m:sub>
                        <m:r>
                          <m:rPr/>
                          <w:rPr>
                            <w:rFonts w:ascii="Cambria Math" w:hAnsi="Cambria Math" w:eastAsiaTheme="minorEastAsia"/>
                            <w:color w:val="000000" w:themeColor="text1"/>
                            <w14:textFill>
                              <w14:solidFill>
                                <w14:schemeClr w14:val="tx1"/>
                              </w14:solidFill>
                            </w14:textFill>
                          </w:rPr>
                          <m:t>P1</m:t>
                        </m:r>
                        <m:ctrlPr>
                          <w:rPr>
                            <w:rFonts w:ascii="Cambria Math" w:hAnsi="Cambria Math" w:eastAsiaTheme="minorEastAsia"/>
                            <w:i/>
                            <w:color w:val="000000" w:themeColor="text1"/>
                            <w14:textFill>
                              <w14:solidFill>
                                <w14:schemeClr w14:val="tx1"/>
                              </w14:solidFill>
                            </w14:textFill>
                          </w:rPr>
                        </m:ctrlPr>
                      </m:sub>
                    </m:sSub>
                    <m:ctrlPr>
                      <w:rPr>
                        <w:rFonts w:ascii="Cambria Math" w:hAnsi="Cambria Math" w:eastAsiaTheme="minorEastAsia"/>
                        <w:i/>
                        <w:color w:val="000000" w:themeColor="text1"/>
                        <w14:textFill>
                          <w14:solidFill>
                            <w14:schemeClr w14:val="tx1"/>
                          </w14:solidFill>
                        </w14:textFill>
                      </w:rPr>
                    </m:ctrlPr>
                  </m:sup>
                </m:sSup>
                <m:r>
                  <m:rPr/>
                  <w:rPr>
                    <w:rFonts w:ascii="Cambria Math" w:hAnsi="Cambria Math" w:eastAsiaTheme="minorEastAsia"/>
                    <w:color w:val="000000" w:themeColor="text1"/>
                    <w14:textFill>
                      <w14:solidFill>
                        <w14:schemeClr w14:val="tx1"/>
                      </w14:solidFill>
                    </w14:textFill>
                  </w:rPr>
                  <m:t>+</m:t>
                </m:r>
                <m:sSup>
                  <m:sSupPr>
                    <m:ctrlPr>
                      <w:rPr>
                        <w:rFonts w:ascii="Cambria Math" w:hAnsi="Cambria Math" w:eastAsiaTheme="minorEastAsia"/>
                        <w:i/>
                        <w:color w:val="000000" w:themeColor="text1"/>
                        <w14:textFill>
                          <w14:solidFill>
                            <w14:schemeClr w14:val="tx1"/>
                          </w14:solidFill>
                        </w14:textFill>
                      </w:rPr>
                    </m:ctrlPr>
                  </m:sSupPr>
                  <m:e>
                    <m:r>
                      <m:rPr/>
                      <w:rPr>
                        <w:rFonts w:ascii="Cambria Math" w:hAnsi="Cambria Math" w:eastAsiaTheme="minorEastAsia"/>
                        <w:color w:val="000000" w:themeColor="text1"/>
                        <w14:textFill>
                          <w14:solidFill>
                            <w14:schemeClr w14:val="tx1"/>
                          </w14:solidFill>
                        </w14:textFill>
                      </w:rPr>
                      <m:t>10</m:t>
                    </m:r>
                    <m:ctrlPr>
                      <w:rPr>
                        <w:rFonts w:ascii="Cambria Math" w:hAnsi="Cambria Math" w:eastAsiaTheme="minorEastAsia"/>
                        <w:i/>
                        <w:color w:val="000000" w:themeColor="text1"/>
                        <w14:textFill>
                          <w14:solidFill>
                            <w14:schemeClr w14:val="tx1"/>
                          </w14:solidFill>
                        </w14:textFill>
                      </w:rPr>
                    </m:ctrlPr>
                  </m:e>
                  <m:sup>
                    <m:r>
                      <m:rPr/>
                      <w:rPr>
                        <w:rFonts w:ascii="Cambria Math" w:hAnsi="Cambria Math" w:eastAsiaTheme="minorEastAsia"/>
                        <w:color w:val="000000" w:themeColor="text1"/>
                        <w14:textFill>
                          <w14:solidFill>
                            <w14:schemeClr w14:val="tx1"/>
                          </w14:solidFill>
                        </w14:textFill>
                      </w:rPr>
                      <m:t>0.1</m:t>
                    </m:r>
                    <m:sSub>
                      <m:sSubPr>
                        <m:ctrlPr>
                          <w:rPr>
                            <w:rFonts w:ascii="Cambria Math" w:hAnsi="Cambria Math" w:eastAsiaTheme="minorEastAsia"/>
                            <w:i/>
                            <w:color w:val="000000" w:themeColor="text1"/>
                            <w14:textFill>
                              <w14:solidFill>
                                <w14:schemeClr w14:val="tx1"/>
                              </w14:solidFill>
                            </w14:textFill>
                          </w:rPr>
                        </m:ctrlPr>
                      </m:sSubPr>
                      <m:e>
                        <m:r>
                          <m:rPr/>
                          <w:rPr>
                            <w:rFonts w:ascii="Cambria Math" w:hAnsi="Cambria Math" w:eastAsiaTheme="minorEastAsia"/>
                            <w:color w:val="000000" w:themeColor="text1"/>
                            <w14:textFill>
                              <w14:solidFill>
                                <w14:schemeClr w14:val="tx1"/>
                              </w14:solidFill>
                            </w14:textFill>
                          </w:rPr>
                          <m:t>L</m:t>
                        </m:r>
                        <m:ctrlPr>
                          <w:rPr>
                            <w:rFonts w:ascii="Cambria Math" w:hAnsi="Cambria Math" w:eastAsiaTheme="minorEastAsia"/>
                            <w:i/>
                            <w:color w:val="000000" w:themeColor="text1"/>
                            <w14:textFill>
                              <w14:solidFill>
                                <w14:schemeClr w14:val="tx1"/>
                              </w14:solidFill>
                            </w14:textFill>
                          </w:rPr>
                        </m:ctrlPr>
                      </m:e>
                      <m:sub>
                        <m:r>
                          <m:rPr/>
                          <w:rPr>
                            <w:rFonts w:ascii="Cambria Math" w:hAnsi="Cambria Math" w:eastAsiaTheme="minorEastAsia"/>
                            <w:color w:val="000000" w:themeColor="text1"/>
                            <w14:textFill>
                              <w14:solidFill>
                                <w14:schemeClr w14:val="tx1"/>
                              </w14:solidFill>
                            </w14:textFill>
                          </w:rPr>
                          <m:t>P2</m:t>
                        </m:r>
                        <m:ctrlPr>
                          <w:rPr>
                            <w:rFonts w:ascii="Cambria Math" w:hAnsi="Cambria Math" w:eastAsiaTheme="minorEastAsia"/>
                            <w:i/>
                            <w:color w:val="000000" w:themeColor="text1"/>
                            <w14:textFill>
                              <w14:solidFill>
                                <w14:schemeClr w14:val="tx1"/>
                              </w14:solidFill>
                            </w14:textFill>
                          </w:rPr>
                        </m:ctrlPr>
                      </m:sub>
                    </m:sSub>
                    <m:ctrlPr>
                      <w:rPr>
                        <w:rFonts w:ascii="Cambria Math" w:hAnsi="Cambria Math" w:eastAsiaTheme="minorEastAsia"/>
                        <w:i/>
                        <w:color w:val="000000" w:themeColor="text1"/>
                        <w14:textFill>
                          <w14:solidFill>
                            <w14:schemeClr w14:val="tx1"/>
                          </w14:solidFill>
                        </w14:textFill>
                      </w:rPr>
                    </m:ctrlPr>
                  </m:sup>
                </m:sSup>
                <m:r>
                  <m:rPr/>
                  <w:rPr>
                    <w:rFonts w:ascii="Cambria Math" w:hAnsi="Cambria Math" w:eastAsiaTheme="minorEastAsia"/>
                    <w:color w:val="000000" w:themeColor="text1"/>
                    <w14:textFill>
                      <w14:solidFill>
                        <w14:schemeClr w14:val="tx1"/>
                      </w14:solidFill>
                    </w14:textFill>
                  </w:rPr>
                  <m:t>+⋯</m:t>
                </m:r>
                <m:sSup>
                  <m:sSupPr>
                    <m:ctrlPr>
                      <w:rPr>
                        <w:rFonts w:ascii="Cambria Math" w:hAnsi="Cambria Math" w:eastAsiaTheme="minorEastAsia"/>
                        <w:i/>
                        <w:color w:val="000000" w:themeColor="text1"/>
                        <w14:textFill>
                          <w14:solidFill>
                            <w14:schemeClr w14:val="tx1"/>
                          </w14:solidFill>
                        </w14:textFill>
                      </w:rPr>
                    </m:ctrlPr>
                  </m:sSupPr>
                  <m:e>
                    <m:r>
                      <m:rPr/>
                      <w:rPr>
                        <w:rFonts w:ascii="Cambria Math" w:hAnsi="Cambria Math" w:eastAsiaTheme="minorEastAsia"/>
                        <w:color w:val="000000" w:themeColor="text1"/>
                        <w14:textFill>
                          <w14:solidFill>
                            <w14:schemeClr w14:val="tx1"/>
                          </w14:solidFill>
                        </w14:textFill>
                      </w:rPr>
                      <m:t>10</m:t>
                    </m:r>
                    <m:ctrlPr>
                      <w:rPr>
                        <w:rFonts w:ascii="Cambria Math" w:hAnsi="Cambria Math" w:eastAsiaTheme="minorEastAsia"/>
                        <w:i/>
                        <w:color w:val="000000" w:themeColor="text1"/>
                        <w14:textFill>
                          <w14:solidFill>
                            <w14:schemeClr w14:val="tx1"/>
                          </w14:solidFill>
                        </w14:textFill>
                      </w:rPr>
                    </m:ctrlPr>
                  </m:e>
                  <m:sup>
                    <m:r>
                      <m:rPr/>
                      <w:rPr>
                        <w:rFonts w:ascii="Cambria Math" w:hAnsi="Cambria Math" w:eastAsiaTheme="minorEastAsia"/>
                        <w:color w:val="000000" w:themeColor="text1"/>
                        <w14:textFill>
                          <w14:solidFill>
                            <w14:schemeClr w14:val="tx1"/>
                          </w14:solidFill>
                        </w14:textFill>
                      </w:rPr>
                      <m:t>0.1</m:t>
                    </m:r>
                    <m:sSub>
                      <m:sSubPr>
                        <m:ctrlPr>
                          <w:rPr>
                            <w:rFonts w:ascii="Cambria Math" w:hAnsi="Cambria Math" w:eastAsiaTheme="minorEastAsia"/>
                            <w:i/>
                            <w:color w:val="000000" w:themeColor="text1"/>
                            <w14:textFill>
                              <w14:solidFill>
                                <w14:schemeClr w14:val="tx1"/>
                              </w14:solidFill>
                            </w14:textFill>
                          </w:rPr>
                        </m:ctrlPr>
                      </m:sSubPr>
                      <m:e>
                        <m:r>
                          <m:rPr/>
                          <w:rPr>
                            <w:rFonts w:ascii="Cambria Math" w:hAnsi="Cambria Math" w:eastAsiaTheme="minorEastAsia"/>
                            <w:color w:val="000000" w:themeColor="text1"/>
                            <w14:textFill>
                              <w14:solidFill>
                                <w14:schemeClr w14:val="tx1"/>
                              </w14:solidFill>
                            </w14:textFill>
                          </w:rPr>
                          <m:t>L</m:t>
                        </m:r>
                        <m:ctrlPr>
                          <w:rPr>
                            <w:rFonts w:ascii="Cambria Math" w:hAnsi="Cambria Math" w:eastAsiaTheme="minorEastAsia"/>
                            <w:i/>
                            <w:color w:val="000000" w:themeColor="text1"/>
                            <w14:textFill>
                              <w14:solidFill>
                                <w14:schemeClr w14:val="tx1"/>
                              </w14:solidFill>
                            </w14:textFill>
                          </w:rPr>
                        </m:ctrlPr>
                      </m:e>
                      <m:sub>
                        <m:r>
                          <m:rPr/>
                          <w:rPr>
                            <w:rFonts w:ascii="Cambria Math" w:hAnsi="Cambria Math" w:eastAsiaTheme="minorEastAsia"/>
                            <w:color w:val="000000" w:themeColor="text1"/>
                            <w14:textFill>
                              <w14:solidFill>
                                <w14:schemeClr w14:val="tx1"/>
                              </w14:solidFill>
                            </w14:textFill>
                          </w:rPr>
                          <m:t>Pn</m:t>
                        </m:r>
                        <m:ctrlPr>
                          <w:rPr>
                            <w:rFonts w:ascii="Cambria Math" w:hAnsi="Cambria Math" w:eastAsiaTheme="minorEastAsia"/>
                            <w:i/>
                            <w:color w:val="000000" w:themeColor="text1"/>
                            <w14:textFill>
                              <w14:solidFill>
                                <w14:schemeClr w14:val="tx1"/>
                              </w14:solidFill>
                            </w14:textFill>
                          </w:rPr>
                        </m:ctrlPr>
                      </m:sub>
                    </m:sSub>
                    <m:ctrlPr>
                      <w:rPr>
                        <w:rFonts w:ascii="Cambria Math" w:hAnsi="Cambria Math" w:eastAsiaTheme="minorEastAsia"/>
                        <w:i/>
                        <w:color w:val="000000" w:themeColor="text1"/>
                        <w14:textFill>
                          <w14:solidFill>
                            <w14:schemeClr w14:val="tx1"/>
                          </w14:solidFill>
                        </w14:textFill>
                      </w:rPr>
                    </m:ctrlPr>
                  </m:sup>
                </m:sSup>
              </m:oMath>
            </m:oMathPara>
          </w:p>
          <w:p>
            <w:pPr>
              <w:pStyle w:val="13"/>
              <w:spacing w:after="0"/>
              <w:ind w:firstLine="480"/>
              <w:rPr>
                <w:rFonts w:ascii="Times New Roman" w:hAnsi="Times New Roman" w:eastAsiaTheme="minorEastAsia"/>
                <w:color w:val="000000" w:themeColor="text1"/>
                <w:position w:val="2"/>
                <w14:textFill>
                  <w14:solidFill>
                    <w14:schemeClr w14:val="tx1"/>
                  </w14:solidFill>
                </w14:textFill>
              </w:rPr>
            </w:pPr>
            <w:r>
              <w:rPr>
                <w:rFonts w:ascii="Times New Roman" w:hAnsi="Times New Roman" w:eastAsiaTheme="minorEastAsia"/>
                <w:color w:val="000000" w:themeColor="text1"/>
                <w:position w:val="2"/>
                <w14:textFill>
                  <w14:solidFill>
                    <w14:schemeClr w14:val="tx1"/>
                  </w14:solidFill>
                </w14:textFill>
              </w:rPr>
              <w:t>式中：Lp</w:t>
            </w:r>
            <w:r>
              <w:rPr>
                <w:rFonts w:ascii="Times New Roman" w:hAnsi="Times New Roman" w:eastAsiaTheme="minorEastAsia"/>
                <w:color w:val="000000" w:themeColor="text1"/>
                <w:vertAlign w:val="subscript"/>
                <w14:textFill>
                  <w14:solidFill>
                    <w14:schemeClr w14:val="tx1"/>
                  </w14:solidFill>
                </w14:textFill>
              </w:rPr>
              <w:t>0</w:t>
            </w:r>
            <w:r>
              <w:rPr>
                <w:rFonts w:ascii="Times New Roman" w:hAnsi="Times New Roman" w:eastAsiaTheme="minorEastAsia"/>
                <w:color w:val="000000" w:themeColor="text1"/>
                <w:position w:val="2"/>
                <w14:textFill>
                  <w14:solidFill>
                    <w14:schemeClr w14:val="tx1"/>
                  </w14:solidFill>
                </w14:textFill>
              </w:rPr>
              <w:t>——参考位置r</w:t>
            </w:r>
            <w:r>
              <w:rPr>
                <w:rFonts w:ascii="Times New Roman" w:hAnsi="Times New Roman" w:eastAsiaTheme="minorEastAsia"/>
                <w:color w:val="000000" w:themeColor="text1"/>
                <w:vertAlign w:val="subscript"/>
                <w14:textFill>
                  <w14:solidFill>
                    <w14:schemeClr w14:val="tx1"/>
                  </w14:solidFill>
                </w14:textFill>
              </w:rPr>
              <w:t>0</w:t>
            </w:r>
            <w:r>
              <w:rPr>
                <w:rFonts w:ascii="Times New Roman" w:hAnsi="Times New Roman" w:eastAsiaTheme="minorEastAsia"/>
                <w:color w:val="000000" w:themeColor="text1"/>
                <w:position w:val="2"/>
                <w14:textFill>
                  <w14:solidFill>
                    <w14:schemeClr w14:val="tx1"/>
                  </w14:solidFill>
                </w14:textFill>
              </w:rPr>
              <w:t>处的声压级，dB(A)；</w:t>
            </w:r>
          </w:p>
          <w:p>
            <w:pPr>
              <w:pStyle w:val="13"/>
              <w:spacing w:after="0"/>
              <w:ind w:firstLine="1200" w:firstLineChars="500"/>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Lp总——各点声源叠加后总声级，dB(A)；</w:t>
            </w:r>
          </w:p>
          <w:p>
            <w:pPr>
              <w:pStyle w:val="13"/>
              <w:spacing w:after="0"/>
              <w:ind w:firstLine="1200" w:firstLineChars="500"/>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r——预测点与声源点的距离，m；</w:t>
            </w:r>
          </w:p>
          <w:p>
            <w:pPr>
              <w:pStyle w:val="13"/>
              <w:spacing w:after="0"/>
              <w:ind w:firstLine="1200" w:firstLineChars="500"/>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r</w:t>
            </w:r>
            <w:r>
              <w:rPr>
                <w:rFonts w:ascii="Times New Roman" w:hAnsi="Times New Roman" w:eastAsiaTheme="minorEastAsia"/>
                <w:color w:val="000000" w:themeColor="text1"/>
                <w:vertAlign w:val="subscript"/>
                <w14:textFill>
                  <w14:solidFill>
                    <w14:schemeClr w14:val="tx1"/>
                  </w14:solidFill>
                </w14:textFill>
              </w:rPr>
              <w:t>0</w:t>
            </w:r>
            <w:r>
              <w:rPr>
                <w:rFonts w:ascii="Times New Roman" w:hAnsi="Times New Roman" w:eastAsiaTheme="minorEastAsia"/>
                <w:color w:val="000000" w:themeColor="text1"/>
                <w14:textFill>
                  <w14:solidFill>
                    <w14:schemeClr w14:val="tx1"/>
                  </w14:solidFill>
                </w14:textFill>
              </w:rPr>
              <w:t>——参考声处与声源点的距离，m；</w:t>
            </w:r>
          </w:p>
          <w:p>
            <w:pPr>
              <w:pStyle w:val="13"/>
              <w:spacing w:after="0"/>
              <w:ind w:firstLine="1200" w:firstLineChars="500"/>
              <w:rPr>
                <w:rFonts w:ascii="Times New Roman" w:hAnsi="Times New Roman" w:eastAsiaTheme="minorEastAsia"/>
                <w:color w:val="000000" w:themeColor="text1"/>
                <w14:textFill>
                  <w14:solidFill>
                    <w14:schemeClr w14:val="tx1"/>
                  </w14:solidFill>
                </w14:textFill>
              </w:rPr>
            </w:pPr>
            <w:r>
              <w:rPr>
                <w:rFonts w:ascii="Cambria Math" w:hAnsi="Cambria Math" w:cs="Cambria Math" w:eastAsiaTheme="minorEastAsia"/>
                <w:color w:val="000000" w:themeColor="text1"/>
                <w14:textFill>
                  <w14:solidFill>
                    <w14:schemeClr w14:val="tx1"/>
                  </w14:solidFill>
                </w14:textFill>
              </w:rPr>
              <w:t>△</w:t>
            </w:r>
            <w:r>
              <w:rPr>
                <w:rFonts w:ascii="Times New Roman" w:hAnsi="Times New Roman" w:eastAsiaTheme="minorEastAsia"/>
                <w:color w:val="000000" w:themeColor="text1"/>
                <w14:textFill>
                  <w14:solidFill>
                    <w14:schemeClr w14:val="tx1"/>
                  </w14:solidFill>
                </w14:textFill>
              </w:rPr>
              <w:t>L———附加衰减量Lp总；</w:t>
            </w:r>
          </w:p>
          <w:p>
            <w:pPr>
              <w:pStyle w:val="13"/>
              <w:spacing w:after="0"/>
              <w:ind w:firstLine="1200" w:firstLineChars="500"/>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Lp</w:t>
            </w:r>
            <w:r>
              <w:rPr>
                <w:rFonts w:ascii="Times New Roman" w:hAnsi="Times New Roman" w:eastAsiaTheme="minorEastAsia"/>
                <w:color w:val="000000" w:themeColor="text1"/>
                <w:vertAlign w:val="subscript"/>
                <w14:textFill>
                  <w14:solidFill>
                    <w14:schemeClr w14:val="tx1"/>
                  </w14:solidFill>
                </w14:textFill>
              </w:rPr>
              <w:t>1</w:t>
            </w:r>
            <w:r>
              <w:rPr>
                <w:rFonts w:ascii="Times New Roman" w:hAnsi="Times New Roman" w:eastAsiaTheme="minorEastAsia"/>
                <w:color w:val="000000" w:themeColor="text1"/>
                <w14:textFill>
                  <w14:solidFill>
                    <w14:schemeClr w14:val="tx1"/>
                  </w14:solidFill>
                </w14:textFill>
              </w:rPr>
              <w:t>、Lp</w:t>
            </w:r>
            <w:r>
              <w:rPr>
                <w:rFonts w:ascii="Times New Roman" w:hAnsi="Times New Roman" w:eastAsiaTheme="minorEastAsia"/>
                <w:color w:val="000000" w:themeColor="text1"/>
                <w:vertAlign w:val="subscript"/>
                <w14:textFill>
                  <w14:solidFill>
                    <w14:schemeClr w14:val="tx1"/>
                  </w14:solidFill>
                </w14:textFill>
              </w:rPr>
              <w:t>2</w:t>
            </w:r>
            <w:r>
              <w:rPr>
                <w:rFonts w:ascii="Times New Roman" w:hAnsi="Times New Roman" w:eastAsiaTheme="minorEastAsia"/>
                <w:color w:val="000000" w:themeColor="text1"/>
                <w14:textFill>
                  <w14:solidFill>
                    <w14:schemeClr w14:val="tx1"/>
                  </w14:solidFill>
                </w14:textFill>
              </w:rPr>
              <w:t>…Lp</w:t>
            </w:r>
            <w:r>
              <w:rPr>
                <w:rFonts w:ascii="Times New Roman" w:hAnsi="Times New Roman" w:eastAsiaTheme="minorEastAsia"/>
                <w:color w:val="000000" w:themeColor="text1"/>
                <w:vertAlign w:val="subscript"/>
                <w14:textFill>
                  <w14:solidFill>
                    <w14:schemeClr w14:val="tx1"/>
                  </w14:solidFill>
                </w14:textFill>
              </w:rPr>
              <w:t>n</w:t>
            </w:r>
            <w:r>
              <w:rPr>
                <w:rFonts w:ascii="Times New Roman" w:hAnsi="Times New Roman" w:eastAsiaTheme="minorEastAsia"/>
                <w:color w:val="000000" w:themeColor="text1"/>
                <w14:textFill>
                  <w14:solidFill>
                    <w14:schemeClr w14:val="tx1"/>
                  </w14:solidFill>
                </w14:textFill>
              </w:rPr>
              <w:t>——第1、2...n个声源到P 点的声压级，dB(A)；</w:t>
            </w:r>
          </w:p>
          <w:p>
            <w:pPr>
              <w:widowControl/>
              <w:ind w:firstLine="480"/>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在不考虑树木及建筑物的噪声衰减量的情况下，各类施工机械在不同距离处的噪声贡献值预测结果见表。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表4-3 各类施工机械在不同距离处的噪声预测值</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1232"/>
              <w:gridCol w:w="532"/>
              <w:gridCol w:w="614"/>
              <w:gridCol w:w="614"/>
              <w:gridCol w:w="614"/>
              <w:gridCol w:w="614"/>
              <w:gridCol w:w="614"/>
              <w:gridCol w:w="721"/>
              <w:gridCol w:w="721"/>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340" w:type="pct"/>
                  <w:vMerge w:val="restar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序号</w:t>
                  </w:r>
                </w:p>
              </w:tc>
              <w:tc>
                <w:tcPr>
                  <w:tcW w:w="820" w:type="pct"/>
                  <w:vMerge w:val="restar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机械类型</w:t>
                  </w:r>
                </w:p>
              </w:tc>
              <w:tc>
                <w:tcPr>
                  <w:tcW w:w="3841" w:type="pct"/>
                  <w:gridSpan w:val="9"/>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噪声预测值dB(A)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340" w:type="pct"/>
                  <w:vMerge w:val="continue"/>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p>
              </w:tc>
              <w:tc>
                <w:tcPr>
                  <w:tcW w:w="820" w:type="pct"/>
                  <w:vMerge w:val="continue"/>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p>
              </w:tc>
              <w:tc>
                <w:tcPr>
                  <w:tcW w:w="354"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5m</w:t>
                  </w:r>
                </w:p>
              </w:tc>
              <w:tc>
                <w:tcPr>
                  <w:tcW w:w="408"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10m</w:t>
                  </w:r>
                </w:p>
              </w:tc>
              <w:tc>
                <w:tcPr>
                  <w:tcW w:w="408"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30m</w:t>
                  </w:r>
                </w:p>
              </w:tc>
              <w:tc>
                <w:tcPr>
                  <w:tcW w:w="408"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40m</w:t>
                  </w:r>
                </w:p>
              </w:tc>
              <w:tc>
                <w:tcPr>
                  <w:tcW w:w="408"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50m</w:t>
                  </w:r>
                </w:p>
              </w:tc>
              <w:tc>
                <w:tcPr>
                  <w:tcW w:w="408"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80m</w:t>
                  </w:r>
                </w:p>
              </w:tc>
              <w:tc>
                <w:tcPr>
                  <w:tcW w:w="479"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100m</w:t>
                  </w:r>
                </w:p>
              </w:tc>
              <w:tc>
                <w:tcPr>
                  <w:tcW w:w="479"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150m</w:t>
                  </w:r>
                </w:p>
              </w:tc>
              <w:tc>
                <w:tcPr>
                  <w:tcW w:w="488"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200m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82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挖掘机</w:t>
                  </w:r>
                </w:p>
              </w:tc>
              <w:tc>
                <w:tcPr>
                  <w:tcW w:w="354"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76</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70</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60</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58</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56</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52</w:t>
                  </w:r>
                </w:p>
              </w:tc>
              <w:tc>
                <w:tcPr>
                  <w:tcW w:w="4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50</w:t>
                  </w:r>
                </w:p>
              </w:tc>
              <w:tc>
                <w:tcPr>
                  <w:tcW w:w="4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46</w:t>
                  </w:r>
                </w:p>
              </w:tc>
              <w:tc>
                <w:tcPr>
                  <w:tcW w:w="48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w:t>
                  </w:r>
                </w:p>
              </w:tc>
              <w:tc>
                <w:tcPr>
                  <w:tcW w:w="82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空压机</w:t>
                  </w:r>
                </w:p>
              </w:tc>
              <w:tc>
                <w:tcPr>
                  <w:tcW w:w="354"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81</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75</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65</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63</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61</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57</w:t>
                  </w:r>
                </w:p>
              </w:tc>
              <w:tc>
                <w:tcPr>
                  <w:tcW w:w="4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55</w:t>
                  </w:r>
                </w:p>
              </w:tc>
              <w:tc>
                <w:tcPr>
                  <w:tcW w:w="4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51</w:t>
                  </w:r>
                </w:p>
              </w:tc>
              <w:tc>
                <w:tcPr>
                  <w:tcW w:w="48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82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推土机</w:t>
                  </w:r>
                </w:p>
              </w:tc>
              <w:tc>
                <w:tcPr>
                  <w:tcW w:w="354"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74</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68</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58</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56</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54</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50</w:t>
                  </w:r>
                </w:p>
              </w:tc>
              <w:tc>
                <w:tcPr>
                  <w:tcW w:w="4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48</w:t>
                  </w:r>
                </w:p>
              </w:tc>
              <w:tc>
                <w:tcPr>
                  <w:tcW w:w="4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44</w:t>
                  </w:r>
                </w:p>
              </w:tc>
              <w:tc>
                <w:tcPr>
                  <w:tcW w:w="48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w:t>
                  </w:r>
                </w:p>
              </w:tc>
              <w:tc>
                <w:tcPr>
                  <w:tcW w:w="820" w:type="pct"/>
                  <w:vAlign w:val="center"/>
                </w:tcPr>
                <w:p>
                  <w:pPr>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蛙式打夯机</w:t>
                  </w:r>
                </w:p>
              </w:tc>
              <w:tc>
                <w:tcPr>
                  <w:tcW w:w="354"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87</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81</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71</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69</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67</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63</w:t>
                  </w:r>
                </w:p>
              </w:tc>
              <w:tc>
                <w:tcPr>
                  <w:tcW w:w="4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61</w:t>
                  </w:r>
                </w:p>
              </w:tc>
              <w:tc>
                <w:tcPr>
                  <w:tcW w:w="4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57</w:t>
                  </w:r>
                </w:p>
              </w:tc>
              <w:tc>
                <w:tcPr>
                  <w:tcW w:w="48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w:t>
                  </w:r>
                </w:p>
              </w:tc>
              <w:tc>
                <w:tcPr>
                  <w:tcW w:w="820"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插入式振捣器</w:t>
                  </w:r>
                </w:p>
              </w:tc>
              <w:tc>
                <w:tcPr>
                  <w:tcW w:w="354"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74</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68</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58</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56</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54</w:t>
                  </w:r>
                </w:p>
              </w:tc>
              <w:tc>
                <w:tcPr>
                  <w:tcW w:w="40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50</w:t>
                  </w:r>
                </w:p>
              </w:tc>
              <w:tc>
                <w:tcPr>
                  <w:tcW w:w="4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48</w:t>
                  </w:r>
                </w:p>
              </w:tc>
              <w:tc>
                <w:tcPr>
                  <w:tcW w:w="47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44</w:t>
                  </w:r>
                </w:p>
              </w:tc>
              <w:tc>
                <w:tcPr>
                  <w:tcW w:w="488"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42</w:t>
                  </w:r>
                </w:p>
              </w:tc>
            </w:tr>
          </w:tbl>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由上表预测表明，施工期施工机械将产生较大的噪声，各类施工机械噪声昼间在40处、夜间200m处可达《建筑施工噪声排放标准》（GB12523-2025）标准。本项目沿河岸施工，施工机械声压级较高，各类机械交叉频繁使用，施工期噪声影响将对居民的正常生活造成一定的影响，因此需要采取一些噪声防治措施。</w:t>
            </w:r>
          </w:p>
          <w:p>
            <w:pPr>
              <w:pStyle w:val="78"/>
              <w:ind w:firstLine="480"/>
              <w:rPr>
                <w:rFonts w:hAnsi="Times New Roman" w:eastAsiaTheme="minorEastAsia"/>
                <w:b/>
                <w:bCs/>
                <w:color w:val="000000" w:themeColor="text1"/>
                <w14:textFill>
                  <w14:solidFill>
                    <w14:schemeClr w14:val="tx1"/>
                  </w14:solidFill>
                </w14:textFill>
              </w:rPr>
            </w:pPr>
            <w:bookmarkStart w:id="40" w:name="_Toc151047322"/>
            <w:r>
              <w:rPr>
                <w:rFonts w:hAnsi="Times New Roman" w:eastAsiaTheme="minorEastAsia"/>
                <w:color w:val="000000" w:themeColor="text1"/>
                <w14:textFill>
                  <w14:solidFill>
                    <w14:schemeClr w14:val="tx1"/>
                  </w14:solidFill>
                </w14:textFill>
              </w:rPr>
              <w:t>通过封闭施工区，禁止夜间施工，加强施工管理，合理安排施工作业时间，合理安排施工平面布置。通过采取相应的噪声污染防治措施后，项目施工期噪声影响在可接受范围内。</w:t>
            </w:r>
            <w:r>
              <w:rPr>
                <w:rFonts w:hAnsi="Times New Roman" w:eastAsiaTheme="minorEastAsia"/>
                <w:bCs/>
                <w:color w:val="000000" w:themeColor="text1"/>
                <w14:textFill>
                  <w14:solidFill>
                    <w14:schemeClr w14:val="tx1"/>
                  </w14:solidFill>
                </w14:textFill>
              </w:rPr>
              <w:t>施工噪声是短期行为，随着施工活动一结束，其施工噪声也随之消失，不会对周围环境敏感点造成明显不利影响。</w:t>
            </w:r>
            <w:bookmarkEnd w:id="40"/>
          </w:p>
          <w:p>
            <w:pPr>
              <w:pStyle w:val="25"/>
              <w:ind w:left="0" w:firstLine="482"/>
              <w:rPr>
                <w:rFonts w:eastAsiaTheme="minorEastAsia"/>
                <w:b/>
                <w:bCs/>
                <w:smallCaps w:val="0"/>
                <w:color w:val="000000" w:themeColor="text1"/>
                <w:sz w:val="24"/>
                <w:szCs w:val="24"/>
                <w14:textFill>
                  <w14:solidFill>
                    <w14:schemeClr w14:val="tx1"/>
                  </w14:solidFill>
                </w14:textFill>
              </w:rPr>
            </w:pPr>
            <w:r>
              <w:rPr>
                <w:rFonts w:eastAsiaTheme="minorEastAsia"/>
                <w:b/>
                <w:bCs/>
                <w:smallCaps w:val="0"/>
                <w:color w:val="000000" w:themeColor="text1"/>
                <w:sz w:val="24"/>
                <w:szCs w:val="24"/>
                <w14:textFill>
                  <w14:solidFill>
                    <w14:schemeClr w14:val="tx1"/>
                  </w14:solidFill>
                </w14:textFill>
              </w:rPr>
              <w:t>4、固体废弃物</w:t>
            </w:r>
          </w:p>
          <w:p>
            <w:pPr>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工程施工过程中产生的固体废弃物主要来自于项目施工开挖的土石方、施工人员产生的生活垃圾以及建筑垃圾。</w:t>
            </w:r>
          </w:p>
          <w:p>
            <w:pPr>
              <w:widowControl/>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（1）土石方</w:t>
            </w:r>
          </w:p>
          <w:p>
            <w:pPr>
              <w:pStyle w:val="68"/>
              <w:ind w:firstLine="480"/>
              <w:rPr>
                <w:rFonts w:eastAsiaTheme="minorEastAsia"/>
                <w:color w:val="000000" w:themeColor="text1"/>
                <w14:textFill>
                  <w14:solidFill>
                    <w14:schemeClr w14:val="tx1"/>
                  </w14:solidFill>
                </w14:textFill>
              </w:rPr>
            </w:pPr>
            <w:bookmarkStart w:id="41" w:name="OLE_LINK59"/>
            <w:r>
              <w:rPr>
                <w:rFonts w:eastAsiaTheme="minorEastAsia"/>
                <w:color w:val="000000" w:themeColor="text1"/>
                <w14:textFill>
                  <w14:solidFill>
                    <w14:schemeClr w14:val="tx1"/>
                  </w14:solidFill>
                </w14:textFill>
              </w:rPr>
              <w:t>本工程土石方开挖总量0.57万m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（自然方下同），土石方回填量0.48万m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。经土方平衡分析，余方0.09万m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（自然方），用于堤后回填，工程无弃方。</w:t>
            </w:r>
          </w:p>
          <w:bookmarkEnd w:id="41"/>
          <w:p>
            <w:pPr>
              <w:widowControl/>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（2）生活垃圾</w:t>
            </w:r>
          </w:p>
          <w:p>
            <w:pPr>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工程施工人员生活垃圾按0.8kg/d·人，则施工期每天产生生活垃圾16kg/d。</w:t>
            </w:r>
          </w:p>
          <w:p>
            <w:pPr>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施工期生活垃圾袋装收集后，由环卫部门定期清运至黑水县垃圾处理厂集中处理。严禁乱丢乱弃，严禁进入地表水体。</w:t>
            </w:r>
          </w:p>
          <w:p>
            <w:pPr>
              <w:widowControl/>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（3）建筑垃圾</w:t>
            </w:r>
          </w:p>
          <w:p>
            <w:pPr>
              <w:snapToGrid w:val="0"/>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工程施工过程中产生的各类建筑垃圾，如废弃木材、包装材料等，产生量约1t/a。建筑废弃材料可回收利用的外卖废物收购站处理；其他不可回收利用的及时运至政府指定的建筑垃圾堆放场。</w:t>
            </w:r>
          </w:p>
          <w:p>
            <w:pPr>
              <w:ind w:firstLine="482"/>
              <w:rPr>
                <w:rFonts w:eastAsiaTheme="minorEastAsia"/>
                <w:b/>
                <w:color w:val="000000" w:themeColor="text1"/>
                <w14:textFill>
                  <w14:solidFill>
                    <w14:schemeClr w14:val="tx1"/>
                  </w14:solidFill>
                </w14:textFill>
              </w:rPr>
            </w:pPr>
            <w:bookmarkStart w:id="42" w:name="OLE_LINK54"/>
            <w:bookmarkStart w:id="43" w:name="OLE_LINK53"/>
            <w:r>
              <w:rPr>
                <w:rFonts w:eastAsiaTheme="minorEastAsia"/>
                <w:b/>
                <w:color w:val="000000" w:themeColor="text1"/>
                <w14:textFill>
                  <w14:solidFill>
                    <w14:schemeClr w14:val="tx1"/>
                  </w14:solidFill>
                </w14:textFill>
              </w:rPr>
              <w:t>四、达古冰山—卡龙沟风景名胜区的影响</w:t>
            </w:r>
            <w:bookmarkEnd w:id="42"/>
            <w:bookmarkEnd w:id="43"/>
          </w:p>
          <w:p>
            <w:pPr>
              <w:ind w:firstLine="480"/>
              <w:rPr>
                <w:rFonts w:eastAsiaTheme="minorEastAsia"/>
                <w:bCs/>
                <w:color w:val="000000" w:themeColor="text1"/>
                <w:spacing w:val="4"/>
                <w14:textFill>
                  <w14:solidFill>
                    <w14:schemeClr w14:val="tx1"/>
                  </w14:solidFill>
                </w14:textFill>
              </w:rPr>
            </w:pPr>
            <w:r>
              <w:rPr>
                <w:rFonts w:eastAsiaTheme="minorEastAsia"/>
                <w:color w:val="000000" w:themeColor="text1"/>
                <w14:textFill>
                  <w14:solidFill>
                    <w14:schemeClr w14:val="tx1"/>
                  </w14:solidFill>
                </w14:textFill>
              </w:rPr>
              <w:t>本项目位于达古冰山-卡龙沟风景名胜区中的色尔达片区，</w:t>
            </w:r>
            <w:r>
              <w:rPr>
                <w:rFonts w:eastAsiaTheme="minorEastAsia"/>
                <w:bCs/>
                <w:color w:val="000000" w:themeColor="text1"/>
                <w:spacing w:val="4"/>
                <w14:textFill>
                  <w14:solidFill>
                    <w14:schemeClr w14:val="tx1"/>
                  </w14:solidFill>
                </w14:textFill>
              </w:rPr>
              <w:t>根据《黑水县卡龙镇才盖村基础设施提升建设项目对达古冰山一卡龙沟风景名胜区影响评价报告》，本次主要引用其结论。</w:t>
            </w:r>
          </w:p>
          <w:p>
            <w:pPr>
              <w:ind w:firstLine="498"/>
              <w:rPr>
                <w:rFonts w:eastAsiaTheme="minorEastAsia"/>
                <w:b/>
                <w:bCs/>
                <w:color w:val="000000" w:themeColor="text1"/>
                <w:spacing w:val="4"/>
                <w14:textFill>
                  <w14:solidFill>
                    <w14:schemeClr w14:val="tx1"/>
                  </w14:solidFill>
                </w14:textFill>
              </w:rPr>
            </w:pPr>
            <w:r>
              <w:rPr>
                <w:rFonts w:eastAsiaTheme="minorEastAsia"/>
                <w:b/>
                <w:bCs/>
                <w:color w:val="000000" w:themeColor="text1"/>
                <w:spacing w:val="4"/>
                <w14:textFill>
                  <w14:solidFill>
                    <w14:schemeClr w14:val="tx1"/>
                  </w14:solidFill>
                </w14:textFill>
              </w:rPr>
              <w:t>（1）项目对风景名胜区分级保护的影响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达古冰山—卡龙沟风景名胜区总体规划（修编）（2015-2035年）》目前已通过批复（川府函[2019]26号），是达古冰山—卡龙沟风景名胜区目前使用的法定规划。依据《达古冰山—卡龙沟风景名胜区总体规划（修编）（2015-2035年）》，将风景名胜区资源划分为一级、二级、三级保护区三个层次，实施分级控制保护，并对一、二级保护区实施重点保护控制。</w:t>
            </w:r>
          </w:p>
          <w:p>
            <w:pPr>
              <w:pStyle w:val="78"/>
              <w:ind w:firstLine="480"/>
              <w:rPr>
                <w:rFonts w:hAnsi="Times New Roman" w:eastAsiaTheme="minorEastAsia"/>
                <w:color w:val="000000" w:themeColor="text1"/>
                <w:u w:val="single"/>
                <w14:textFill>
                  <w14:solidFill>
                    <w14:schemeClr w14:val="tx1"/>
                  </w14:solidFill>
                </w14:textFill>
              </w:rPr>
            </w:pPr>
            <w:r>
              <w:rPr>
                <w:rFonts w:hAnsi="Times New Roman" w:eastAsiaTheme="minorEastAsia"/>
                <w:color w:val="000000" w:themeColor="text1"/>
                <w:u w:val="single"/>
                <w14:textFill>
                  <w14:solidFill>
                    <w14:schemeClr w14:val="tx1"/>
                  </w14:solidFill>
                </w14:textFill>
              </w:rPr>
              <w:t>本项目为防洪治理工程，</w:t>
            </w:r>
            <w:bookmarkStart w:id="44" w:name="OLE_LINK60"/>
            <w:r>
              <w:rPr>
                <w:rFonts w:hAnsi="Times New Roman" w:eastAsiaTheme="minorEastAsia"/>
                <w:color w:val="000000" w:themeColor="text1"/>
                <w:u w:val="single"/>
                <w14:textFill>
                  <w14:solidFill>
                    <w14:schemeClr w14:val="tx1"/>
                  </w14:solidFill>
                </w14:textFill>
              </w:rPr>
              <w:t>项目位于达古冰山-卡龙沟风景名胜区三级保护区。</w:t>
            </w:r>
          </w:p>
          <w:bookmarkEnd w:id="44"/>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依据《达古冰山—卡龙沟风景名胜区总体规划（修编）（2015-2035年）》第五条规定，三级保护区要求：“应编制详细规划，合理安排旅游服务设施，有序引导各项建设活动；区内建设要控制设施规模、建筑布局、层高体量、风格、色彩等，保持与风景环境的协调；基础工程设施必须符合相关技术规范和满足环保要求。</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项目为防洪治理工程，项目工程设施满足环保要求，建设完成后有助于提升风景名胜区的环境风貌，对风景名胜区基础设施的完善具有一定的作用，项目不属于三级保护区禁止建设的项目，符合风景名胜区分级保护的管控要求，不涉及风景名胜区核心景区。</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（2）对风景资源的影响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达古冰山-卡龙沟风景名胜区总体规划（修编）（2015-2035年）》，项目所在的达古冰山-卡龙沟风景名胜区的卡龙沟片区，该片区共分为三个景区，分别为彩林画廊景区、钙华彩池景区和长征记忆景区。本项目位于风景名胜区内的项目位于</w:t>
            </w:r>
            <w:r>
              <w:rPr>
                <w:rFonts w:hAnsi="Times New Roman" w:eastAsiaTheme="minorEastAsia"/>
                <w:b/>
                <w:color w:val="000000" w:themeColor="text1"/>
                <w14:textFill>
                  <w14:solidFill>
                    <w14:schemeClr w14:val="tx1"/>
                  </w14:solidFill>
                </w14:textFill>
              </w:rPr>
              <w:t>才盖藏居一处人文景点</w:t>
            </w:r>
            <w:r>
              <w:rPr>
                <w:rFonts w:hAnsi="Times New Roman" w:eastAsiaTheme="minorEastAsia"/>
                <w:color w:val="000000" w:themeColor="text1"/>
                <w14:textFill>
                  <w14:solidFill>
                    <w14:schemeClr w14:val="tx1"/>
                  </w14:solidFill>
                </w14:textFill>
              </w:rPr>
              <w:t>。</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才盖藏居为人文景源中的建筑、民居宗祠类景源。根据风景名胜区规划，才盖藏居为三级人文景点，该类风景资源属于“特色藏寨保护”，其主要保护内容包括：保存藏寨村落的自然景观环境和历史要素；保存藏寨传统村落的空间格局和整体风貌；保护古建筑以及具有特色的人文景观和民俗风情；整治建筑风貌。</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项目施工过程中，主要为新建河提、修复水毁河堤，不会改变河道自然流向，并配套藏式风格外装，与周边人文景观协调。工程影响的自然景观广泛分布，不会因工程建设而消失，自然景观类型数不会因施工而减少。因此，工程在施工期对风景资源本体的不利影响程度为低度。</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在施工过程中，通过加强管理，并严格控制施工范围，在施工工程中设置生态型施工围挡，缩短施工工期，且不在旅游旺季施工；视觉干扰方面，栏杆采用砼仿木栏杆，与周边环境相协调，围挡绘制文化宣传画缓解不匹配问题，对游客视觉和游览心情冲击短期且局部；精心打造的绿化景观适应本地条件，融入人文元素，强化了融合并提升文化内涵与审美价值。随着施工结束，各项临时设施拆除，周边植被逐步恢复，项目对风景资源的影响程度进一步降低。此时，项目不仅不会对风景资源产生破坏，还能通过保障景区防洪安全、提升生态环境质量、丰富旅游产品和服务等方式，促进风景资源的保护与可持续利用，实现景区经济与生态效益的双赢。</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（3）对风景游赏影响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项目施工期间会对进入景区的游客产生一定的视觉、噪声等影响，交通也会一定程度上受影响，但不会遮挡核心景观，且影响都是暂时的，可削弱的。项目运营期，可提高防洪能力，并更好地保证了游客的安全。且建成的堤防及栏杆均进行了与周边环境相适应的美学设计，能融入周边环境，因此，本项目的实施对景区的游赏具有有利影响。</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（4）对重点保护野生动植物的影响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1）对重点保护野生植物影响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工程占地区影响的植物种类主要为小叶柳、山生柳，冷箭竹、华西箭竹，披碱草、灯芯草、马齿苋等，项目占地范围未发现国家重点保护植物和古树名木分布。</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因此施工期对重点保护野生植物无影响。</w:t>
            </w:r>
          </w:p>
          <w:p>
            <w:pPr>
              <w:pStyle w:val="78"/>
              <w:ind w:firstLine="480"/>
              <w:rPr>
                <w:rFonts w:hAnsi="Times New Roman" w:eastAsiaTheme="minorEastAsia"/>
                <w:bCs/>
                <w:color w:val="000000" w:themeColor="text1"/>
                <w14:textFill>
                  <w14:solidFill>
                    <w14:schemeClr w14:val="tx1"/>
                  </w14:solidFill>
                </w14:textFill>
              </w:rPr>
            </w:pPr>
            <w:r>
              <w:rPr>
                <w:rFonts w:hAnsi="Times New Roman" w:eastAsiaTheme="minorEastAsia"/>
                <w:bCs/>
                <w:color w:val="000000" w:themeColor="text1"/>
                <w14:textFill>
                  <w14:solidFill>
                    <w14:schemeClr w14:val="tx1"/>
                  </w14:solidFill>
                </w14:textFill>
              </w:rPr>
              <w:t>2）对重点保护野生动物的影响评价</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1）对重点保护两栖类动物的影响预测</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据调查，工程段的两栖类有1目3科3种，主要为中国特有种胸腺猫眼蟾、中华蟾蜍、高原林蛙。施工期产生的固废、噪声造成环境污染，可能影响工程区两栖动物的繁殖，考虑到项目建设规划了施工噪音和环境污染控制消减措施，同时在设计、施工中，加强了与当地野生动物保护站的联系，并对施工人员会开展野生动物保护教育，不会造成其物种减少，施工期对重点保护野生动物的影响为低度。</w:t>
            </w:r>
            <w:bookmarkStart w:id="45" w:name="OLE_LINK55"/>
          </w:p>
          <w:bookmarkEnd w:id="45"/>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2）对重点保护爬行类动物的影响预测</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据调查，工程区海拔高，分布的爬行类种类动物较少，爬行类动物仅有1目1科2种，工程区不涉及重点保护爬行类动物。</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因此施工期及运营期对重点保护爬行类动物无影响。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3）对重点保护鸟类的影响预测</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根据调查结合历史文献，在工程区主要为树莺类、柳莺、麻雀、喜鹊等，不涉及国家重点保护鸟类。从物种的居留类型上看，工程区鸟类以留鸟为主。施工期，受施工噪声、环境污染等因素的影响，可能使其种群数量在工程区内暂时减少，考虑到项目建设规划了施工噪音和环境污染控制消减措施，同时在设计、施工中，加强保护，并对施工人员开展野生动物保护教育，对鸟类种群个体影响甚微，因此施工期对工程内的物种丰富度造成的影响为低度。</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4）对重点保护兽类的影响预测</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施工期，建设区域不涉及重点保护兽类的栖息地，但施工作业、车辆运输等产生的噪声，会间接影响到附近区域的部分重点保护兽类。施工期间的人类活动和噪声会使其向间接影响区迁移。考虑到项目在施工设计、施工组织和施工过程中均考虑了不利影响消减措施，加强了施工活动和施工人员的管理，且大多重点保护兽类具有很强的迁移能力和适应能力，不会导致区域兽类物种种类减少。因此施工期对重点保护兽类影响为低度。</w:t>
            </w:r>
          </w:p>
          <w:p>
            <w:pPr>
              <w:pStyle w:val="78"/>
              <w:ind w:firstLine="482"/>
              <w:rPr>
                <w:rFonts w:hAnsi="Times New Roman" w:eastAsiaTheme="minorEastAsia"/>
                <w:b/>
                <w:bCs/>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（5）</w:t>
            </w:r>
            <w:r>
              <w:rPr>
                <w:rFonts w:hAnsi="Times New Roman" w:eastAsiaTheme="minorEastAsia"/>
                <w:b/>
                <w:bCs/>
                <w:color w:val="000000" w:themeColor="text1"/>
                <w14:textFill>
                  <w14:solidFill>
                    <w14:schemeClr w14:val="tx1"/>
                  </w14:solidFill>
                </w14:textFill>
              </w:rPr>
              <w:t>对风景名胜区市政基础设施的影响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项目为防洪工程，是对小黑水河的综合治理，防洪标准为10年一遇洪水重现期，本项目的建设后会完善景区内的市政基础设施，提高了景区的防洪能力，同时本项目考虑到与景区融合，在堤防迎水面采用弹性装饰造型模板支模，栏杆采用砼仿木栏杆，与周边的村寨景观比较，具有一定协调性，因此本项目对市政基础设施的影响为低度。</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（5）对风景名胜区的协调性的影响</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次工程堤轴线按照河湖管理范围划界线布置，且本工程堤防设计防洪标准为10年一遇，因此堤轴线与河湖管理范围划界线基本一致。项目考虑到与景区融合，在堤防迎水面采用弹性装饰造型模板支模，栏杆采用砼仿木栏杆，与周边的村寨景观比较，具有一定协调性。</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综上所述，本项目对风景名胜区的协调性的影响为低度。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01" w:type="pct"/>
            <w:tcMar>
              <w:left w:w="28" w:type="dxa"/>
              <w:right w:w="28" w:type="dxa"/>
            </w:tcMar>
            <w:vAlign w:val="center"/>
          </w:tcPr>
          <w:p>
            <w:pPr>
              <w:widowControl/>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运营期生态环境影响分析</w:t>
            </w:r>
          </w:p>
        </w:tc>
        <w:tc>
          <w:tcPr>
            <w:tcW w:w="4498" w:type="pct"/>
            <w:vAlign w:val="center"/>
          </w:tcPr>
          <w:p>
            <w:pPr>
              <w:widowControl/>
              <w:ind w:firstLine="480"/>
              <w:rPr>
                <w:rFonts w:eastAsiaTheme="minorEastAsia"/>
                <w:bCs/>
                <w:color w:val="000000" w:themeColor="text1"/>
                <w14:textFill>
                  <w14:solidFill>
                    <w14:schemeClr w14:val="tx1"/>
                  </w14:solidFill>
                </w14:textFill>
              </w:rPr>
            </w:pPr>
            <w:r>
              <w:rPr>
                <w:rFonts w:eastAsiaTheme="minorEastAsia"/>
                <w:bCs/>
                <w:color w:val="000000" w:themeColor="text1"/>
                <w14:textFill>
                  <w14:solidFill>
                    <w14:schemeClr w14:val="tx1"/>
                  </w14:solidFill>
                </w14:textFill>
              </w:rPr>
              <w:t>本工程为防洪除涝工程，项目本身无营运期，堤防投入使用后，能够提高黑水县卡龙镇才盖村防洪能力，完善防洪管理体系，项目正常运行过程中不会对周围环境产生不良环境影响。</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（1）生态环境正效益</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通过本项目的实施，使工程建设区的水土流失得到有效治理，原有的土壤侵蚀也得到一定程度的控制，建设过程中的裸露地恢复植被后，能有效地固结土壤、涵养水分、稳定边坡、减少径流和侵蚀量，同时改善项目区周边的区域环境，具有显著的生态环境效益。</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（2）社会环境正效益</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防洪工程是地区发展先行的基础设施建设，项目的实施，可拉动当地内需，带动其他相关行业的投入。工程的实施可有效地防止洪水冲刷淹没对自然生态环境的破坏，防止洪水过后引发大范围内的疾病流行，提高防洪御灾能力，保障人民生命财产安全，减少人们对自然灾害的恐惧，促进当地稳定和发展，增</w:t>
            </w:r>
            <w:r>
              <w:rPr>
                <w:rFonts w:hint="eastAsia" w:eastAsiaTheme="minorEastAsia"/>
                <w:bCs/>
                <w:color w:val="000000" w:themeColor="text1"/>
                <w:szCs w:val="21"/>
                <w:lang w:eastAsia="zh-CN"/>
                <w14:textFill>
                  <w14:solidFill>
                    <w14:schemeClr w14:val="tx1"/>
                  </w14:solidFill>
                </w14:textFill>
              </w:rPr>
              <w:t>进</w:t>
            </w:r>
            <w:r>
              <w:rPr>
                <w:rFonts w:eastAsiaTheme="minorEastAsia"/>
                <w:bCs/>
                <w:color w:val="000000" w:themeColor="text1"/>
                <w:szCs w:val="21"/>
                <w14:textFill>
                  <w14:solidFill>
                    <w14:schemeClr w14:val="tx1"/>
                  </w14:solidFill>
                </w14:textFill>
              </w:rPr>
              <w:t>民族团结，具有良好的社会效益。</w:t>
            </w:r>
          </w:p>
          <w:p>
            <w:pPr>
              <w:pStyle w:val="78"/>
              <w:ind w:firstLine="480"/>
              <w:rPr>
                <w:rFonts w:hAnsi="Times New Roman" w:eastAsiaTheme="minorEastAsia"/>
                <w:bCs/>
                <w:color w:val="000000" w:themeColor="text1"/>
                <w:szCs w:val="21"/>
                <w14:textFill>
                  <w14:solidFill>
                    <w14:schemeClr w14:val="tx1"/>
                  </w14:solidFill>
                </w14:textFill>
              </w:rPr>
            </w:pPr>
            <w:r>
              <w:rPr>
                <w:rFonts w:hAnsi="Times New Roman" w:eastAsiaTheme="minorEastAsia"/>
                <w:color w:val="000000" w:themeColor="text1"/>
                <w14:textFill>
                  <w14:solidFill>
                    <w14:schemeClr w14:val="tx1"/>
                  </w14:solidFill>
                </w14:textFill>
              </w:rPr>
              <w:t>（3）经济正效益</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通过项目实施，使保护区内耕地、房屋免遭洪水侵袭，维护城乡生态环境系统的正常平衡，保证正常的生产和生活秩序。本工程修建后，该</w:t>
            </w:r>
            <w:bookmarkStart w:id="46" w:name="OLE_LINK2"/>
            <w:r>
              <w:rPr>
                <w:rFonts w:eastAsiaTheme="minorEastAsia"/>
                <w:bCs/>
                <w:color w:val="000000" w:themeColor="text1"/>
                <w:szCs w:val="21"/>
                <w14:textFill>
                  <w14:solidFill>
                    <w14:schemeClr w14:val="tx1"/>
                  </w14:solidFill>
                </w14:textFill>
              </w:rPr>
              <w:t>区域</w:t>
            </w:r>
            <w:bookmarkEnd w:id="46"/>
            <w:r>
              <w:rPr>
                <w:rFonts w:eastAsiaTheme="minorEastAsia"/>
                <w:bCs/>
                <w:color w:val="000000" w:themeColor="text1"/>
                <w:szCs w:val="21"/>
                <w14:textFill>
                  <w14:solidFill>
                    <w14:schemeClr w14:val="tx1"/>
                  </w14:solidFill>
                </w14:textFill>
              </w:rPr>
              <w:t>摆脱了历年频繁洪水的侵害，减少了洪灾直接经济损失，使区域人民生命财产安全得到了保障，对促进城乡建设和国民经济发展起着重大作用，经济效益显著。</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因此，本项目建设会对治理河段具有良好的经济社会生态正效益。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84" w:hRule="atLeast"/>
          <w:jc w:val="center"/>
        </w:trPr>
        <w:tc>
          <w:tcPr>
            <w:tcW w:w="501" w:type="pct"/>
            <w:vAlign w:val="center"/>
          </w:tcPr>
          <w:p>
            <w:pPr>
              <w:widowControl/>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选址选线环境合理性分析</w:t>
            </w:r>
          </w:p>
        </w:tc>
        <w:tc>
          <w:tcPr>
            <w:tcW w:w="4498" w:type="pct"/>
          </w:tcPr>
          <w:p>
            <w:pPr>
              <w:widowControl/>
              <w:ind w:firstLine="480"/>
              <w:rPr>
                <w:rFonts w:eastAsiaTheme="minorEastAsia"/>
                <w:bCs/>
                <w:color w:val="000000" w:themeColor="text1"/>
                <w14:textFill>
                  <w14:solidFill>
                    <w14:schemeClr w14:val="tx1"/>
                  </w14:solidFill>
                </w14:textFill>
              </w:rPr>
            </w:pPr>
            <w:r>
              <w:rPr>
                <w:rFonts w:eastAsiaTheme="minorEastAsia"/>
                <w:bCs/>
                <w:color w:val="000000" w:themeColor="text1"/>
                <w14:textFill>
                  <w14:solidFill>
                    <w14:schemeClr w14:val="tx1"/>
                  </w14:solidFill>
                </w14:textFill>
              </w:rPr>
              <w:t>本项目选址符合规划，外环境无重大环境制约因素，选址相对合理；符合“生态环境分区管控”相关要求；符合产业规划。</w:t>
            </w:r>
          </w:p>
          <w:p>
            <w:pPr>
              <w:widowControl/>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1、主体工程选址合理性分析</w:t>
            </w:r>
          </w:p>
          <w:p>
            <w:pPr>
              <w:widowControl/>
              <w:ind w:firstLine="482"/>
              <w:rPr>
                <w:rFonts w:eastAsiaTheme="minorEastAsia"/>
                <w:b/>
                <w:color w:val="000000" w:themeColor="text1"/>
                <w14:textFill>
                  <w14:solidFill>
                    <w14:schemeClr w14:val="tx1"/>
                  </w14:solidFill>
                </w14:textFill>
              </w:rPr>
            </w:pPr>
            <w:bookmarkStart w:id="47" w:name="_Toc29971"/>
            <w:r>
              <w:rPr>
                <w:rFonts w:eastAsiaTheme="minorEastAsia"/>
                <w:b/>
                <w:color w:val="000000" w:themeColor="text1"/>
                <w14:textFill>
                  <w14:solidFill>
                    <w14:schemeClr w14:val="tx1"/>
                  </w14:solidFill>
                </w14:textFill>
              </w:rPr>
              <w:t>（1）项目外环境关系介绍</w:t>
            </w:r>
          </w:p>
          <w:p>
            <w:pPr>
              <w:pStyle w:val="13"/>
              <w:ind w:firstLine="480"/>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本项目选址于位于小黑水河干流卡龙镇才盖村，项目位于达古冰山-卡龙沟风景名胜区三级保护区，两侧为当地村落居民。根据资料调查，项目不涉及自然保护区、生态保护红线及饮用水水源地保护区，工程河段及下游不涉及居民取水口，项目外环境关系较简单。</w:t>
            </w:r>
          </w:p>
          <w:p>
            <w:pPr>
              <w:widowControl/>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（2）选址合理性</w:t>
            </w:r>
          </w:p>
          <w:p>
            <w:pPr>
              <w:widowControl/>
              <w:ind w:firstLine="480"/>
              <w:rPr>
                <w:rFonts w:eastAsiaTheme="minorEastAsia"/>
                <w:bCs/>
                <w:color w:val="000000" w:themeColor="text1"/>
                <w14:textFill>
                  <w14:solidFill>
                    <w14:schemeClr w14:val="tx1"/>
                  </w14:solidFill>
                </w14:textFill>
              </w:rPr>
            </w:pPr>
            <w:r>
              <w:rPr>
                <w:rFonts w:eastAsiaTheme="minorEastAsia"/>
                <w:bCs/>
                <w:color w:val="000000" w:themeColor="text1"/>
                <w14:textFill>
                  <w14:solidFill>
                    <w14:schemeClr w14:val="tx1"/>
                  </w14:solidFill>
                </w14:textFill>
              </w:rPr>
              <w:t>本项目为防洪除涝工程，为生态类项目。主要建设内容为新建河提268米，修复水毁河堤 56 米。根据防洪保护对象布置工程，顺河道原有河流方向进行，不涉及河道改道，选址选线唯一。</w:t>
            </w:r>
          </w:p>
          <w:p>
            <w:pPr>
              <w:pStyle w:val="15"/>
              <w:spacing w:after="0"/>
              <w:ind w:left="0" w:leftChars="0" w:firstLine="480"/>
              <w:rPr>
                <w:rFonts w:eastAsiaTheme="minorEastAsia"/>
                <w:bCs/>
                <w:color w:val="000000" w:themeColor="text1"/>
                <w14:textFill>
                  <w14:solidFill>
                    <w14:schemeClr w14:val="tx1"/>
                  </w14:solidFill>
                </w14:textFill>
              </w:rPr>
            </w:pPr>
            <w:r>
              <w:rPr>
                <w:rFonts w:eastAsiaTheme="minorEastAsia"/>
                <w:bCs/>
                <w:color w:val="000000" w:themeColor="text1"/>
                <w14:textFill>
                  <w14:solidFill>
                    <w14:schemeClr w14:val="tx1"/>
                  </w14:solidFill>
                </w14:textFill>
              </w:rPr>
              <w:t>项目不占用基本农田，不涉及生态保护红线，不涉及自然保护区，不涉及饮用水水源保护地，不涉及重要水生生物的自然产卵场、索饵场、越冬场及洄游通道。故，项目主体工程选址选线合理。</w:t>
            </w:r>
          </w:p>
          <w:p>
            <w:pPr>
              <w:widowControl/>
              <w:ind w:firstLine="480"/>
              <w:rPr>
                <w:rFonts w:eastAsiaTheme="minorEastAsia"/>
                <w:bCs/>
                <w:color w:val="000000" w:themeColor="text1"/>
                <w14:textFill>
                  <w14:solidFill>
                    <w14:schemeClr w14:val="tx1"/>
                  </w14:solidFill>
                </w14:textFill>
              </w:rPr>
            </w:pPr>
            <w:r>
              <w:rPr>
                <w:rFonts w:eastAsiaTheme="minorEastAsia"/>
                <w:bCs/>
                <w:color w:val="000000" w:themeColor="text1"/>
                <w14:textFill>
                  <w14:solidFill>
                    <w14:schemeClr w14:val="tx1"/>
                  </w14:solidFill>
                </w14:textFill>
              </w:rPr>
              <w:t>综上所述，本项目选址合理。</w:t>
            </w:r>
            <w:bookmarkEnd w:id="47"/>
          </w:p>
          <w:p>
            <w:pPr>
              <w:widowControl/>
              <w:ind w:firstLine="480"/>
              <w:rPr>
                <w:rFonts w:eastAsiaTheme="minorEastAsia"/>
                <w:bCs/>
                <w:color w:val="000000" w:themeColor="text1"/>
                <w14:textFill>
                  <w14:solidFill>
                    <w14:schemeClr w14:val="tx1"/>
                  </w14:solidFill>
                </w14:textFill>
              </w:rPr>
            </w:pPr>
          </w:p>
        </w:tc>
      </w:tr>
    </w:tbl>
    <w:p>
      <w:pPr>
        <w:pStyle w:val="26"/>
        <w:jc w:val="center"/>
        <w:rPr>
          <w:rFonts w:ascii="Times New Roman" w:hAnsi="Times New Roman" w:eastAsiaTheme="minorEastAsia"/>
          <w:snapToGrid w:val="0"/>
          <w:color w:val="000000" w:themeColor="text1"/>
          <w:sz w:val="36"/>
          <w:szCs w:val="36"/>
          <w14:textFill>
            <w14:solidFill>
              <w14:schemeClr w14:val="tx1"/>
            </w14:solidFill>
          </w14:textFill>
        </w:rPr>
        <w:sectPr>
          <w:pgSz w:w="11906" w:h="16838"/>
          <w:pgMar w:top="1440" w:right="1797" w:bottom="1440" w:left="1797" w:header="851" w:footer="1077" w:gutter="0"/>
          <w:cols w:space="720" w:num="1"/>
          <w:docGrid w:type="lines" w:linePitch="332" w:charSpace="0"/>
        </w:sectPr>
      </w:pPr>
    </w:p>
    <w:p>
      <w:pPr>
        <w:pStyle w:val="26"/>
        <w:ind w:firstLine="0" w:firstLineChars="0"/>
        <w:jc w:val="center"/>
        <w:outlineLvl w:val="0"/>
        <w:rPr>
          <w:rFonts w:ascii="Times New Roman" w:hAnsi="Times New Roman" w:eastAsiaTheme="minorEastAsia"/>
          <w:b/>
          <w:snapToGrid w:val="0"/>
          <w:color w:val="000000" w:themeColor="text1"/>
          <w:sz w:val="30"/>
          <w:szCs w:val="30"/>
          <w14:textFill>
            <w14:solidFill>
              <w14:schemeClr w14:val="tx1"/>
            </w14:solidFill>
          </w14:textFill>
        </w:rPr>
      </w:pPr>
      <w:bookmarkStart w:id="48" w:name="_Toc155338881"/>
      <w:r>
        <w:rPr>
          <w:rFonts w:ascii="Times New Roman" w:hAnsi="Times New Roman" w:eastAsiaTheme="minorEastAsia"/>
          <w:b/>
          <w:snapToGrid w:val="0"/>
          <w:color w:val="000000" w:themeColor="text1"/>
          <w:sz w:val="30"/>
          <w:szCs w:val="30"/>
          <w14:textFill>
            <w14:solidFill>
              <w14:schemeClr w14:val="tx1"/>
            </w14:solidFill>
          </w14:textFill>
        </w:rPr>
        <w:t>五、主要生态环境保护措施</w:t>
      </w:r>
      <w:bookmarkEnd w:id="48"/>
    </w:p>
    <w:tbl>
      <w:tblPr>
        <w:tblStyle w:val="30"/>
        <w:tblW w:w="509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77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08" w:hRule="atLeast"/>
          <w:jc w:val="center"/>
        </w:trPr>
        <w:tc>
          <w:tcPr>
            <w:tcW w:w="504" w:type="pct"/>
            <w:tcMar>
              <w:left w:w="28" w:type="dxa"/>
              <w:right w:w="28" w:type="dxa"/>
            </w:tcMar>
            <w:vAlign w:val="center"/>
          </w:tcPr>
          <w:p>
            <w:pPr>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施工期生态环境保护措施</w:t>
            </w:r>
          </w:p>
        </w:tc>
        <w:tc>
          <w:tcPr>
            <w:tcW w:w="4495" w:type="pct"/>
          </w:tcPr>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建成后对维护社会稳定，保护城乡经济建设和人民生命财产安全将起到重要作用，且改善生态环境质量，避免洪水对环境的污染，保护自然资源。项目主要环境影响是施工期产生的施工扬尘、噪声、生活污水和固废对周围空气、水、声环境产生的影响。</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一、施工期生态保护措施</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本项目为防洪除涝工程，属于生态影响类项目。</w:t>
            </w:r>
          </w:p>
          <w:p>
            <w:pPr>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1、施工期生态环境保护措施</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（1）土地占用影响减缓措施</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开工前，对施工范围内临时设施的规划要进行严格的审查。</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严格按照用地文件确定征占土地范围，进行地表植被的清理工作。</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加强施工期的组织管理，提高工效，缩短工期；施工期最好选在旱季，避开暴雨期施工；挖、填方施工时，尽量做到先筑挡土墙，随挖、随运、随压，严禁随意开挖取土取石，破坏植被；工程建成后，要注意保护边坡和河床，土石料场开挖裸露的土地应尽快种上植被和采取封闭措施，以防坍塌，造成水土流失。</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严格控制各类临时工程用地的数量，其面积不应大于给定的面积，禁止随意地超标占地。</w:t>
            </w:r>
          </w:p>
          <w:p>
            <w:pPr>
              <w:pStyle w:val="11"/>
              <w:spacing w:before="0"/>
              <w:ind w:firstLine="482"/>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（2）施工迹地的恢复措施</w:t>
            </w:r>
          </w:p>
          <w:p>
            <w:pPr>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1）工程技术措施</w:t>
            </w:r>
          </w:p>
          <w:p>
            <w:pPr>
              <w:widowControl/>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清理工程：本项目临时用地中涉及临时建筑物的修筑，在临时用地使用结束后，按照“谁损毁，谁复垦”的原则，临时建筑物应由建设方进行拆除。</w:t>
            </w:r>
          </w:p>
          <w:p>
            <w:pPr>
              <w:widowControl/>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土地平整工程：土地平整是改变损毁土地地表形状、理性的主要的工程措施之一。建设项目挖损、压占土地后，原地表形态发生变化，可能出现凹坑、凸起，且出露物多为砾石、碎石、岩块石等，难以直接进行农、林、草利用。在场地平整过程中通过推土机实施土地平整，满足土地复垦的初步立地条件。</w:t>
            </w:r>
          </w:p>
          <w:p>
            <w:pPr>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工程结束后应对其占地恢复其原貌，并选择本地物种，进行种草播撒及植被栽种。</w:t>
            </w:r>
          </w:p>
          <w:p>
            <w:pPr>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结合项目所在地生态环境和景观特点进行迹地恢复，恢复植被采用保护区原生态植物进行恢复，保证区域景观生态环境不会改变</w:t>
            </w:r>
          </w:p>
          <w:p>
            <w:pPr>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2）植物措施</w:t>
            </w:r>
          </w:p>
          <w:p>
            <w:pPr>
              <w:widowControl/>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本着适地、适树的原则，结合本项目区的特殊自然条件，充分调查当地乡土树种，施工临时用地应尽量采用乡土植物进行植被恢复。</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（3）动物影响减缓措施</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工程施工期，严格控制施工车辆、机械及施工人员的活动范围，尽力缩小施工作业带宽度，以减少对地表植被的碾压，减少对陆生动物生境及觅食场所的破坏。</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施工期应严禁夜间施工，若不得不夜间施工的，应经当地主管部门批准后，方可施工。夜间应尽量减少高噪声设备施工，特别是超强的流动噪声源（如载重卡车），突然轰鸣的间歇噪声源和连续的固定噪声源等，以减少施工噪声对人、两栖类和爬行类动物的干扰。</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加强对施工人员保护野生动物意识的教育工作，并将相关条款列入施工合同，禁止捕杀野生动物、掏食鸟蛋、破坏鸟巢等行为。</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快速恢复地表植被。兽类等动物的栖息环境和分布规律与植被类型密切相关，因此施工期间对植被的破坏，待施工结束后，应及时采取措施，种植树木，使植被尽快恢复，力争在最短的时间内清除施工痕迹，对土层较薄的陡坡和弃土堆积场所，将一时难以恢复林木，可先草后木，即先培育草灌植被，把地面覆盖起来，待土壤改善后，让乔木自然侵入或人工栽种。</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rFonts w:eastAsiaTheme="minorEastAsia"/>
                <w:color w:val="000000" w:themeColor="text1"/>
                <w14:textFill>
                  <w14:solidFill>
                    <w14:schemeClr w14:val="tx1"/>
                  </w14:solidFill>
                </w14:textFill>
              </w:rPr>
              <w:t>严禁捕杀野生动物。项目施工期间机械开挖产生的噪声，工程施工等人为活动的干扰、惊吓，使施工区域工程占地区以及毗邻地区的动物迁徙至邻近地区。</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（4）水生生态影响减缓措施</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施工导流选择在枯水期，尽量缩短导流时段；项目涉水工程施工时应设置围堰，以有效减轻施工过程对水质及水生生物的影响。</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项目堤岸、护坡主要采用土料、块石、砂料及碎石料，项目建设过程中要加强对现有河道水生生物的保护，合理安排施工期，防止施工时泥沙、石块等掉入河中。</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落实项目影响区域水环境保护措施，重点加强对施工期悬浮物、石油类污染物控制。</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采用分期围堰施工，使河道保持畅通，保证水生生物能正常游动；项目在导流、围堰应避开鱼类产卵期。</w:t>
            </w:r>
          </w:p>
          <w:p>
            <w:pPr>
              <w:ind w:firstLine="480"/>
              <w:rPr>
                <w:rFonts w:eastAsiaTheme="minorEastAsia"/>
                <w:bCs/>
                <w:color w:val="000000" w:themeColor="text1"/>
                <w14:textFill>
                  <w14:solidFill>
                    <w14:schemeClr w14:val="tx1"/>
                  </w14:solidFill>
                </w14:textFill>
              </w:rPr>
            </w:pPr>
            <w:r>
              <w:rPr>
                <w:rFonts w:hint="eastAsia" w:ascii="宋体" w:hAnsi="宋体" w:cs="宋体"/>
                <w:bCs/>
                <w:color w:val="000000" w:themeColor="text1"/>
                <w:lang w:eastAsia="ja-JP"/>
                <w14:textFill>
                  <w14:solidFill>
                    <w14:schemeClr w14:val="tx1"/>
                  </w14:solidFill>
                </w14:textFill>
              </w:rPr>
              <w:t>⑤</w:t>
            </w:r>
            <w:r>
              <w:rPr>
                <w:rFonts w:eastAsiaTheme="minorEastAsia"/>
                <w:bCs/>
                <w:color w:val="000000" w:themeColor="text1"/>
                <w14:textFill>
                  <w14:solidFill>
                    <w14:schemeClr w14:val="tx1"/>
                  </w14:solidFill>
                </w14:textFill>
              </w:rPr>
              <w:t>施工结束后，及时对破坏区域进行生态修复。按照原有的植被类型和群落结构，补种本土植物，恢复植被覆盖，为野生动物提供食物和栖息场所。造成的水体破坏，进行水体净化和生态修复，恢复水生生物栖息地，保障鱼类、两栖类动物生存环境。</w:t>
            </w:r>
          </w:p>
          <w:p>
            <w:pPr>
              <w:ind w:firstLine="482"/>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2、水土保持措施</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过程中必须加强施工管理，做好施工组织设计：合理安排施工时序，分段施工，控制施工面，减少地表裸露的时间；要协调好主体工程开挖与填筑的进度关系，尽量减少土石方转运、倒运，减少水土流失；遇暴雨或大风天气应加强临时防护，雨季填筑土方时应随挖、随运、随压，避免产生水土流失；边坡开挖要控制开挖面，开挖前进行放线，严格按照设计边坡进行开挖；工程结束后，应清理施工过程中的建筑材料散落体等废弃物。</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工程措施</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种植乔木、灌木前采取穴状整地，撒草籽区域进行全面整地。</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植物措施</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施工结束后，尽快对临时占地采取恢复植被措施，在施工结束后，即刻采取乔、灌、草的植被恢复措施。</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二、施工期大气保护措施</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施工期对大气环境的影响主要来自土石方开挖、材料运输过程中产生的扬尘，机械设备、运输车辆产生的尾气。</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本项目施工过程中按照相关政策采取以下防治措施：</w:t>
            </w:r>
          </w:p>
          <w:p>
            <w:pPr>
              <w:pStyle w:val="78"/>
              <w:ind w:firstLine="482"/>
              <w:rPr>
                <w:rFonts w:hAnsi="Times New Roman" w:eastAsiaTheme="minorEastAsia"/>
                <w:b/>
                <w:color w:val="000000" w:themeColor="text1"/>
                <w14:textFill>
                  <w14:solidFill>
                    <w14:schemeClr w14:val="tx1"/>
                  </w14:solidFill>
                </w14:textFill>
              </w:rPr>
            </w:pPr>
            <w:r>
              <w:rPr>
                <w:rFonts w:hAnsi="Times New Roman" w:eastAsiaTheme="minorEastAsia"/>
                <w:b/>
                <w:color w:val="000000" w:themeColor="text1"/>
                <w14:textFill>
                  <w14:solidFill>
                    <w14:schemeClr w14:val="tx1"/>
                  </w14:solidFill>
                </w14:textFill>
              </w:rPr>
              <w:t>1、施工扬尘</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施工扬尘主要来自土方的挖掘扬尘；建筑材料（沙子、石子等）的现场搬运扬尘；施工垃圾的清理扬尘；人来车往造成的现场道路扬尘。</w:t>
            </w:r>
          </w:p>
          <w:p>
            <w:pPr>
              <w:pStyle w:val="78"/>
              <w:ind w:firstLine="480"/>
              <w:rPr>
                <w:rFonts w:hAnsi="Times New Roman" w:eastAsiaTheme="minorEastAsia"/>
                <w:color w:val="000000" w:themeColor="text1"/>
                <w:lang w:bidi="en-US"/>
                <w14:textFill>
                  <w14:solidFill>
                    <w14:schemeClr w14:val="tx1"/>
                  </w14:solidFill>
                </w14:textFill>
              </w:rPr>
            </w:pPr>
            <w:r>
              <w:rPr>
                <w:rFonts w:hAnsi="Times New Roman" w:eastAsiaTheme="minorEastAsia"/>
                <w:color w:val="000000" w:themeColor="text1"/>
                <w14:textFill>
                  <w14:solidFill>
                    <w14:schemeClr w14:val="tx1"/>
                  </w14:solidFill>
                </w14:textFill>
              </w:rPr>
              <w:t>根据</w:t>
            </w:r>
            <w:r>
              <w:rPr>
                <w:rFonts w:hAnsi="Times New Roman" w:eastAsiaTheme="minorEastAsia"/>
                <w:color w:val="000000" w:themeColor="text1"/>
                <w:lang w:bidi="en-US"/>
                <w14:textFill>
                  <w14:solidFill>
                    <w14:schemeClr w14:val="tx1"/>
                  </w14:solidFill>
                </w14:textFill>
              </w:rPr>
              <w:t>《大气污染防治行动计划》、《住房和城乡建设部办公厅关于进一步加强施工工地和道路扬尘管控工作的通知》（建办质(2019)23号）、《四川省大气污染防治行动计划实施细则》、《四川省重污染天气应急预案》（</w:t>
            </w:r>
            <w:r>
              <w:rPr>
                <w:rFonts w:hAnsi="Times New Roman" w:eastAsiaTheme="minorEastAsia"/>
                <w:bCs/>
                <w:color w:val="000000" w:themeColor="text1"/>
                <w:lang w:bidi="en-US"/>
                <w14:textFill>
                  <w14:solidFill>
                    <w14:schemeClr w14:val="tx1"/>
                  </w14:solidFill>
                </w14:textFill>
              </w:rPr>
              <w:t>川办发〔2024〕46号</w:t>
            </w:r>
            <w:r>
              <w:rPr>
                <w:rFonts w:hAnsi="Times New Roman" w:eastAsiaTheme="minorEastAsia"/>
                <w:color w:val="000000" w:themeColor="text1"/>
                <w:lang w:bidi="en-US"/>
                <w14:textFill>
                  <w14:solidFill>
                    <w14:schemeClr w14:val="tx1"/>
                  </w14:solidFill>
                </w14:textFill>
              </w:rPr>
              <w:t>）、《阿坝州大气环境突出问题专项整治行动方案》等要求，施工现场应采取以下扬尘污染防治措施：</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A、施工现场围挡</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①</w:t>
            </w:r>
            <w:r>
              <w:rPr>
                <w:rFonts w:eastAsiaTheme="minorEastAsia"/>
                <w:color w:val="000000" w:themeColor="text1"/>
                <w:kern w:val="0"/>
                <w:lang w:bidi="en-US"/>
                <w14:textFill>
                  <w14:solidFill>
                    <w14:schemeClr w14:val="tx1"/>
                  </w14:solidFill>
                </w14:textFill>
              </w:rPr>
              <w:t>施工现场架设1.8-2.5m高的围挡，封闭施工现场，采用密目安全网，以减少施工过程中的粉尘飞散现象，降低粉尘向大气中排放，设置喷雾降尘设备。</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②</w:t>
            </w:r>
            <w:r>
              <w:rPr>
                <w:rFonts w:eastAsiaTheme="minorEastAsia"/>
                <w:color w:val="000000" w:themeColor="text1"/>
                <w:kern w:val="0"/>
                <w:lang w:bidi="en-US"/>
                <w14:textFill>
                  <w14:solidFill>
                    <w14:schemeClr w14:val="tx1"/>
                  </w14:solidFill>
                </w14:textFill>
              </w:rPr>
              <w:t>施工单位文明施工，定期对地面洒水，并对撒落在路面的渣土及时清除，清理阶段做到先洒水后清扫，避免产生扬尘。</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③</w:t>
            </w:r>
            <w:r>
              <w:rPr>
                <w:rFonts w:eastAsiaTheme="minorEastAsia"/>
                <w:color w:val="000000" w:themeColor="text1"/>
                <w:kern w:val="0"/>
                <w:lang w:bidi="en-US"/>
                <w14:textFill>
                  <w14:solidFill>
                    <w14:schemeClr w14:val="tx1"/>
                  </w14:solidFill>
                </w14:textFill>
              </w:rPr>
              <w:t>自卸车、固废运输车等输出车辆不允许超载，选择对周围环境影响较小的运输路线，定时对运输路线进行清扫，运输车辆必须封闭，避免在运输过程中的抛洒现象；</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④</w:t>
            </w:r>
            <w:r>
              <w:rPr>
                <w:rFonts w:eastAsiaTheme="minorEastAsia"/>
                <w:color w:val="000000" w:themeColor="text1"/>
                <w:kern w:val="0"/>
                <w:lang w:bidi="en-US"/>
                <w14:textFill>
                  <w14:solidFill>
                    <w14:schemeClr w14:val="tx1"/>
                  </w14:solidFill>
                </w14:textFill>
              </w:rPr>
              <w:t>施工现场进行易产生扬尘的施工作业活动时，应采取喷淋、喷雾等湿法降尘措施。</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⑤</w:t>
            </w:r>
            <w:r>
              <w:rPr>
                <w:rFonts w:eastAsiaTheme="minorEastAsia"/>
                <w:color w:val="000000" w:themeColor="text1"/>
                <w:kern w:val="0"/>
                <w:lang w:bidi="en-US"/>
                <w14:textFill>
                  <w14:solidFill>
                    <w14:schemeClr w14:val="tx1"/>
                  </w14:solidFill>
                </w14:textFill>
              </w:rPr>
              <w:t>应在施工建设中做到规范管理，文明施工，全面督查建设工程现场管理；</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⑥</w:t>
            </w:r>
            <w:r>
              <w:rPr>
                <w:rFonts w:eastAsiaTheme="minorEastAsia"/>
                <w:color w:val="000000" w:themeColor="text1"/>
                <w:kern w:val="0"/>
                <w:lang w:bidi="en-US"/>
                <w14:textFill>
                  <w14:solidFill>
                    <w14:schemeClr w14:val="tx1"/>
                  </w14:solidFill>
                </w14:textFill>
              </w:rPr>
              <w:t>建设单位必须设置环境保护公示牌，并按照《中华人民共和国生态环境法典》相关规定，在施工现场工地公示扬尘污染防治措施、负责人、扬尘监督管理主管部门等信息。</w:t>
            </w:r>
          </w:p>
          <w:p>
            <w:pPr>
              <w:ind w:firstLine="480"/>
              <w:textAlignment w:val="baseline"/>
              <w:rPr>
                <w:rFonts w:eastAsiaTheme="minorEastAsia"/>
                <w:color w:val="000000" w:themeColor="text1"/>
                <w:kern w:val="0"/>
                <w:lang w:bidi="en-US"/>
                <w14:textFill>
                  <w14:solidFill>
                    <w14:schemeClr w14:val="tx1"/>
                  </w14:solidFill>
                </w14:textFill>
              </w:rPr>
            </w:pPr>
            <w:r>
              <w:rPr>
                <w:rFonts w:hint="eastAsia" w:ascii="宋体" w:hAnsi="宋体" w:cs="宋体"/>
                <w:color w:val="000000" w:themeColor="text1"/>
                <w:kern w:val="0"/>
                <w:lang w:bidi="en-US"/>
                <w14:textFill>
                  <w14:solidFill>
                    <w14:schemeClr w14:val="tx1"/>
                  </w14:solidFill>
                </w14:textFill>
              </w:rPr>
              <w:t>⑦</w:t>
            </w:r>
            <w:r>
              <w:rPr>
                <w:rFonts w:eastAsiaTheme="minorEastAsia"/>
                <w:color w:val="000000" w:themeColor="text1"/>
                <w:kern w:val="0"/>
                <w:lang w:bidi="en-US"/>
                <w14:textFill>
                  <w14:solidFill>
                    <w14:schemeClr w14:val="tx1"/>
                  </w14:solidFill>
                </w14:textFill>
              </w:rPr>
              <w:t>项目施工期间出现重污染天气时应当按照《四川省重污染天气应急预案》（</w:t>
            </w:r>
            <w:r>
              <w:rPr>
                <w:rFonts w:eastAsiaTheme="minorEastAsia"/>
                <w:bCs/>
                <w:color w:val="000000" w:themeColor="text1"/>
                <w:kern w:val="0"/>
                <w:lang w:bidi="en-US"/>
                <w14:textFill>
                  <w14:solidFill>
                    <w14:schemeClr w14:val="tx1"/>
                  </w14:solidFill>
                </w14:textFill>
              </w:rPr>
              <w:t>川办发〔2024〕46号</w:t>
            </w:r>
            <w:r>
              <w:rPr>
                <w:rFonts w:eastAsiaTheme="minorEastAsia"/>
                <w:color w:val="000000" w:themeColor="text1"/>
                <w:kern w:val="0"/>
                <w:lang w:bidi="en-US"/>
                <w14:textFill>
                  <w14:solidFill>
                    <w14:schemeClr w14:val="tx1"/>
                  </w14:solidFill>
                </w14:textFill>
              </w:rPr>
              <w:t>）要求做好重污染天气状况下，大气污染物的应急处置。</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B、洒水作业</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施工现场进行易产生扬尘的施工作业活动时，应采取喷淋、喷雾等湿法降尘措施，达到作业区目测扬尘高度小于1.5m，不扩散到场区外；结构施工、装饰装修阶段，作业区目测扬尘高度小于0.5m；非作业区达到目测无扬尘的要求；</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土方开挖时，应在基坑四周设置雾状固定喷淋装置，喷头水平间距不大于5m，设置于临时防护架上。对于基坑周边固定喷淋装置无法覆盖的中心区域和其他场平工程，应增设移动式雾炮。</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施工现场进行清理、钻孔、铣刨、拆除、切割、开挖、现场等作业时，应在密闭空间进行或采取洒水喷淋等湿法作业法进行施工，防止微尘、碎屑、纤维飘散。</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C、车辆密闭运输</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eastAsiaTheme="minorEastAsia"/>
                <w:color w:val="000000" w:themeColor="text1"/>
                <w14:textFill>
                  <w14:solidFill>
                    <w14:schemeClr w14:val="tx1"/>
                  </w14:solidFill>
                </w14:textFill>
              </w:rPr>
              <w:t>施工单位应当建立工程渣土（建筑垃圾）运输扬尘污染防治管理制度和相关措施，使用合规车辆，加强对渣土运输车辆、人员管理；</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rFonts w:eastAsiaTheme="minorEastAsia"/>
                <w:color w:val="000000" w:themeColor="text1"/>
                <w14:textFill>
                  <w14:solidFill>
                    <w14:schemeClr w14:val="tx1"/>
                  </w14:solidFill>
                </w14:textFill>
              </w:rPr>
              <w:t>施工现场渣土运输车辆必须采取覆盖措施，宜采用密闭式运输车辆，装载不得冒出车辆栏板，防止道路遗撒。</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eastAsiaTheme="minorEastAsia"/>
                <w:color w:val="000000" w:themeColor="text1"/>
                <w14:textFill>
                  <w14:solidFill>
                    <w14:schemeClr w14:val="tx1"/>
                  </w14:solidFill>
                </w14:textFill>
              </w:rPr>
              <w:t>建渣及渣土运输单位应安排专人对其运输车辆及运输沿线进行巡视，确保车辆按核准的线路、时间行驶，并运送到核准的处置地点，不得随意变更、随处倾倒。</w:t>
            </w:r>
          </w:p>
          <w:p>
            <w:pPr>
              <w:ind w:firstLine="480"/>
              <w:rPr>
                <w:rFonts w:eastAsiaTheme="minorEastAsia"/>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rFonts w:eastAsiaTheme="minorEastAsia"/>
                <w:color w:val="000000" w:themeColor="text1"/>
                <w14:textFill>
                  <w14:solidFill>
                    <w14:schemeClr w14:val="tx1"/>
                  </w14:solidFill>
                </w14:textFill>
              </w:rPr>
              <w:t>施工道路作为社会道路通行机动车的，施工单位应每天派专人进行清扫，随时洒水降尘。</w:t>
            </w:r>
          </w:p>
          <w:p>
            <w:pPr>
              <w:pStyle w:val="47"/>
              <w:spacing w:line="360" w:lineRule="auto"/>
              <w:ind w:firstLine="481" w:firstLineChars="200"/>
              <w:jc w:val="both"/>
              <w:rPr>
                <w:rFonts w:ascii="Times New Roman" w:hAnsi="Times New Roman" w:eastAsiaTheme="minorEastAsia"/>
                <w:b/>
                <w:color w:val="000000" w:themeColor="text1"/>
                <w14:textFill>
                  <w14:solidFill>
                    <w14:schemeClr w14:val="tx1"/>
                  </w14:solidFill>
                </w14:textFill>
              </w:rPr>
            </w:pPr>
            <w:r>
              <w:rPr>
                <w:rFonts w:ascii="Times New Roman" w:hAnsi="Times New Roman" w:eastAsiaTheme="minorEastAsia"/>
                <w:b/>
                <w:bCs/>
                <w:color w:val="000000" w:themeColor="text1"/>
                <w14:textFill>
                  <w14:solidFill>
                    <w14:schemeClr w14:val="tx1"/>
                  </w14:solidFill>
                </w14:textFill>
              </w:rPr>
              <w:t>2、车辆运输扬尘处置措施</w:t>
            </w:r>
          </w:p>
          <w:p>
            <w:pPr>
              <w:pStyle w:val="47"/>
              <w:spacing w:line="360" w:lineRule="auto"/>
              <w:ind w:firstLine="480" w:firstLineChars="200"/>
              <w:jc w:val="both"/>
              <w:rPr>
                <w:rFonts w:ascii="Times New Roman" w:hAnsi="Times New Roman" w:eastAsiaTheme="minorEastAsia"/>
                <w:bCs/>
                <w:color w:val="000000" w:themeColor="text1"/>
                <w14:textFill>
                  <w14:solidFill>
                    <w14:schemeClr w14:val="tx1"/>
                  </w14:solidFill>
                </w14:textFill>
              </w:rPr>
            </w:pPr>
            <w:r>
              <w:rPr>
                <w:rFonts w:ascii="Times New Roman" w:hAnsi="Times New Roman" w:eastAsiaTheme="minorEastAsia"/>
                <w:bCs/>
                <w:color w:val="000000" w:themeColor="text1"/>
                <w14:textFill>
                  <w14:solidFill>
                    <w14:schemeClr w14:val="tx1"/>
                  </w14:solidFill>
                </w14:textFill>
              </w:rPr>
              <w:t>车辆运输扬尘主要来自公路路面尘土和道路的损坏，只要有效地控制来源，就可以减少扬尘。加强道路管理和维护，经常清扫，无雨日的早、中、晚洒水；配备公路养护、维修、清扫队伍，使道路处于良好的运用状态。</w:t>
            </w:r>
          </w:p>
          <w:p>
            <w:pPr>
              <w:pStyle w:val="47"/>
              <w:spacing w:line="360" w:lineRule="auto"/>
              <w:ind w:firstLine="480" w:firstLineChars="200"/>
              <w:jc w:val="both"/>
              <w:rPr>
                <w:rFonts w:ascii="Times New Roman" w:hAnsi="Times New Roman" w:eastAsiaTheme="minorEastAsia"/>
                <w:bCs/>
                <w:color w:val="000000" w:themeColor="text1"/>
                <w14:textFill>
                  <w14:solidFill>
                    <w14:schemeClr w14:val="tx1"/>
                  </w14:solidFill>
                </w14:textFill>
              </w:rPr>
            </w:pPr>
            <w:r>
              <w:rPr>
                <w:rFonts w:ascii="Times New Roman" w:hAnsi="Times New Roman" w:eastAsiaTheme="minorEastAsia"/>
                <w:bCs/>
                <w:color w:val="000000" w:themeColor="text1"/>
                <w14:textFill>
                  <w14:solidFill>
                    <w14:schemeClr w14:val="tx1"/>
                  </w14:solidFill>
                </w14:textFill>
              </w:rPr>
              <w:t>在物资运输过程中注意防止空气污染。装载多尘物料时，应对物料适当加湿或用帆布覆盖，运送散装材料的车辆应保持密封状态，避免运输过程产生的扬尘。</w:t>
            </w:r>
          </w:p>
          <w:p>
            <w:pPr>
              <w:pStyle w:val="47"/>
              <w:spacing w:line="360" w:lineRule="auto"/>
              <w:ind w:firstLine="480" w:firstLineChars="200"/>
              <w:jc w:val="both"/>
              <w:rPr>
                <w:rFonts w:ascii="Times New Roman" w:hAnsi="Times New Roman" w:eastAsiaTheme="minorEastAsia"/>
                <w:bCs/>
                <w:color w:val="000000" w:themeColor="text1"/>
                <w14:textFill>
                  <w14:solidFill>
                    <w14:schemeClr w14:val="tx1"/>
                  </w14:solidFill>
                </w14:textFill>
              </w:rPr>
            </w:pPr>
            <w:r>
              <w:rPr>
                <w:rFonts w:ascii="Times New Roman" w:hAnsi="Times New Roman" w:eastAsiaTheme="minorEastAsia"/>
                <w:bCs/>
                <w:color w:val="000000" w:themeColor="text1"/>
                <w14:textFill>
                  <w14:solidFill>
                    <w14:schemeClr w14:val="tx1"/>
                  </w14:solidFill>
                </w14:textFill>
              </w:rPr>
              <w:t>在施工临时道路运输施工材料时控制汽车运行速度，在靠近村屯及居民点、临时办公生活区行驶的车辆，减速行驶。</w:t>
            </w:r>
          </w:p>
          <w:p>
            <w:pPr>
              <w:pStyle w:val="47"/>
              <w:spacing w:line="360" w:lineRule="auto"/>
              <w:ind w:firstLine="481" w:firstLineChars="200"/>
              <w:jc w:val="both"/>
              <w:rPr>
                <w:rFonts w:ascii="Times New Roman" w:hAnsi="Times New Roman" w:eastAsiaTheme="minorEastAsia"/>
                <w:b/>
                <w:color w:val="000000" w:themeColor="text1"/>
                <w14:textFill>
                  <w14:solidFill>
                    <w14:schemeClr w14:val="tx1"/>
                  </w14:solidFill>
                </w14:textFill>
              </w:rPr>
            </w:pPr>
            <w:r>
              <w:rPr>
                <w:rFonts w:ascii="Times New Roman" w:hAnsi="Times New Roman" w:eastAsiaTheme="minorEastAsia"/>
                <w:b/>
                <w:color w:val="000000" w:themeColor="text1"/>
                <w14:textFill>
                  <w14:solidFill>
                    <w14:schemeClr w14:val="tx1"/>
                  </w14:solidFill>
                </w14:textFill>
              </w:rPr>
              <w:t>3、施工燃油废气处置措施</w:t>
            </w:r>
          </w:p>
          <w:p>
            <w:pPr>
              <w:pStyle w:val="47"/>
              <w:spacing w:line="360" w:lineRule="auto"/>
              <w:ind w:firstLine="480" w:firstLineChars="200"/>
              <w:jc w:val="both"/>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施工机械及运输车辆定期检修与保养，及时清洗、维修，确保施工机械及运输车辆始终处于良好的工作状态，减少有害气体排放量，确保施工机械废气排放符合环保要求。加强大型施工机械和车辆的管理，执行定期检查维护制度。</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综上，本项目施工期大气污染物均得到有效控制，对区域大气环境影响可接受。</w:t>
            </w:r>
          </w:p>
          <w:p>
            <w:pPr>
              <w:ind w:firstLine="480"/>
              <w:rPr>
                <w:rFonts w:eastAsiaTheme="minorEastAsia"/>
                <w:b/>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三、</w:t>
            </w:r>
            <w:r>
              <w:rPr>
                <w:rFonts w:eastAsiaTheme="minorEastAsia"/>
                <w:b/>
                <w:color w:val="000000" w:themeColor="text1"/>
                <w14:textFill>
                  <w14:solidFill>
                    <w14:schemeClr w14:val="tx1"/>
                  </w14:solidFill>
                </w14:textFill>
              </w:rPr>
              <w:t>施工期地表水保护措施</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1、生活污水</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项目不设施工生活营地，施工期间工人租用当地民房作为施工营地，生活污水利用租用民房化粪池处置后用于农肥，对环境影响较小。</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2、基坑排水</w:t>
            </w:r>
          </w:p>
          <w:p>
            <w:pPr>
              <w:ind w:firstLine="480"/>
              <w:rPr>
                <w:rFonts w:eastAsiaTheme="minorEastAsia"/>
                <w:color w:val="000000" w:themeColor="text1"/>
                <w14:textFill>
                  <w14:solidFill>
                    <w14:schemeClr w14:val="tx1"/>
                  </w14:solidFill>
                </w14:textFill>
              </w:rPr>
            </w:pPr>
            <w:r>
              <w:rPr>
                <w:rFonts w:eastAsiaTheme="minorEastAsia"/>
                <w:color w:val="000000" w:themeColor="text1"/>
                <w:kern w:val="0"/>
                <w:lang w:bidi="ar"/>
                <w14:textFill>
                  <w14:solidFill>
                    <w14:schemeClr w14:val="tx1"/>
                  </w14:solidFill>
                </w14:textFill>
              </w:rPr>
              <w:t>本项目围堰施工时安排在枯水期进行，采用编织袋装土石填筑围堰，在填筑过程中对河底泥沙的扰动影响不大。施工过程中产生的基坑排水一般为施工期开挖面废水及降雨等造成的基坑积水等，属间断性排放。针对基坑排水，施工作业区辅助抽水施工，围堰后形成的基坑水主要含SS，类比同类工程，基坑排水产生量，</w:t>
            </w:r>
            <w:r>
              <w:rPr>
                <w:rFonts w:eastAsiaTheme="minorEastAsia"/>
                <w:color w:val="000000" w:themeColor="text1"/>
                <w:spacing w:val="-3"/>
                <w14:textFill>
                  <w14:solidFill>
                    <w14:schemeClr w14:val="tx1"/>
                  </w14:solidFill>
                </w14:textFill>
              </w:rPr>
              <w:t>排水中SS浓度约1500~2500mg/L</w:t>
            </w:r>
            <w:r>
              <w:rPr>
                <w:rFonts w:eastAsiaTheme="minorEastAsia"/>
                <w:color w:val="000000" w:themeColor="text1"/>
                <w:kern w:val="0"/>
                <w:lang w:bidi="ar"/>
                <w14:textFill>
                  <w14:solidFill>
                    <w14:schemeClr w14:val="tx1"/>
                  </w14:solidFill>
                </w14:textFill>
              </w:rPr>
              <w:t>。施工过程中基坑排水在基坑内经简单沉淀后排入地表水体，对地表水环境影响较小</w:t>
            </w:r>
            <w:r>
              <w:rPr>
                <w:rFonts w:eastAsiaTheme="minorEastAsia"/>
                <w:color w:val="000000" w:themeColor="text1"/>
                <w14:textFill>
                  <w14:solidFill>
                    <w14:schemeClr w14:val="tx1"/>
                  </w14:solidFill>
                </w14:textFill>
              </w:rPr>
              <w:t>。</w:t>
            </w:r>
          </w:p>
          <w:p>
            <w:pPr>
              <w:pStyle w:val="13"/>
              <w:ind w:firstLine="480"/>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综上，本项目施工期废水均不外排，通过采取上述防治措施后对区域地表水环境影响可接受。</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四、施工期噪声防治措施</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为了减轻施工期对周围环境的影响，施工单位应严格遵守《中华人民共和国生态环境法典》中关于建筑施工噪声污染防治的有关规定和《建筑施工噪声排放标准》（GB12523-2025）的要求，合理安排施工计划并采取较严格的施工管理措施，应做到：</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（1）施工单位要在施工准备时有施工组织设计，施工现场要制定环境保护措施，使各项作业有组织、有计划地进行，尽可能避免高噪声设备同时运作。</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选用效率高、噪声低的机械，禁止噪声超标的机械进场；对各种产生噪声和振动的机械设备应当采取消声防振措施，使其噪声和振动符合有关标准，并注意对机械的维护保养和正确操作，保证在良好的条件下使用，减少运行噪声。</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（3）合理安排施工时间，应尽可能避免大量高噪声设备同时施工，除此之外，严禁夜间施工。</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（4）应实现施工区封闭化、围挡标准化，减少对周围环境的污染和影响。高噪声机械在居民区较近的区域施工时，可用围挡板与居民区隔离，阻隔噪声传播。</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（5）加强施工机械的维护管理工作，使设备正常平稳运转，避免设备非正常工况产生的高噪声污染。</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（6）施工单位应处理好与施工场界周围群众的关系，避免因噪声污染引发纠纷。</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五、施工期固废处置措施</w:t>
            </w:r>
          </w:p>
          <w:p>
            <w:pPr>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工程施工过程中产生的固体废弃物主要来自于项目施工开挖的土石方，施工人员产生的生活垃圾以及建筑垃圾。</w:t>
            </w:r>
          </w:p>
          <w:p>
            <w:pPr>
              <w:pStyle w:val="68"/>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土石方：</w:t>
            </w:r>
            <w:bookmarkStart w:id="49" w:name="OLE_LINK17"/>
            <w:bookmarkStart w:id="50" w:name="OLE_LINK18"/>
            <w:r>
              <w:rPr>
                <w:rFonts w:eastAsiaTheme="minorEastAsia"/>
                <w:color w:val="000000" w:themeColor="text1"/>
                <w14:textFill>
                  <w14:solidFill>
                    <w14:schemeClr w14:val="tx1"/>
                  </w14:solidFill>
                </w14:textFill>
              </w:rPr>
              <w:t>本工程土石方挖方总量约0.57万m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（自然方、下同），填方总量0.48万m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。经土方平衡分析，余方0.09万m</w:t>
            </w:r>
            <w:r>
              <w:rPr>
                <w:rFonts w:eastAsiaTheme="minorEastAsia"/>
                <w:color w:val="000000" w:themeColor="text1"/>
                <w:vertAlign w:val="superscript"/>
                <w14:textFill>
                  <w14:solidFill>
                    <w14:schemeClr w14:val="tx1"/>
                  </w14:solidFill>
                </w14:textFill>
              </w:rPr>
              <w:t>3</w:t>
            </w:r>
            <w:r>
              <w:rPr>
                <w:rFonts w:eastAsiaTheme="minorEastAsia"/>
                <w:color w:val="000000" w:themeColor="text1"/>
                <w14:textFill>
                  <w14:solidFill>
                    <w14:schemeClr w14:val="tx1"/>
                  </w14:solidFill>
                </w14:textFill>
              </w:rPr>
              <w:t>，用于堤后回填，工程无弃方。</w:t>
            </w:r>
          </w:p>
          <w:bookmarkEnd w:id="49"/>
          <w:bookmarkEnd w:id="50"/>
          <w:p>
            <w:pPr>
              <w:ind w:firstLine="482"/>
              <w:rPr>
                <w:rFonts w:eastAsiaTheme="minorEastAsia"/>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生活垃圾：</w:t>
            </w:r>
            <w:r>
              <w:rPr>
                <w:rFonts w:eastAsiaTheme="minorEastAsia"/>
                <w:color w:val="000000" w:themeColor="text1"/>
                <w14:textFill>
                  <w14:solidFill>
                    <w14:schemeClr w14:val="tx1"/>
                  </w14:solidFill>
                </w14:textFill>
              </w:rPr>
              <w:t>袋装收集后，交由环卫部门清运处置。严禁乱丢乱弃，严禁进入地表水体。</w:t>
            </w:r>
          </w:p>
          <w:p>
            <w:pPr>
              <w:widowControl/>
              <w:ind w:firstLine="482"/>
              <w:rPr>
                <w:rFonts w:eastAsiaTheme="minorEastAsia"/>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建筑垃圾：</w:t>
            </w:r>
            <w:r>
              <w:rPr>
                <w:rFonts w:eastAsiaTheme="minorEastAsia"/>
                <w:color w:val="000000" w:themeColor="text1"/>
                <w14:textFill>
                  <w14:solidFill>
                    <w14:schemeClr w14:val="tx1"/>
                  </w14:solidFill>
                </w14:textFill>
              </w:rPr>
              <w:t>建筑废弃材料可回收利用的外卖废物收购站处理；其他不可回收利用的及时运至政府指定的建筑垃圾堆放场。</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14:textFill>
                  <w14:solidFill>
                    <w14:schemeClr w14:val="tx1"/>
                  </w14:solidFill>
                </w14:textFill>
              </w:rPr>
              <w:t>在采取上述措施后，项目施工固废对环境的影响将减至最低。项目施工期产生的固体废弃物均</w:t>
            </w:r>
            <w:r>
              <w:rPr>
                <w:rFonts w:eastAsiaTheme="minorEastAsia"/>
                <w:bCs/>
                <w:color w:val="000000" w:themeColor="text1"/>
                <w:kern w:val="0"/>
                <w14:textFill>
                  <w14:solidFill>
                    <w14:schemeClr w14:val="tx1"/>
                  </w14:solidFill>
                </w14:textFill>
              </w:rPr>
              <w:t>得到妥善处置、</w:t>
            </w:r>
            <w:r>
              <w:rPr>
                <w:rFonts w:eastAsiaTheme="minorEastAsia"/>
                <w:bCs/>
                <w:color w:val="000000" w:themeColor="text1"/>
                <w14:textFill>
                  <w14:solidFill>
                    <w14:schemeClr w14:val="tx1"/>
                  </w14:solidFill>
                </w14:textFill>
              </w:rPr>
              <w:t>去向明确，处置合理</w:t>
            </w:r>
            <w:r>
              <w:rPr>
                <w:rFonts w:eastAsiaTheme="minorEastAsia"/>
                <w:bCs/>
                <w:color w:val="000000" w:themeColor="text1"/>
                <w:kern w:val="0"/>
                <w14:textFill>
                  <w14:solidFill>
                    <w14:schemeClr w14:val="tx1"/>
                  </w14:solidFill>
                </w14:textFill>
              </w:rPr>
              <w:t>，固废对环境影响较小。</w:t>
            </w:r>
          </w:p>
          <w:p>
            <w:pPr>
              <w:widowControl/>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六、对达古冰山—卡龙沟风景名胜区保护措施</w:t>
            </w:r>
          </w:p>
          <w:p>
            <w:pPr>
              <w:widowControl/>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1、对风景资源不利影响消减措施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本项目位于达古冰山-卡龙沟风景名胜区三级保护区。主要涉及卡龙沟片区，位于风景名胜区内的项目位于才盖藏居一处人文景点。</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通过加强管理，并严格控制施工范围，设置生态型施工围挡，缩短施工工期，且不在旅游旺季施工，减少施工机械使用时间，选用低噪声设备，以减少此类影响；栏杆采用砼仿木栏杆，与周边环境相协调，围挡绘制文化宣传画缓解不匹配问题，规范物料堆放减少杂乱，对游客视觉和游览心情冲击短期且局部；精心打造的绿化景观适应本地条件，融入人文元素，强化了融合并提升文化内涵与审美价值，与周边环境相协调，与周边环境相适应。</w:t>
            </w:r>
          </w:p>
          <w:p>
            <w:pPr>
              <w:widowControl/>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2、对风景游赏不利影响消减措施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游览线路方面，精准划定施工范围，减少对村道和游步道占用；避开旅游旺季与高峰时段施工；开辟临时路线，用醒目标识引导游客，在关键节点安排人员指引；在临时线路起止点安排免费接驳车，为特殊游客提供协助。</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景观视觉方面，围挡施工区，及时清理垃圾，对裸露区域覆盖或绿化。集中有序摆放材料设备，选隐蔽位置，分类标识存放；优先选用环保施工方式与材料。</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游客安全方面，施工区周边设警示标识、围栏和防护棚。安排专人巡逻，利用监控实时查看，及时处理隐患。在景区多处展示安全宣传内容，通过广播等提醒游客。</w:t>
            </w:r>
          </w:p>
          <w:p>
            <w:pPr>
              <w:widowControl/>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3、对生态环境不利影响消减措施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本工程通过优化施工方案，加强管理，采用低扰动技术，减少对地表植被的破坏；施工期对开挖土石方进行规范堆放和及时转运，禁止在保护区内堆放渣土、设置施工场地，避免随意弃渣侵占生态空间。生活污水依托当地村民化粪池处理后用作农肥，防止污染水体。选用低噪音设备并合理安排施工时间，降低噪声对野生动物的干扰。项目结束后，及时开展生态修复，通过植被补种、土壤改良等措施，恢复受损生态系统，最大程度消减对生态环境的不利影响。</w:t>
            </w:r>
          </w:p>
          <w:p>
            <w:pPr>
              <w:widowControl/>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4、对重点保护野生动植物不利影响消减措施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（1）重点保护野生植物保护措施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1）严格按照用地文件确定征占土地范围，避免不必要的土地、林地占用或超出占用范围的采伐破坏而影响重点保护野生植物资源。</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2）施工期间应严格按照《中华人民共和国森林法》《四川省天然林保护条例》等相关法律法规施工，加大宣传力度，强化施工队伍生态、环境保护意识。</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3）若在施工过程中发现疑似有国家重点保护植物，要立即报告风景名胜区管理局，立即组织鉴别，采取相应措施。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4）严格按照工程设计的作业区进行施工。在分段施工过程中，严禁施工人员和机械设备超出施工区域对工地周边的植被、植物物种造成破坏，禁止施工人员进入非施工区域，加强施工人员的环境教育工作，保证在施工期间尽量减少对植被的破坏。</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5）定期对施工路面区洒水除尘，运渣运输车辆用篷布遮挡后运输，在施工区域周边设置喷雾除尘装置，减少扬尘飘落到周边植物上影响植物生长。</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6）加强防火宣传教育，建立严格的森林防火管理制度，做好施工人员用火管理，施工作业时严禁一切野外用火，防止森林火灾发生，避免对野生植物资源的破坏。</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7）施工结束后，对临时占地及时进行植被恢复，堤后回填区按“灌、草相结合”的原则，选择当地的植物进行植被恢复，使本区域生态环境得以逐渐恢复和改善。</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8）加强植物检疫工作，做好相关人员的入境检查工作，严禁相关人员将外来物种带入风景名胜区饲养或种植，严禁在风景名胜区内及周边地区开展外来物种的野外放生活动，防止外来病虫害危害风景名胜区植物资源和栖息地环境。</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（2）野生动物保护措施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1）定期对施工人员进行重点保护野生动物保护宣传，提高施工人员重点保护野生动物保护意识。在施工区树立重点保护野生动物保护宣传牌，大力宣传《中华人民共和国野生动物保护法》等相关法律法规，禁止施工人员进入景区非法捕猎重点保护野生动物。</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2）做好施工地区及周边施工材料的使用、存放和废料回收工作。</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3）严禁向流域水体内倾倒污水、垃圾，严禁采取将弃土（石）方直接推倒入河道内等野蛮施工行为，保护高原林蛙生境；严禁入河捕捞等行为发生。</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4）要加强对堤防工程环境污染和生态风险的预防和控制，降低风险事故发生对景区内重点保护野生动物栖息地的风险因子。</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5）施工期间，尽量选用低噪音或备有消声降噪设备的施工机械，减少噪声污染对重点保护野生动物的觅食活动的影响。</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6）施工结束后，及时对破坏区域进行生态修复。按照原有的植被类型和群落结构，补种乡土植物，恢复植被覆盖，为野生动物提供食物和栖息场所。造成的水体破坏，进行水体净化和生态修复，恢复水生生物栖息地，保障鱼类、两栖类动物生存环境。</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7）项目巡查人员禁止非法捕猎、盗伐等破坏野生动物生存环境的行为发生。</w:t>
            </w:r>
          </w:p>
          <w:p>
            <w:pPr>
              <w:widowControl/>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七、施工期临时工程污染防治及生态恢复措施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（1）导流围堰施工污染防治措施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导流围堰施工过程中的污染主要来自于修筑时和拆除时带来的水体扰动以及围堰导流过程中水流冲刷可能导致的水体浑浊，为保护下游地表水环境，本环评提出以下污染防治和迹地恢复措施：</w:t>
            </w:r>
          </w:p>
          <w:p>
            <w:pPr>
              <w:widowControl/>
              <w:ind w:firstLine="480"/>
              <w:rPr>
                <w:rFonts w:eastAsiaTheme="minorEastAsia"/>
                <w:bCs/>
                <w:color w:val="000000" w:themeColor="text1"/>
                <w:kern w:val="0"/>
                <w14:textFill>
                  <w14:solidFill>
                    <w14:schemeClr w14:val="tx1"/>
                  </w14:solidFill>
                </w14:textFill>
              </w:rPr>
            </w:pPr>
            <w:r>
              <w:rPr>
                <w:rFonts w:hint="eastAsia" w:ascii="宋体" w:hAnsi="宋体" w:cs="宋体"/>
                <w:bCs/>
                <w:color w:val="000000" w:themeColor="text1"/>
                <w:kern w:val="0"/>
                <w14:textFill>
                  <w14:solidFill>
                    <w14:schemeClr w14:val="tx1"/>
                  </w14:solidFill>
                </w14:textFill>
              </w:rPr>
              <w:t>①</w:t>
            </w:r>
            <w:r>
              <w:rPr>
                <w:rFonts w:eastAsiaTheme="minorEastAsia"/>
                <w:bCs/>
                <w:color w:val="000000" w:themeColor="text1"/>
                <w:kern w:val="0"/>
                <w14:textFill>
                  <w14:solidFill>
                    <w14:schemeClr w14:val="tx1"/>
                  </w14:solidFill>
                </w14:textFill>
              </w:rPr>
              <w:t>导流围堰迎水面设置防渗土工布和袋装土防渗体，防止因沟壁崩塌而造成的地表水浑浊；</w:t>
            </w:r>
          </w:p>
          <w:p>
            <w:pPr>
              <w:widowControl/>
              <w:ind w:firstLine="480"/>
              <w:rPr>
                <w:rFonts w:eastAsiaTheme="minorEastAsia"/>
                <w:bCs/>
                <w:color w:val="000000" w:themeColor="text1"/>
                <w:kern w:val="0"/>
                <w14:textFill>
                  <w14:solidFill>
                    <w14:schemeClr w14:val="tx1"/>
                  </w14:solidFill>
                </w14:textFill>
              </w:rPr>
            </w:pPr>
            <w:r>
              <w:rPr>
                <w:rFonts w:hint="eastAsia" w:ascii="宋体" w:hAnsi="宋体" w:cs="宋体"/>
                <w:bCs/>
                <w:color w:val="000000" w:themeColor="text1"/>
                <w:kern w:val="0"/>
                <w14:textFill>
                  <w14:solidFill>
                    <w14:schemeClr w14:val="tx1"/>
                  </w14:solidFill>
                </w14:textFill>
              </w:rPr>
              <w:t>②</w:t>
            </w:r>
            <w:r>
              <w:rPr>
                <w:rFonts w:eastAsiaTheme="minorEastAsia"/>
                <w:bCs/>
                <w:color w:val="000000" w:themeColor="text1"/>
                <w:kern w:val="0"/>
                <w14:textFill>
                  <w14:solidFill>
                    <w14:schemeClr w14:val="tx1"/>
                  </w14:solidFill>
                </w14:textFill>
              </w:rPr>
              <w:t>采用后退法进行拆除，且同时拆除的点位不超过2个，降低叠加影响。</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八、环境风险防治措施</w:t>
            </w:r>
          </w:p>
          <w:p>
            <w:pPr>
              <w:ind w:firstLine="482"/>
              <w:rPr>
                <w:rFonts w:eastAsiaTheme="minorEastAsia"/>
                <w:b/>
                <w:color w:val="000000" w:themeColor="text1"/>
                <w14:textFill>
                  <w14:solidFill>
                    <w14:schemeClr w14:val="tx1"/>
                  </w14:solidFill>
                </w14:textFill>
              </w:rPr>
            </w:pPr>
            <w:r>
              <w:rPr>
                <w:rFonts w:eastAsiaTheme="minorEastAsia"/>
                <w:b/>
                <w:color w:val="000000" w:themeColor="text1"/>
                <w14:textFill>
                  <w14:solidFill>
                    <w14:schemeClr w14:val="tx1"/>
                  </w14:solidFill>
                </w14:textFill>
              </w:rPr>
              <w:t>1、风险调查</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根据工程施工特点、周围环境特点以及工程与周围环境之间的关系分析施工期的环境风险，风险主要体现在：废水外排引起水质污染。</w:t>
            </w:r>
          </w:p>
          <w:p>
            <w:pPr>
              <w:widowControl/>
              <w:ind w:firstLine="482"/>
              <w:jc w:val="left"/>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2、环境风险因子识别</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本项目为生态类建设项目，其运行期基本无“三废”排放，相应环境风险主要为施工期外源风险，本工程的施工主要是增加风险发生概率或加剧风险危害。根据本工程施工特点、周围环境特点以及工程与周围环境之间的关系，本工程的建设中具有潜在风险的类型有：</w:t>
            </w:r>
          </w:p>
          <w:p>
            <w:pPr>
              <w:widowControl/>
              <w:ind w:firstLine="480"/>
              <w:rPr>
                <w:rFonts w:eastAsiaTheme="minorEastAsia"/>
                <w:bCs/>
                <w:color w:val="000000" w:themeColor="text1"/>
                <w:kern w:val="0"/>
                <w14:textFill>
                  <w14:solidFill>
                    <w14:schemeClr w14:val="tx1"/>
                  </w14:solidFill>
                </w14:textFill>
              </w:rPr>
            </w:pPr>
            <w:r>
              <w:rPr>
                <w:rFonts w:hint="eastAsia" w:ascii="宋体" w:hAnsi="宋体" w:cs="宋体"/>
                <w:bCs/>
                <w:color w:val="000000" w:themeColor="text1"/>
                <w:kern w:val="0"/>
                <w14:textFill>
                  <w14:solidFill>
                    <w14:schemeClr w14:val="tx1"/>
                  </w14:solidFill>
                </w14:textFill>
              </w:rPr>
              <w:t>①</w:t>
            </w:r>
            <w:r>
              <w:rPr>
                <w:rFonts w:eastAsiaTheme="minorEastAsia"/>
                <w:bCs/>
                <w:color w:val="000000" w:themeColor="text1"/>
                <w:kern w:val="0"/>
                <w14:textFill>
                  <w14:solidFill>
                    <w14:schemeClr w14:val="tx1"/>
                  </w14:solidFill>
                </w14:textFill>
              </w:rPr>
              <w:t>工程施工对河流水质的影响；</w:t>
            </w:r>
          </w:p>
          <w:p>
            <w:pPr>
              <w:widowControl/>
              <w:ind w:firstLine="480"/>
              <w:rPr>
                <w:rFonts w:eastAsiaTheme="minorEastAsia"/>
                <w:bCs/>
                <w:color w:val="000000" w:themeColor="text1"/>
                <w:kern w:val="0"/>
                <w14:textFill>
                  <w14:solidFill>
                    <w14:schemeClr w14:val="tx1"/>
                  </w14:solidFill>
                </w14:textFill>
              </w:rPr>
            </w:pPr>
            <w:r>
              <w:rPr>
                <w:rFonts w:hint="eastAsia" w:ascii="宋体" w:hAnsi="宋体" w:cs="宋体"/>
                <w:bCs/>
                <w:color w:val="000000" w:themeColor="text1"/>
                <w:kern w:val="0"/>
                <w14:textFill>
                  <w14:solidFill>
                    <w14:schemeClr w14:val="tx1"/>
                  </w14:solidFill>
                </w14:textFill>
              </w:rPr>
              <w:t>②</w:t>
            </w:r>
            <w:r>
              <w:rPr>
                <w:rFonts w:eastAsiaTheme="minorEastAsia"/>
                <w:bCs/>
                <w:color w:val="000000" w:themeColor="text1"/>
                <w:kern w:val="0"/>
                <w14:textFill>
                  <w14:solidFill>
                    <w14:schemeClr w14:val="tx1"/>
                  </w14:solidFill>
                </w14:textFill>
              </w:rPr>
              <w:t>施工机械油料泄漏影响河流水质。</w:t>
            </w:r>
          </w:p>
          <w:p>
            <w:pPr>
              <w:widowControl/>
              <w:ind w:firstLine="482"/>
              <w:jc w:val="left"/>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3、源项分析及风险因素</w:t>
            </w:r>
          </w:p>
          <w:p>
            <w:pPr>
              <w:widowControl/>
              <w:ind w:firstLine="480"/>
              <w:jc w:val="left"/>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根据各事件和事故的特性和产生方式、造成危害的途径、危害的后果与严重性分别对各风险进行分析，其结果见下表。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表5-1 工程环境风险危害特性分析表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946"/>
              <w:gridCol w:w="3562"/>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59"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风险类型</w:t>
                  </w:r>
                </w:p>
              </w:tc>
              <w:tc>
                <w:tcPr>
                  <w:tcW w:w="629"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子项</w:t>
                  </w:r>
                </w:p>
              </w:tc>
              <w:tc>
                <w:tcPr>
                  <w:tcW w:w="2369"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产生方式和危害途径</w:t>
                  </w:r>
                </w:p>
              </w:tc>
              <w:tc>
                <w:tcPr>
                  <w:tcW w:w="1241" w:type="pct"/>
                  <w:vAlign w:val="center"/>
                </w:tcPr>
                <w:p>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后果与严重性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75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水环境</w:t>
                  </w:r>
                </w:p>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风险</w:t>
                  </w:r>
                </w:p>
              </w:tc>
              <w:tc>
                <w:tcPr>
                  <w:tcW w:w="62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水质</w:t>
                  </w:r>
                </w:p>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恶化</w:t>
                  </w:r>
                </w:p>
              </w:tc>
              <w:tc>
                <w:tcPr>
                  <w:tcW w:w="236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固废、生活垃圾等排入地表径流</w:t>
                  </w:r>
                </w:p>
              </w:tc>
              <w:tc>
                <w:tcPr>
                  <w:tcW w:w="1241"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水质恶化影响水环境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75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水环境风险</w:t>
                  </w:r>
                </w:p>
              </w:tc>
              <w:tc>
                <w:tcPr>
                  <w:tcW w:w="62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水质</w:t>
                  </w:r>
                </w:p>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恶化</w:t>
                  </w:r>
                </w:p>
              </w:tc>
              <w:tc>
                <w:tcPr>
                  <w:tcW w:w="2369"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施工机械油料泄漏影响水质</w:t>
                  </w:r>
                </w:p>
              </w:tc>
              <w:tc>
                <w:tcPr>
                  <w:tcW w:w="1241" w:type="pct"/>
                  <w:vAlign w:val="center"/>
                </w:tcPr>
                <w:p>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水质恶化影响水环境</w:t>
                  </w:r>
                </w:p>
              </w:tc>
            </w:tr>
          </w:tbl>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施工期若不注意严格采取水环境保护措施，含油废水以及建筑垃圾等随意排入河流，施工机械油料泄漏进入河流，均会造成河流水质的恶化，从而对河流水质及水生生物等产生影响。</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（1）对河流水质的影响</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由于油品密度较小，又不溶于水，因此油品泄漏后油膜将漂浮在水面，并在水流及风的联合作用下输移和扩散，给地表水环境带来不利影响。同时由于油品阻碍水气交换，阻碍阳光照射入水体，抑制水中浮游植物的光合作用，致使水中溶解氧逐渐减少，而其他有毒、有害等危险品泄漏进入水体后，则可能造成水体毒性增大，水质恶化。</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（2）对水生生物的影响</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若溢油量较大油膜分布区内的浮游生物将遭受较大的破坏，而油膜外围混合区范围内的浮游生物群体也将受到一定程度影响。从时间上看，夏季发生溢油对浮游生物的破坏大于冬季。同时发生溢油泄漏事故时，会对底栖生物带来严重伤害，即使不被污染致死，也将影响其存活能力。此外，沉积物中未经降解的油类也可能对局部水质造成二次污染。严重的溢油事故可能会改变影响范围内底栖生物的群落结构，最终导致资源量的减少或局部消失。</w:t>
            </w:r>
          </w:p>
          <w:p>
            <w:pPr>
              <w:widowControl/>
              <w:ind w:firstLine="482"/>
              <w:rPr>
                <w:rFonts w:eastAsiaTheme="minorEastAsia"/>
                <w:b/>
                <w:color w:val="000000" w:themeColor="text1"/>
                <w14:textFill>
                  <w14:solidFill>
                    <w14:schemeClr w14:val="tx1"/>
                  </w14:solidFill>
                </w14:textFill>
              </w:rPr>
            </w:pPr>
            <w:r>
              <w:rPr>
                <w:rFonts w:eastAsiaTheme="minorEastAsia"/>
                <w:b/>
                <w:bCs/>
                <w:color w:val="000000" w:themeColor="text1"/>
                <w:kern w:val="0"/>
                <w14:textFill>
                  <w14:solidFill>
                    <w14:schemeClr w14:val="tx1"/>
                  </w14:solidFill>
                </w14:textFill>
              </w:rPr>
              <w:t>4、风险预防对策措施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（1）管理措施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成立环境风险事故领导小组，派专人对施工现场和沿线道路进行清扫，从源头上控制油料泄漏可能带来的不良影响；定期检查和维护施工设备和运输车辆，使其维持良好的工作状态；敦促施工人员严格按照交通规则行驶并注意文明行车，减少事故概率；加强施工质量和进度管理，严格按照既定的施工要求、施工进度及施工范围内进行施工，加强对施工人员环保意识的培训，施工过程中若发现在勘查阶段未发现的保护动植物，应及时汇报有关部门，采取避让等保护措施，不得随意对其破坏。</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（2）工程措施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施工时应先进行施工导流设施的修筑，以形成挡水面，再进行工程区的清表、土方开挖、堤身回填等工程施工，同时应避免施工机械或车辆翻入水中影响水环境质量；设计及施工过程中选用当地常见植物进行绿化恢复；靠近河道侧的施工道路边设置明显标志，提醒司机注意安全行车，路边设置简易防撞栏，若要夜间施工设置照明设施，避免车辆翻入河道。</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（3）应急措施</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油料泄漏后应及时组织人员进行清扫处置，避免泄漏的油料随雨水等带入周边水体；同时制订防汛、避险及污染物泄漏风险事故应急预案，预案应包括应急事故组织机构、应急救援队伍、应急设施及物资的配备、应急报警系统、应急处理措施、应急培训计划等内容，施工场所应张贴应急报警电话；施工期间如遇恶劣天气必须及时检查加固护坡等水土保持措施，避免护坡等工程设施垮塌，提前组织人员及设备转移到安全位置。</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（4）其他</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施工期应由管理部门研究划定施工界限，获得施工许可，未经同意，不得擅自开工；加强施工管理，严禁野蛮施工，划定最小作业范围，禁止超挖；加强施工质量和进度管理，严格按照既定的施工要求、施工进度及施工范围内进行施工，尽量避免汛期施工。</w:t>
            </w:r>
          </w:p>
          <w:p>
            <w:pPr>
              <w:spacing w:line="440" w:lineRule="exact"/>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5、环境风险事故应急预案</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事故应急指挥系统是紧急事故发生后进行事故救援处理的体系，该系统对事故发生后作出迅速反应，及时处理事故，减少事故损失。事故应急指挥系统包括组织机构、通讯联络、人员救护和事故处理、安全管理等方面内容。</w:t>
            </w:r>
          </w:p>
          <w:p>
            <w:pPr>
              <w:widowControl/>
              <w:ind w:firstLine="480"/>
              <w:rPr>
                <w:rFonts w:eastAsiaTheme="minorEastAsia"/>
                <w:bCs/>
                <w:color w:val="000000" w:themeColor="text1"/>
                <w:kern w:val="0"/>
                <w14:textFill>
                  <w14:solidFill>
                    <w14:schemeClr w14:val="tx1"/>
                  </w14:solidFill>
                </w14:textFill>
              </w:rPr>
            </w:pPr>
            <w:r>
              <w:rPr>
                <w:rFonts w:hint="eastAsia" w:ascii="宋体" w:hAnsi="宋体" w:cs="宋体"/>
                <w:bCs/>
                <w:color w:val="000000" w:themeColor="text1"/>
                <w:kern w:val="0"/>
                <w14:textFill>
                  <w14:solidFill>
                    <w14:schemeClr w14:val="tx1"/>
                  </w14:solidFill>
                </w14:textFill>
              </w:rPr>
              <w:t>①</w:t>
            </w:r>
            <w:r>
              <w:rPr>
                <w:rFonts w:eastAsiaTheme="minorEastAsia"/>
                <w:bCs/>
                <w:color w:val="000000" w:themeColor="text1"/>
                <w:kern w:val="0"/>
                <w14:textFill>
                  <w14:solidFill>
                    <w14:schemeClr w14:val="tx1"/>
                  </w14:solidFill>
                </w14:textFill>
              </w:rPr>
              <w:t>组织体系</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工程在施工过程中应成立应急指挥部，明确职责，在遇到特大洪水灾害和突发性污染事故等情况下作出及时反应。</w:t>
            </w:r>
          </w:p>
          <w:p>
            <w:pPr>
              <w:widowControl/>
              <w:ind w:firstLine="480"/>
              <w:rPr>
                <w:rFonts w:eastAsiaTheme="minorEastAsia"/>
                <w:bCs/>
                <w:color w:val="000000" w:themeColor="text1"/>
                <w:kern w:val="0"/>
                <w14:textFill>
                  <w14:solidFill>
                    <w14:schemeClr w14:val="tx1"/>
                  </w14:solidFill>
                </w14:textFill>
              </w:rPr>
            </w:pPr>
            <w:r>
              <w:rPr>
                <w:rFonts w:hint="eastAsia" w:ascii="宋体" w:hAnsi="宋体" w:cs="宋体"/>
                <w:bCs/>
                <w:color w:val="000000" w:themeColor="text1"/>
                <w:kern w:val="0"/>
                <w14:textFill>
                  <w14:solidFill>
                    <w14:schemeClr w14:val="tx1"/>
                  </w14:solidFill>
                </w14:textFill>
              </w:rPr>
              <w:t>②</w:t>
            </w:r>
            <w:r>
              <w:rPr>
                <w:rFonts w:eastAsiaTheme="minorEastAsia"/>
                <w:bCs/>
                <w:color w:val="000000" w:themeColor="text1"/>
                <w:kern w:val="0"/>
                <w14:textFill>
                  <w14:solidFill>
                    <w14:schemeClr w14:val="tx1"/>
                  </w14:solidFill>
                </w14:textFill>
              </w:rPr>
              <w:t>通讯联络</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在工程施工过程中，建立各施工区、生活区、办公区、社会救援机构和地方政府之间的通讯网络，保证信息畅通，以提高事故发生时的快速反应能力。</w:t>
            </w:r>
          </w:p>
          <w:p>
            <w:pPr>
              <w:widowControl/>
              <w:ind w:firstLine="480"/>
              <w:rPr>
                <w:rFonts w:eastAsiaTheme="minorEastAsia"/>
                <w:bCs/>
                <w:color w:val="000000" w:themeColor="text1"/>
                <w:kern w:val="0"/>
                <w14:textFill>
                  <w14:solidFill>
                    <w14:schemeClr w14:val="tx1"/>
                  </w14:solidFill>
                </w14:textFill>
              </w:rPr>
            </w:pPr>
            <w:r>
              <w:rPr>
                <w:rFonts w:hint="eastAsia" w:ascii="宋体" w:hAnsi="宋体" w:cs="宋体"/>
                <w:bCs/>
                <w:color w:val="000000" w:themeColor="text1"/>
                <w:kern w:val="0"/>
                <w14:textFill>
                  <w14:solidFill>
                    <w14:schemeClr w14:val="tx1"/>
                  </w14:solidFill>
                </w14:textFill>
              </w:rPr>
              <w:t>③</w:t>
            </w:r>
            <w:r>
              <w:rPr>
                <w:rFonts w:eastAsiaTheme="minorEastAsia"/>
                <w:bCs/>
                <w:color w:val="000000" w:themeColor="text1"/>
                <w:kern w:val="0"/>
                <w14:textFill>
                  <w14:solidFill>
                    <w14:schemeClr w14:val="tx1"/>
                  </w14:solidFill>
                </w14:textFill>
              </w:rPr>
              <w:t>人员救护和事故处理</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在遭遇突发事件时，如特大洪水、突发性污染事故时，应急指挥部与当地政府有关部门密切合作，及时组织力量进行抢救、救护和安全转移。同时做好事故后处理工作，及时转移或保护影响范围内财产。当施工中出现破坏污水管线时，应立即停止施工，并向应急小组汇报，由应急小组组织专业人员进行抢修，并迅速与管线主管单位取得联系，对污水进行堵截、导流。</w:t>
            </w:r>
          </w:p>
          <w:p>
            <w:pPr>
              <w:widowControl/>
              <w:ind w:firstLine="480"/>
              <w:rPr>
                <w:rFonts w:eastAsiaTheme="minorEastAsia"/>
                <w:bCs/>
                <w:color w:val="000000" w:themeColor="text1"/>
                <w:kern w:val="0"/>
                <w14:textFill>
                  <w14:solidFill>
                    <w14:schemeClr w14:val="tx1"/>
                  </w14:solidFill>
                </w14:textFill>
              </w:rPr>
            </w:pPr>
            <w:r>
              <w:rPr>
                <w:rFonts w:hint="eastAsia" w:ascii="宋体" w:hAnsi="宋体" w:cs="宋体"/>
                <w:bCs/>
                <w:color w:val="000000" w:themeColor="text1"/>
                <w:kern w:val="0"/>
                <w14:textFill>
                  <w14:solidFill>
                    <w14:schemeClr w14:val="tx1"/>
                  </w14:solidFill>
                </w14:textFill>
              </w:rPr>
              <w:t>④</w:t>
            </w:r>
            <w:r>
              <w:rPr>
                <w:rFonts w:eastAsiaTheme="minorEastAsia"/>
                <w:bCs/>
                <w:color w:val="000000" w:themeColor="text1"/>
                <w:kern w:val="0"/>
                <w14:textFill>
                  <w14:solidFill>
                    <w14:schemeClr w14:val="tx1"/>
                  </w14:solidFill>
                </w14:textFill>
              </w:rPr>
              <w:t>安全管理</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项目保卫部门负责做好消防安全工作，做好对火源的控制，负责消防安全教育，组织培训消防人员。</w:t>
            </w:r>
          </w:p>
          <w:p>
            <w:pPr>
              <w:widowControl/>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九、环境监测计划</w:t>
            </w:r>
          </w:p>
          <w:p>
            <w:pPr>
              <w:widowControl/>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1、环境监测目的</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环境监测是企业搞好环境管理，促进污染治理设施正常运行的主要保障。通过定期的环境监测，了解邻近地区的环境质量状况，可以及时发现问题、解决问题，从而有利于监督各项环保措施的落实，并根据监测结果适时调整环境保护计划。</w:t>
            </w:r>
          </w:p>
          <w:p>
            <w:pPr>
              <w:widowControl/>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2、环境监测机构</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建议本项目的环境监测工作委托有资质的环境监测机构承担。</w:t>
            </w:r>
          </w:p>
          <w:p>
            <w:pPr>
              <w:widowControl/>
              <w:ind w:firstLine="482"/>
              <w:rPr>
                <w:rFonts w:eastAsiaTheme="minorEastAsia"/>
                <w:b/>
                <w:bCs/>
                <w:color w:val="000000" w:themeColor="text1"/>
                <w:kern w:val="0"/>
                <w14:textFill>
                  <w14:solidFill>
                    <w14:schemeClr w14:val="tx1"/>
                  </w14:solidFill>
                </w14:textFill>
              </w:rPr>
            </w:pPr>
            <w:r>
              <w:rPr>
                <w:rFonts w:eastAsiaTheme="minorEastAsia"/>
                <w:b/>
                <w:bCs/>
                <w:color w:val="000000" w:themeColor="text1"/>
                <w:kern w:val="0"/>
                <w14:textFill>
                  <w14:solidFill>
                    <w14:schemeClr w14:val="tx1"/>
                  </w14:solidFill>
                </w14:textFill>
              </w:rPr>
              <w:t>3、监测项目及监测计划</w:t>
            </w:r>
          </w:p>
          <w:p>
            <w:pPr>
              <w:widowControl/>
              <w:ind w:firstLine="480"/>
              <w:rPr>
                <w:rFonts w:eastAsiaTheme="minorEastAsia"/>
                <w:color w:val="000000" w:themeColor="text1"/>
                <w:spacing w:val="-3"/>
                <w:sz w:val="21"/>
                <w:szCs w:val="21"/>
                <w14:textFill>
                  <w14:solidFill>
                    <w14:schemeClr w14:val="tx1"/>
                  </w14:solidFill>
                </w14:textFill>
              </w:rPr>
            </w:pPr>
            <w:r>
              <w:rPr>
                <w:rFonts w:eastAsiaTheme="minorEastAsia"/>
                <w:bCs/>
                <w:color w:val="000000" w:themeColor="text1"/>
                <w:kern w:val="0"/>
                <w14:textFill>
                  <w14:solidFill>
                    <w14:schemeClr w14:val="tx1"/>
                  </w14:solidFill>
                </w14:textFill>
              </w:rPr>
              <w:t>施工期建设单位必须接受环保部门的检查和环境管理，并监督各施工单位执行环保措施，尽量避免和减轻施工活动的影响，根据施工实施进度，对施工期进行定期监测，本环评建议监测计划如下：</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表5-2  施工期环境监测计划</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026"/>
              <w:gridCol w:w="1883"/>
              <w:gridCol w:w="2023"/>
              <w:gridCol w:w="1539"/>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83" w:type="pct"/>
                  <w:vAlign w:val="center"/>
                </w:tcPr>
                <w:p>
                  <w:pPr>
                    <w:autoSpaceDE w:val="0"/>
                    <w:autoSpaceDN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监测项目</w:t>
                  </w:r>
                </w:p>
              </w:tc>
              <w:tc>
                <w:tcPr>
                  <w:tcW w:w="1253" w:type="pct"/>
                  <w:vAlign w:val="center"/>
                </w:tcPr>
                <w:p>
                  <w:pPr>
                    <w:autoSpaceDE w:val="0"/>
                    <w:autoSpaceDN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监测点位</w:t>
                  </w:r>
                </w:p>
              </w:tc>
              <w:tc>
                <w:tcPr>
                  <w:tcW w:w="1346" w:type="pct"/>
                  <w:vAlign w:val="center"/>
                </w:tcPr>
                <w:p>
                  <w:pPr>
                    <w:autoSpaceDE w:val="0"/>
                    <w:autoSpaceDN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监测频次</w:t>
                  </w:r>
                </w:p>
              </w:tc>
              <w:tc>
                <w:tcPr>
                  <w:tcW w:w="1024" w:type="pct"/>
                  <w:vAlign w:val="center"/>
                </w:tcPr>
                <w:p>
                  <w:pPr>
                    <w:autoSpaceDE w:val="0"/>
                    <w:autoSpaceDN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实施机构</w:t>
                  </w:r>
                </w:p>
              </w:tc>
              <w:tc>
                <w:tcPr>
                  <w:tcW w:w="694" w:type="pct"/>
                  <w:vAlign w:val="center"/>
                </w:tcPr>
                <w:p>
                  <w:pPr>
                    <w:autoSpaceDE w:val="0"/>
                    <w:autoSpaceDN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负责机构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8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施工噪声</w:t>
                  </w:r>
                </w:p>
              </w:tc>
              <w:tc>
                <w:tcPr>
                  <w:tcW w:w="125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项目施工场界</w:t>
                  </w:r>
                </w:p>
              </w:tc>
              <w:tc>
                <w:tcPr>
                  <w:tcW w:w="1346"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监测两次，检测昼间噪声</w:t>
                  </w:r>
                </w:p>
              </w:tc>
              <w:tc>
                <w:tcPr>
                  <w:tcW w:w="1024"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委托监测单位</w:t>
                  </w:r>
                </w:p>
              </w:tc>
              <w:tc>
                <w:tcPr>
                  <w:tcW w:w="694"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建设单位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8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施工扬尘</w:t>
                  </w:r>
                </w:p>
              </w:tc>
              <w:tc>
                <w:tcPr>
                  <w:tcW w:w="125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项目施工场界</w:t>
                  </w:r>
                </w:p>
              </w:tc>
              <w:tc>
                <w:tcPr>
                  <w:tcW w:w="1346"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自监测起持续15分钟</w:t>
                  </w:r>
                </w:p>
              </w:tc>
              <w:tc>
                <w:tcPr>
                  <w:tcW w:w="1024"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委托监测单位</w:t>
                  </w:r>
                </w:p>
              </w:tc>
              <w:tc>
                <w:tcPr>
                  <w:tcW w:w="694"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建设单位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8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地表水</w:t>
                  </w:r>
                </w:p>
              </w:tc>
              <w:tc>
                <w:tcPr>
                  <w:tcW w:w="1253"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工程上游500米处</w:t>
                  </w:r>
                </w:p>
              </w:tc>
              <w:tc>
                <w:tcPr>
                  <w:tcW w:w="1346" w:type="pct"/>
                  <w:vAlign w:val="center"/>
                </w:tcPr>
                <w:p>
                  <w:pPr>
                    <w:autoSpaceDE w:val="0"/>
                    <w:autoSpaceDN w:val="0"/>
                    <w:spacing w:line="240" w:lineRule="auto"/>
                    <w:ind w:firstLine="0" w:firstLineChars="0"/>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监测2天，1次/天</w:t>
                  </w:r>
                </w:p>
              </w:tc>
              <w:tc>
                <w:tcPr>
                  <w:tcW w:w="1024"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委托监测单位</w:t>
                  </w:r>
                </w:p>
              </w:tc>
              <w:tc>
                <w:tcPr>
                  <w:tcW w:w="694"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建设单位</w:t>
                  </w:r>
                </w:p>
              </w:tc>
            </w:tr>
          </w:tbl>
          <w:p>
            <w:pPr>
              <w:ind w:firstLine="0" w:firstLineChars="0"/>
              <w:rPr>
                <w:rFonts w:eastAsiaTheme="minorEastAsia"/>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04" w:type="pct"/>
            <w:tcMar>
              <w:left w:w="28" w:type="dxa"/>
              <w:right w:w="28" w:type="dxa"/>
            </w:tcMar>
            <w:vAlign w:val="center"/>
          </w:tcPr>
          <w:p>
            <w:pPr>
              <w:ind w:firstLine="0" w:firstLineChars="0"/>
              <w:jc w:val="center"/>
              <w:rPr>
                <w:rFonts w:eastAsiaTheme="minorEastAsia"/>
                <w:bCs/>
                <w:color w:val="000000" w:themeColor="text1"/>
                <w:spacing w:val="10"/>
                <w:szCs w:val="21"/>
                <w14:textFill>
                  <w14:solidFill>
                    <w14:schemeClr w14:val="tx1"/>
                  </w14:solidFill>
                </w14:textFill>
              </w:rPr>
            </w:pPr>
            <w:r>
              <w:rPr>
                <w:rFonts w:eastAsiaTheme="minorEastAsia"/>
                <w:color w:val="000000" w:themeColor="text1"/>
                <w14:textFill>
                  <w14:solidFill>
                    <w14:schemeClr w14:val="tx1"/>
                  </w14:solidFill>
                </w14:textFill>
              </w:rPr>
              <w:t>运营期生态环境保护措施</w:t>
            </w:r>
          </w:p>
        </w:tc>
        <w:tc>
          <w:tcPr>
            <w:tcW w:w="4495" w:type="pct"/>
          </w:tcPr>
          <w:p>
            <w:pPr>
              <w:widowControl/>
              <w:ind w:firstLine="480"/>
              <w:rPr>
                <w:rFonts w:eastAsiaTheme="minorEastAsia"/>
                <w:bCs/>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本项目为防洪除涝工程，本项目的建设对完善黑水县卡龙镇才盖村段防洪保障体系，保护房屋、耕地和沿河两岸居民生命财产安全，改善生态环境，促进当地社会经济的发展和城镇建设具有重要作用。</w:t>
            </w:r>
            <w:r>
              <w:rPr>
                <w:rFonts w:eastAsiaTheme="minorEastAsia"/>
                <w:bCs/>
                <w:color w:val="000000" w:themeColor="text1"/>
                <w:kern w:val="0"/>
                <w14:textFill>
                  <w14:solidFill>
                    <w14:schemeClr w14:val="tx1"/>
                  </w14:solidFill>
                </w14:textFill>
              </w:rPr>
              <w:t>项目正常运行过程中无污染物产生不会对周围环境产生不良环境影响。</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（1）生态环境正效益</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通过本项目的实施，使工程建设区的水土流失得到有效治理，原有的土壤侵蚀也得到一定程度的控制，建设过程中的裸露地恢复植被后，能有效地固结土壤、涵养水分、稳定边坡、减少径流和侵蚀量，同时改善项目区周边的区域环境，具有显著的生态环境效益。</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（2）社会环境正效益</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防洪工程是地区发展先行的基础设施建设，项目的实施，可拉动当地内需，带动其他相关行业的投入。工程的实施可有效地防止洪水冲刷淹没对自然生态环境的破坏，防止洪水过后引发大范围内的疾病流行，提高防洪御灾能力，保障人民生命财产安全，减少人们对自然灾害的恐惧，促进当地稳定和发展，增</w:t>
            </w:r>
            <w:r>
              <w:rPr>
                <w:rFonts w:hint="eastAsia" w:eastAsiaTheme="minorEastAsia"/>
                <w:bCs/>
                <w:color w:val="000000" w:themeColor="text1"/>
                <w:szCs w:val="21"/>
                <w:lang w:eastAsia="zh-CN"/>
                <w14:textFill>
                  <w14:solidFill>
                    <w14:schemeClr w14:val="tx1"/>
                  </w14:solidFill>
                </w14:textFill>
              </w:rPr>
              <w:t>进</w:t>
            </w:r>
            <w:bookmarkStart w:id="88" w:name="_GoBack"/>
            <w:bookmarkEnd w:id="88"/>
            <w:r>
              <w:rPr>
                <w:rFonts w:eastAsiaTheme="minorEastAsia"/>
                <w:bCs/>
                <w:color w:val="000000" w:themeColor="text1"/>
                <w:szCs w:val="21"/>
                <w14:textFill>
                  <w14:solidFill>
                    <w14:schemeClr w14:val="tx1"/>
                  </w14:solidFill>
                </w14:textFill>
              </w:rPr>
              <w:t>民族团结，具有良好的社会效益。</w:t>
            </w:r>
          </w:p>
          <w:p>
            <w:pPr>
              <w:pStyle w:val="78"/>
              <w:ind w:firstLine="480"/>
              <w:rPr>
                <w:rFonts w:hAnsi="Times New Roman" w:eastAsiaTheme="minorEastAsia"/>
                <w:bCs/>
                <w:color w:val="000000" w:themeColor="text1"/>
                <w:szCs w:val="21"/>
                <w14:textFill>
                  <w14:solidFill>
                    <w14:schemeClr w14:val="tx1"/>
                  </w14:solidFill>
                </w14:textFill>
              </w:rPr>
            </w:pPr>
            <w:r>
              <w:rPr>
                <w:rFonts w:hAnsi="Times New Roman" w:eastAsiaTheme="minorEastAsia"/>
                <w:color w:val="000000" w:themeColor="text1"/>
                <w14:textFill>
                  <w14:solidFill>
                    <w14:schemeClr w14:val="tx1"/>
                  </w14:solidFill>
                </w14:textFill>
              </w:rPr>
              <w:t>（3）经济正效益</w:t>
            </w:r>
          </w:p>
          <w:p>
            <w:pPr>
              <w:widowControl/>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通过项目实施，保护区内耕地、房屋免遭洪水侵袭，维护城乡生态环境系统的正常平衡，保证正常的生产和生活秩序。本工程修建后，该区域摆脱了历年频繁洪水的侵害，减少了洪灾直接经济损失，使区域人民生命财产安全得到了保障，对促进城乡建设和国民经济发展起着重大作用，经济效益显著。</w:t>
            </w:r>
          </w:p>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szCs w:val="21"/>
                <w14:textFill>
                  <w14:solidFill>
                    <w14:schemeClr w14:val="tx1"/>
                  </w14:solidFill>
                </w14:textFill>
              </w:rPr>
              <w:t>因此，本项目建设会对治理河段具有良好的经济社会生态正效益。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4" w:type="pct"/>
            <w:vAlign w:val="center"/>
          </w:tcPr>
          <w:p>
            <w:pPr>
              <w:widowControl/>
              <w:ind w:firstLine="0" w:firstLineChars="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其他</w:t>
            </w:r>
          </w:p>
        </w:tc>
        <w:tc>
          <w:tcPr>
            <w:tcW w:w="4495" w:type="pct"/>
            <w:vAlign w:val="center"/>
          </w:tcPr>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为了保证项目建设过程中环境质量，在本次项目的建设过程中，必须加强施工期环境保护管理工作。</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1、向施工单位明确其在施工期间应当遵守的有关环境保护法律法规，要求施工单位采取切实可行措施，控制施工现场的各种扬尘、废气、废水、固体废弃物以及噪声振动等对环境的污染和危害。并要求施工单位签订环境保护责任书。</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2、在项目实施建设过程中，倡导“文明施工，清洁施工”的新风，由有关职能部门牵头，做好施工现场的协调和环境保护管理工作。</w:t>
            </w:r>
          </w:p>
          <w:p>
            <w:pPr>
              <w:pStyle w:val="78"/>
              <w:ind w:firstLine="480"/>
              <w:rPr>
                <w:rFonts w:hAnsi="Times New Roman" w:eastAsiaTheme="minorEastAsia"/>
                <w:color w:val="000000" w:themeColor="text1"/>
                <w14:textFill>
                  <w14:solidFill>
                    <w14:schemeClr w14:val="tx1"/>
                  </w14:solidFill>
                </w14:textFill>
              </w:rPr>
            </w:pPr>
            <w:r>
              <w:rPr>
                <w:rFonts w:hAnsi="Times New Roman" w:eastAsiaTheme="minorEastAsia"/>
                <w:color w:val="000000" w:themeColor="text1"/>
                <w14:textFill>
                  <w14:solidFill>
                    <w14:schemeClr w14:val="tx1"/>
                  </w14:solidFill>
                </w14:textFill>
              </w:rPr>
              <w:t>3、在建设过程中，加强环境保护的宣传教育工作，在施工现场树立醒目的环保标志，加强施工现场的环境监理、监测，建立环境质量档案，发现问题，及时通知有关部门、单位或企业进行整改，并监督整改措施的实施和验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04" w:type="pct"/>
            <w:vAlign w:val="center"/>
          </w:tcPr>
          <w:p>
            <w:pPr>
              <w:widowControl/>
              <w:ind w:firstLine="0" w:firstLineChars="0"/>
              <w:jc w:val="center"/>
              <w:rPr>
                <w:rFonts w:eastAsiaTheme="minorEastAsia"/>
                <w:bCs/>
                <w:color w:val="000000" w:themeColor="text1"/>
                <w:spacing w:val="10"/>
                <w:szCs w:val="21"/>
                <w14:textFill>
                  <w14:solidFill>
                    <w14:schemeClr w14:val="tx1"/>
                  </w14:solidFill>
                </w14:textFill>
              </w:rPr>
            </w:pPr>
            <w:r>
              <w:rPr>
                <w:rFonts w:eastAsiaTheme="minorEastAsia"/>
                <w:bCs/>
                <w:color w:val="000000" w:themeColor="text1"/>
                <w:kern w:val="0"/>
                <w14:textFill>
                  <w14:solidFill>
                    <w14:schemeClr w14:val="tx1"/>
                  </w14:solidFill>
                </w14:textFill>
              </w:rPr>
              <w:t>环保投资</w:t>
            </w:r>
          </w:p>
        </w:tc>
        <w:tc>
          <w:tcPr>
            <w:tcW w:w="4495" w:type="pct"/>
          </w:tcPr>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环保投资估算：本项目河堤工程总投资350万元，环境保护投资41.0万元，占总投资的11.71%，本项目的环保投资估算见下表。</w:t>
            </w:r>
          </w:p>
          <w:p>
            <w:pPr>
              <w:pStyle w:val="98"/>
              <w:spacing w:before="166"/>
              <w:rPr>
                <w:color w:val="000000" w:themeColor="text1"/>
                <w14:textFill>
                  <w14:solidFill>
                    <w14:schemeClr w14:val="tx1"/>
                  </w14:solidFill>
                </w14:textFill>
              </w:rPr>
            </w:pPr>
            <w:r>
              <w:rPr>
                <w:color w:val="000000" w:themeColor="text1"/>
                <w14:textFill>
                  <w14:solidFill>
                    <w14:schemeClr w14:val="tx1"/>
                  </w14:solidFill>
                </w14:textFill>
              </w:rPr>
              <w:t>表5-3 环保设施组成及投资估算一览表  单位：万元</w:t>
            </w:r>
          </w:p>
          <w:tbl>
            <w:tblPr>
              <w:tblStyle w:val="3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1158"/>
              <w:gridCol w:w="4197"/>
              <w:gridCol w:w="1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64" w:type="pct"/>
                  <w:vAlign w:val="center"/>
                </w:tcPr>
                <w:p>
                  <w:pPr>
                    <w:autoSpaceDE w:val="0"/>
                    <w:autoSpaceDN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类别</w:t>
                  </w:r>
                </w:p>
              </w:tc>
              <w:tc>
                <w:tcPr>
                  <w:tcW w:w="771" w:type="pct"/>
                  <w:vAlign w:val="center"/>
                </w:tcPr>
                <w:p>
                  <w:pPr>
                    <w:autoSpaceDE w:val="0"/>
                    <w:autoSpaceDN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项目</w:t>
                  </w:r>
                </w:p>
              </w:tc>
              <w:tc>
                <w:tcPr>
                  <w:tcW w:w="2795" w:type="pct"/>
                  <w:vAlign w:val="center"/>
                </w:tcPr>
                <w:p>
                  <w:pPr>
                    <w:autoSpaceDE w:val="0"/>
                    <w:autoSpaceDN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措施内容</w:t>
                  </w:r>
                </w:p>
              </w:tc>
              <w:tc>
                <w:tcPr>
                  <w:tcW w:w="770" w:type="pct"/>
                  <w:vAlign w:val="center"/>
                </w:tcPr>
                <w:p>
                  <w:pPr>
                    <w:autoSpaceDE w:val="0"/>
                    <w:autoSpaceDN w:val="0"/>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eastAsiaTheme="minorEastAsia"/>
                      <w:b/>
                      <w:bCs/>
                      <w:color w:val="000000" w:themeColor="text1"/>
                      <w:sz w:val="21"/>
                      <w:szCs w:val="21"/>
                      <w14:textFill>
                        <w14:solidFill>
                          <w14:schemeClr w14:val="tx1"/>
                        </w14:solidFill>
                      </w14:textFill>
                    </w:rPr>
                    <w:t>投资估算（万元）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64" w:type="pct"/>
                  <w:vMerge w:val="restar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bookmarkStart w:id="51" w:name="_Hlk213514049"/>
                  <w:r>
                    <w:rPr>
                      <w:rFonts w:eastAsiaTheme="minorEastAsia"/>
                      <w:color w:val="000000" w:themeColor="text1"/>
                      <w:sz w:val="21"/>
                      <w:szCs w:val="21"/>
                      <w14:textFill>
                        <w14:solidFill>
                          <w14:schemeClr w14:val="tx1"/>
                        </w14:solidFill>
                      </w14:textFill>
                    </w:rPr>
                    <w:t>废气</w:t>
                  </w:r>
                </w:p>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治理</w:t>
                  </w:r>
                </w:p>
              </w:tc>
              <w:tc>
                <w:tcPr>
                  <w:tcW w:w="771" w:type="pct"/>
                  <w:vAlign w:val="center"/>
                </w:tcPr>
                <w:p>
                  <w:pPr>
                    <w:pStyle w:val="12"/>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施工扬尘</w:t>
                  </w:r>
                </w:p>
              </w:tc>
              <w:tc>
                <w:tcPr>
                  <w:tcW w:w="2795" w:type="pct"/>
                  <w:vAlign w:val="center"/>
                </w:tcPr>
                <w:p>
                  <w:pPr>
                    <w:pStyle w:val="12"/>
                    <w:spacing w:line="240" w:lineRule="auto"/>
                    <w:ind w:firstLine="0" w:firstLineChars="0"/>
                    <w:jc w:val="both"/>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施工区域设置围挡，文明施工，施工围挡上方安装喷淋装置，洒水降尘；</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64"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771" w:type="pct"/>
                  <w:vAlign w:val="center"/>
                </w:tcPr>
                <w:p>
                  <w:pPr>
                    <w:pStyle w:val="12"/>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车辆运输扬尘</w:t>
                  </w:r>
                </w:p>
              </w:tc>
              <w:tc>
                <w:tcPr>
                  <w:tcW w:w="2795" w:type="pct"/>
                  <w:vAlign w:val="center"/>
                </w:tcPr>
                <w:p>
                  <w:pPr>
                    <w:pStyle w:val="12"/>
                    <w:spacing w:line="240" w:lineRule="auto"/>
                    <w:ind w:firstLine="0" w:firstLineChars="0"/>
                    <w:jc w:val="both"/>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加强管理，密闭运输、限速行驶</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64"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771" w:type="pct"/>
                  <w:vAlign w:val="center"/>
                </w:tcPr>
                <w:p>
                  <w:pPr>
                    <w:pStyle w:val="12"/>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施工机械燃油废气</w:t>
                  </w:r>
                </w:p>
              </w:tc>
              <w:tc>
                <w:tcPr>
                  <w:tcW w:w="2795" w:type="pct"/>
                  <w:vAlign w:val="center"/>
                </w:tcPr>
                <w:p>
                  <w:pPr>
                    <w:pStyle w:val="12"/>
                    <w:spacing w:line="240" w:lineRule="auto"/>
                    <w:ind w:firstLine="0" w:firstLineChars="0"/>
                    <w:jc w:val="both"/>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强化机械设备的维护、保养</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64" w:type="pct"/>
                  <w:vMerge w:val="restar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废水</w:t>
                  </w:r>
                </w:p>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治理</w:t>
                  </w:r>
                </w:p>
              </w:tc>
              <w:tc>
                <w:tcPr>
                  <w:tcW w:w="771"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生活污水</w:t>
                  </w:r>
                </w:p>
              </w:tc>
              <w:tc>
                <w:tcPr>
                  <w:tcW w:w="2795"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生活污水利用租用民房化粪池进行收集处理后，用于农肥。</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64" w:type="pct"/>
                  <w:vMerge w:val="continue"/>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p>
              </w:tc>
              <w:tc>
                <w:tcPr>
                  <w:tcW w:w="771"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基坑排水处理</w:t>
                  </w:r>
                </w:p>
              </w:tc>
              <w:tc>
                <w:tcPr>
                  <w:tcW w:w="2795"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施工过程中基坑排水在基坑内经沉淀后排入地表水体</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64"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噪声</w:t>
                  </w:r>
                </w:p>
              </w:tc>
              <w:tc>
                <w:tcPr>
                  <w:tcW w:w="771"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施工噪声</w:t>
                  </w:r>
                </w:p>
              </w:tc>
              <w:tc>
                <w:tcPr>
                  <w:tcW w:w="2795"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施工期围挡、选用低噪声设备、合理布局、合理安排施工进度，禁止夜间施工等</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64" w:type="pct"/>
                  <w:vMerge w:val="restart"/>
                  <w:vAlign w:val="center"/>
                </w:tcPr>
                <w:p>
                  <w:pPr>
                    <w:spacing w:line="240" w:lineRule="auto"/>
                    <w:ind w:firstLine="0" w:firstLineChars="0"/>
                    <w:jc w:val="center"/>
                    <w:rPr>
                      <w:rFonts w:eastAsiaTheme="minorEastAsia"/>
                      <w:color w:val="000000" w:themeColor="text1"/>
                      <w:kern w:val="0"/>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固体废物</w:t>
                  </w:r>
                </w:p>
              </w:tc>
              <w:tc>
                <w:tcPr>
                  <w:tcW w:w="771"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生活垃圾</w:t>
                  </w:r>
                </w:p>
              </w:tc>
              <w:tc>
                <w:tcPr>
                  <w:tcW w:w="2795"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袋装收集后，交由环卫部门清运处置</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64" w:type="pct"/>
                  <w:vMerge w:val="continue"/>
                  <w:vAlign w:val="center"/>
                </w:tcPr>
                <w:p>
                  <w:pPr>
                    <w:spacing w:line="240" w:lineRule="auto"/>
                    <w:ind w:firstLine="0" w:firstLineChars="0"/>
                    <w:jc w:val="center"/>
                    <w:rPr>
                      <w:rFonts w:eastAsiaTheme="minorEastAsia"/>
                      <w:color w:val="000000" w:themeColor="text1"/>
                      <w:kern w:val="0"/>
                      <w:sz w:val="21"/>
                      <w:szCs w:val="21"/>
                      <w14:textFill>
                        <w14:solidFill>
                          <w14:schemeClr w14:val="tx1"/>
                        </w14:solidFill>
                      </w14:textFill>
                    </w:rPr>
                  </w:pPr>
                </w:p>
              </w:tc>
              <w:tc>
                <w:tcPr>
                  <w:tcW w:w="771"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建筑垃圾</w:t>
                  </w:r>
                </w:p>
              </w:tc>
              <w:tc>
                <w:tcPr>
                  <w:tcW w:w="2795"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可回收的利用的外卖废物收购站处理；其他不可回收利用的及时运至政府指定的建筑垃圾堆放场</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1435" w:type="pct"/>
                  <w:gridSpan w:val="2"/>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生态措施</w:t>
                  </w:r>
                </w:p>
              </w:tc>
              <w:tc>
                <w:tcPr>
                  <w:tcW w:w="2795" w:type="pct"/>
                  <w:vAlign w:val="center"/>
                </w:tcPr>
                <w:p>
                  <w:pPr>
                    <w:autoSpaceDE w:val="0"/>
                    <w:autoSpaceDN w:val="0"/>
                    <w:spacing w:line="240" w:lineRule="auto"/>
                    <w:ind w:firstLine="0" w:firstLineChars="0"/>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对临时占地的生态恢复，优化施工方案、加强施工管理，加强有关野生动物保护的宣传教育，严禁施工人员在施工区及其周围非法猎捕、杀害野生动物；在施工过程中尽量控制临时占地，对施工人员进行生态教育。严禁入河捕捞。同时严格落实《黑水县卡龙镇才盖村基础设施提升建设项目对达古冰山-卡龙沟风景名胜区影响评价报告》中提出的各项生态环境保护措施，如宣传教育、环境监管等。</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1435" w:type="pct"/>
                  <w:gridSpan w:val="2"/>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bookmarkStart w:id="52" w:name="OLE_LINK63"/>
                  <w:bookmarkStart w:id="53" w:name="OLE_LINK64"/>
                  <w:r>
                    <w:rPr>
                      <w:rFonts w:eastAsiaTheme="minorEastAsia"/>
                      <w:color w:val="000000" w:themeColor="text1"/>
                      <w:kern w:val="0"/>
                      <w:sz w:val="21"/>
                      <w:szCs w:val="21"/>
                      <w14:textFill>
                        <w14:solidFill>
                          <w14:schemeClr w14:val="tx1"/>
                        </w14:solidFill>
                      </w14:textFill>
                    </w:rPr>
                    <w:t>环境风险措施</w:t>
                  </w:r>
                  <w:bookmarkEnd w:id="52"/>
                  <w:bookmarkEnd w:id="53"/>
                </w:p>
              </w:tc>
              <w:tc>
                <w:tcPr>
                  <w:tcW w:w="2795" w:type="pct"/>
                  <w:vAlign w:val="center"/>
                </w:tcPr>
                <w:p>
                  <w:pPr>
                    <w:pStyle w:val="5"/>
                    <w:spacing w:line="240" w:lineRule="auto"/>
                    <w:ind w:firstLine="0" w:firstLineChars="0"/>
                    <w:rPr>
                      <w:rFonts w:cs="Times New Roman" w:eastAsiaTheme="minorEastAsia"/>
                      <w:b w:val="0"/>
                      <w:color w:val="000000" w:themeColor="text1"/>
                      <w:sz w:val="21"/>
                      <w:szCs w:val="21"/>
                      <w14:textFill>
                        <w14:solidFill>
                          <w14:schemeClr w14:val="tx1"/>
                        </w14:solidFill>
                      </w14:textFill>
                    </w:rPr>
                  </w:pPr>
                  <w:r>
                    <w:rPr>
                      <w:rFonts w:cs="Times New Roman" w:eastAsiaTheme="minorEastAsia"/>
                      <w:b w:val="0"/>
                      <w:color w:val="000000" w:themeColor="text1"/>
                      <w:sz w:val="21"/>
                      <w:szCs w:val="21"/>
                      <w14:textFill>
                        <w14:solidFill>
                          <w14:schemeClr w14:val="tx1"/>
                        </w14:solidFill>
                      </w14:textFill>
                    </w:rPr>
                    <w:t>制定有效的应急预案体系、配备吸油毡等风险物资</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1435" w:type="pct"/>
                  <w:gridSpan w:val="2"/>
                  <w:vMerge w:val="restar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kern w:val="0"/>
                      <w:sz w:val="21"/>
                      <w:szCs w:val="21"/>
                      <w14:textFill>
                        <w14:solidFill>
                          <w14:schemeClr w14:val="tx1"/>
                        </w14:solidFill>
                      </w14:textFill>
                    </w:rPr>
                    <w:t>环境监管</w:t>
                  </w:r>
                </w:p>
              </w:tc>
              <w:tc>
                <w:tcPr>
                  <w:tcW w:w="2795" w:type="pct"/>
                  <w:vAlign w:val="center"/>
                </w:tcPr>
                <w:p>
                  <w:pPr>
                    <w:pStyle w:val="5"/>
                    <w:spacing w:line="240" w:lineRule="auto"/>
                    <w:ind w:firstLine="0" w:firstLineChars="0"/>
                    <w:rPr>
                      <w:rFonts w:cs="Times New Roman" w:eastAsiaTheme="minorEastAsia"/>
                      <w:b w:val="0"/>
                      <w:color w:val="000000" w:themeColor="text1"/>
                      <w:sz w:val="21"/>
                      <w:szCs w:val="21"/>
                      <w14:textFill>
                        <w14:solidFill>
                          <w14:schemeClr w14:val="tx1"/>
                        </w14:solidFill>
                      </w14:textFill>
                    </w:rPr>
                  </w:pPr>
                  <w:r>
                    <w:rPr>
                      <w:rFonts w:cs="Times New Roman" w:eastAsiaTheme="minorEastAsia"/>
                      <w:b w:val="0"/>
                      <w:color w:val="000000" w:themeColor="text1"/>
                      <w:sz w:val="21"/>
                      <w:szCs w:val="21"/>
                      <w14:textFill>
                        <w14:solidFill>
                          <w14:schemeClr w14:val="tx1"/>
                        </w14:solidFill>
                      </w14:textFill>
                    </w:rPr>
                    <w:t>施工期环境监测，环境管理、宣传、培训</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1435" w:type="pct"/>
                  <w:gridSpan w:val="2"/>
                  <w:vMerge w:val="continue"/>
                  <w:vAlign w:val="center"/>
                </w:tcPr>
                <w:p>
                  <w:pPr>
                    <w:autoSpaceDE w:val="0"/>
                    <w:autoSpaceDN w:val="0"/>
                    <w:spacing w:line="240" w:lineRule="auto"/>
                    <w:ind w:firstLine="0" w:firstLineChars="0"/>
                    <w:jc w:val="center"/>
                    <w:rPr>
                      <w:rFonts w:eastAsiaTheme="minorEastAsia"/>
                      <w:color w:val="000000" w:themeColor="text1"/>
                      <w:kern w:val="0"/>
                      <w:sz w:val="21"/>
                      <w:szCs w:val="21"/>
                      <w14:textFill>
                        <w14:solidFill>
                          <w14:schemeClr w14:val="tx1"/>
                        </w14:solidFill>
                      </w14:textFill>
                    </w:rPr>
                  </w:pPr>
                </w:p>
              </w:tc>
              <w:tc>
                <w:tcPr>
                  <w:tcW w:w="2795" w:type="pct"/>
                  <w:vAlign w:val="center"/>
                </w:tcPr>
                <w:p>
                  <w:pPr>
                    <w:pStyle w:val="5"/>
                    <w:spacing w:line="240" w:lineRule="auto"/>
                    <w:ind w:firstLine="0" w:firstLineChars="0"/>
                    <w:rPr>
                      <w:rFonts w:cs="Times New Roman" w:eastAsiaTheme="minorEastAsia"/>
                      <w:b w:val="0"/>
                      <w:color w:val="000000" w:themeColor="text1"/>
                      <w:sz w:val="21"/>
                      <w:szCs w:val="21"/>
                      <w14:textFill>
                        <w14:solidFill>
                          <w14:schemeClr w14:val="tx1"/>
                        </w14:solidFill>
                      </w14:textFill>
                    </w:rPr>
                  </w:pPr>
                  <w:r>
                    <w:rPr>
                      <w:rFonts w:cs="Times New Roman" w:eastAsiaTheme="minorEastAsia"/>
                      <w:b w:val="0"/>
                      <w:color w:val="000000" w:themeColor="text1"/>
                      <w:sz w:val="21"/>
                      <w:szCs w:val="21"/>
                      <w14:textFill>
                        <w14:solidFill>
                          <w14:schemeClr w14:val="tx1"/>
                        </w14:solidFill>
                      </w14:textFill>
                    </w:rPr>
                    <w:t>竣工环保验收调查</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6.0</w:t>
                  </w:r>
                </w:p>
              </w:tc>
            </w:tr>
            <w:bookmarkEnd w:id="5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1435" w:type="pct"/>
                  <w:gridSpan w:val="2"/>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合计</w:t>
                  </w:r>
                </w:p>
              </w:tc>
              <w:tc>
                <w:tcPr>
                  <w:tcW w:w="2795"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w:t>
                  </w:r>
                </w:p>
              </w:tc>
              <w:tc>
                <w:tcPr>
                  <w:tcW w:w="770" w:type="pct"/>
                  <w:vAlign w:val="center"/>
                </w:tcPr>
                <w:p>
                  <w:pPr>
                    <w:autoSpaceDE w:val="0"/>
                    <w:autoSpaceDN w:val="0"/>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41.0</w:t>
                  </w:r>
                </w:p>
              </w:tc>
            </w:tr>
          </w:tbl>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78"/>
              <w:ind w:firstLine="480"/>
              <w:rPr>
                <w:rFonts w:hAnsi="Times New Roman" w:eastAsiaTheme="minorEastAsia"/>
                <w:color w:val="000000" w:themeColor="text1"/>
                <w14:textFill>
                  <w14:solidFill>
                    <w14:schemeClr w14:val="tx1"/>
                  </w14:solidFill>
                </w14:textFill>
              </w:rPr>
            </w:pPr>
          </w:p>
          <w:p>
            <w:pPr>
              <w:pStyle w:val="14"/>
              <w:numPr>
                <w:ilvl w:val="0"/>
                <w:numId w:val="0"/>
              </w:numPr>
              <w:rPr>
                <w:rFonts w:eastAsiaTheme="minorEastAsia"/>
                <w:color w:val="000000" w:themeColor="text1"/>
                <w14:textFill>
                  <w14:solidFill>
                    <w14:schemeClr w14:val="tx1"/>
                  </w14:solidFill>
                </w14:textFill>
              </w:rPr>
            </w:pPr>
          </w:p>
        </w:tc>
      </w:tr>
    </w:tbl>
    <w:p>
      <w:pPr>
        <w:ind w:firstLine="480"/>
        <w:rPr>
          <w:rFonts w:eastAsiaTheme="minorEastAsia"/>
          <w:color w:val="000000" w:themeColor="text1"/>
          <w14:textFill>
            <w14:solidFill>
              <w14:schemeClr w14:val="tx1"/>
            </w14:solidFill>
          </w14:textFill>
        </w:rPr>
        <w:sectPr>
          <w:pgSz w:w="11907" w:h="16840"/>
          <w:pgMar w:top="1440" w:right="1797" w:bottom="1440" w:left="1797" w:header="851" w:footer="1077" w:gutter="0"/>
          <w:cols w:space="720" w:num="1"/>
          <w:docGrid w:type="lines" w:linePitch="332" w:charSpace="0"/>
        </w:sectPr>
      </w:pPr>
    </w:p>
    <w:p>
      <w:pPr>
        <w:pStyle w:val="26"/>
        <w:ind w:firstLine="0" w:firstLineChars="0"/>
        <w:jc w:val="center"/>
        <w:outlineLvl w:val="0"/>
        <w:rPr>
          <w:rFonts w:ascii="Times New Roman" w:hAnsi="Times New Roman" w:eastAsiaTheme="minorEastAsia"/>
          <w:b/>
          <w:snapToGrid w:val="0"/>
          <w:color w:val="000000" w:themeColor="text1"/>
          <w:sz w:val="30"/>
          <w:szCs w:val="30"/>
          <w14:textFill>
            <w14:solidFill>
              <w14:schemeClr w14:val="tx1"/>
            </w14:solidFill>
          </w14:textFill>
        </w:rPr>
      </w:pPr>
      <w:bookmarkStart w:id="54" w:name="_Toc155338882"/>
      <w:r>
        <w:rPr>
          <w:rFonts w:ascii="Times New Roman" w:hAnsi="Times New Roman" w:eastAsiaTheme="minorEastAsia"/>
          <w:b/>
          <w:snapToGrid w:val="0"/>
          <w:color w:val="000000" w:themeColor="text1"/>
          <w:sz w:val="30"/>
          <w:szCs w:val="30"/>
          <w14:textFill>
            <w14:solidFill>
              <w14:schemeClr w14:val="tx1"/>
            </w14:solidFill>
          </w14:textFill>
        </w:rPr>
        <w:t>六、生态环境保护措施监督检查清单</w:t>
      </w:r>
      <w:bookmarkEnd w:id="54"/>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1011"/>
        <w:gridCol w:w="3228"/>
        <w:gridCol w:w="2274"/>
        <w:gridCol w:w="1150"/>
        <w:gridCol w:w="76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48" w:hRule="atLeast"/>
          <w:jc w:val="center"/>
        </w:trPr>
        <w:tc>
          <w:tcPr>
            <w:tcW w:w="670" w:type="pct"/>
            <w:vMerge w:val="restart"/>
            <w:tcBorders>
              <w:tl2br w:val="single" w:color="auto" w:sz="4" w:space="0"/>
            </w:tcBorders>
          </w:tcPr>
          <w:p>
            <w:pPr>
              <w:pStyle w:val="26"/>
              <w:adjustRightInd w:val="0"/>
              <w:snapToGrid w:val="0"/>
              <w:spacing w:before="0" w:beforeAutospacing="0" w:after="0" w:afterAutospacing="0" w:line="240" w:lineRule="auto"/>
              <w:ind w:firstLine="0" w:firstLineChars="0"/>
              <w:jc w:val="center"/>
              <w:outlineLvl w:val="0"/>
              <w:rPr>
                <w:rFonts w:ascii="Times New Roman" w:hAnsi="Times New Roman" w:eastAsiaTheme="minorEastAsia"/>
                <w:color w:val="000000" w:themeColor="text1"/>
                <w:kern w:val="2"/>
                <w14:textFill>
                  <w14:solidFill>
                    <w14:schemeClr w14:val="tx1"/>
                  </w14:solidFill>
                </w14:textFill>
              </w:rPr>
            </w:pPr>
            <w:bookmarkStart w:id="55" w:name="_Toc152687686"/>
            <w:bookmarkStart w:id="56" w:name="_Toc151978995"/>
            <w:bookmarkStart w:id="57" w:name="_Toc151047325"/>
            <w:bookmarkStart w:id="58" w:name="_Toc155338883"/>
            <w:r>
              <w:rPr>
                <w:rFonts w:ascii="Times New Roman" w:hAnsi="Times New Roman" w:eastAsiaTheme="minorEastAsia"/>
                <w:color w:val="000000" w:themeColor="text1"/>
                <w:kern w:val="2"/>
                <w14:textFill>
                  <w14:solidFill>
                    <w14:schemeClr w14:val="tx1"/>
                  </w14:solidFill>
                </w14:textFill>
              </w:rPr>
              <w:t>内容</w:t>
            </w:r>
            <w:bookmarkEnd w:id="55"/>
            <w:bookmarkEnd w:id="56"/>
            <w:bookmarkEnd w:id="57"/>
            <w:bookmarkEnd w:id="58"/>
          </w:p>
          <w:p>
            <w:pPr>
              <w:pStyle w:val="26"/>
              <w:adjustRightInd w:val="0"/>
              <w:snapToGrid w:val="0"/>
              <w:spacing w:before="0" w:beforeAutospacing="0" w:after="0" w:afterAutospacing="0" w:line="240" w:lineRule="auto"/>
              <w:ind w:firstLine="0" w:firstLineChars="0"/>
              <w:outlineLvl w:val="0"/>
              <w:rPr>
                <w:rFonts w:ascii="Times New Roman" w:hAnsi="Times New Roman" w:eastAsiaTheme="minorEastAsia"/>
                <w:color w:val="000000" w:themeColor="text1"/>
                <w:kern w:val="2"/>
                <w14:textFill>
                  <w14:solidFill>
                    <w14:schemeClr w14:val="tx1"/>
                  </w14:solidFill>
                </w14:textFill>
              </w:rPr>
            </w:pPr>
          </w:p>
          <w:p>
            <w:pPr>
              <w:pStyle w:val="26"/>
              <w:adjustRightInd w:val="0"/>
              <w:snapToGrid w:val="0"/>
              <w:spacing w:before="0" w:beforeAutospacing="0" w:after="0" w:afterAutospacing="0" w:line="240" w:lineRule="auto"/>
              <w:ind w:firstLine="0" w:firstLineChars="0"/>
              <w:outlineLvl w:val="0"/>
              <w:rPr>
                <w:rFonts w:ascii="Times New Roman" w:hAnsi="Times New Roman" w:eastAsiaTheme="minorEastAsia"/>
                <w:color w:val="000000" w:themeColor="text1"/>
                <w:kern w:val="2"/>
                <w14:textFill>
                  <w14:solidFill>
                    <w14:schemeClr w14:val="tx1"/>
                  </w14:solidFill>
                </w14:textFill>
              </w:rPr>
            </w:pPr>
            <w:bookmarkStart w:id="59" w:name="_Toc151978996"/>
            <w:bookmarkStart w:id="60" w:name="_Toc151047326"/>
            <w:bookmarkStart w:id="61" w:name="_Toc155338884"/>
            <w:bookmarkStart w:id="62" w:name="_Toc152687687"/>
            <w:r>
              <w:rPr>
                <w:rFonts w:ascii="Times New Roman" w:hAnsi="Times New Roman" w:eastAsiaTheme="minorEastAsia"/>
                <w:color w:val="000000" w:themeColor="text1"/>
                <w:kern w:val="2"/>
                <w14:textFill>
                  <w14:solidFill>
                    <w14:schemeClr w14:val="tx1"/>
                  </w14:solidFill>
                </w14:textFill>
              </w:rPr>
              <w:t>要素</w:t>
            </w:r>
            <w:bookmarkEnd w:id="59"/>
            <w:bookmarkEnd w:id="60"/>
            <w:bookmarkEnd w:id="61"/>
            <w:bookmarkEnd w:id="62"/>
          </w:p>
        </w:tc>
        <w:tc>
          <w:tcPr>
            <w:tcW w:w="3056" w:type="pct"/>
            <w:gridSpan w:val="2"/>
            <w:vAlign w:val="center"/>
          </w:tcPr>
          <w:p>
            <w:pPr>
              <w:pStyle w:val="26"/>
              <w:adjustRightInd w:val="0"/>
              <w:snapToGrid w:val="0"/>
              <w:spacing w:before="0" w:beforeAutospacing="0" w:after="0" w:afterAutospacing="0" w:line="240" w:lineRule="auto"/>
              <w:ind w:firstLine="0" w:firstLineChars="0"/>
              <w:jc w:val="center"/>
              <w:outlineLvl w:val="0"/>
              <w:rPr>
                <w:rFonts w:ascii="Times New Roman" w:hAnsi="Times New Roman" w:eastAsiaTheme="minorEastAsia"/>
                <w:color w:val="000000" w:themeColor="text1"/>
                <w:kern w:val="2"/>
                <w14:textFill>
                  <w14:solidFill>
                    <w14:schemeClr w14:val="tx1"/>
                  </w14:solidFill>
                </w14:textFill>
              </w:rPr>
            </w:pPr>
            <w:bookmarkStart w:id="63" w:name="_Toc152687688"/>
            <w:bookmarkStart w:id="64" w:name="_Toc155338885"/>
            <w:bookmarkStart w:id="65" w:name="_Toc151047327"/>
            <w:bookmarkStart w:id="66" w:name="_Toc151978997"/>
            <w:r>
              <w:rPr>
                <w:rFonts w:ascii="Times New Roman" w:hAnsi="Times New Roman" w:eastAsiaTheme="minorEastAsia"/>
                <w:color w:val="000000" w:themeColor="text1"/>
                <w:kern w:val="2"/>
                <w14:textFill>
                  <w14:solidFill>
                    <w14:schemeClr w14:val="tx1"/>
                  </w14:solidFill>
                </w14:textFill>
              </w:rPr>
              <w:t>施工期</w:t>
            </w:r>
            <w:bookmarkEnd w:id="63"/>
            <w:bookmarkEnd w:id="64"/>
            <w:bookmarkEnd w:id="65"/>
            <w:bookmarkEnd w:id="66"/>
          </w:p>
        </w:tc>
        <w:tc>
          <w:tcPr>
            <w:tcW w:w="1274" w:type="pct"/>
            <w:gridSpan w:val="2"/>
            <w:vAlign w:val="center"/>
          </w:tcPr>
          <w:p>
            <w:pPr>
              <w:pStyle w:val="26"/>
              <w:adjustRightInd w:val="0"/>
              <w:snapToGrid w:val="0"/>
              <w:spacing w:before="0" w:beforeAutospacing="0" w:after="0" w:afterAutospacing="0" w:line="240" w:lineRule="auto"/>
              <w:ind w:firstLine="0" w:firstLineChars="0"/>
              <w:jc w:val="center"/>
              <w:outlineLvl w:val="0"/>
              <w:rPr>
                <w:rFonts w:ascii="Times New Roman" w:hAnsi="Times New Roman" w:eastAsiaTheme="minorEastAsia"/>
                <w:color w:val="000000" w:themeColor="text1"/>
                <w:kern w:val="2"/>
                <w14:textFill>
                  <w14:solidFill>
                    <w14:schemeClr w14:val="tx1"/>
                  </w14:solidFill>
                </w14:textFill>
              </w:rPr>
            </w:pPr>
            <w:bookmarkStart w:id="67" w:name="_Toc151047328"/>
            <w:bookmarkStart w:id="68" w:name="_Toc155338886"/>
            <w:bookmarkStart w:id="69" w:name="_Toc151978998"/>
            <w:bookmarkStart w:id="70" w:name="_Toc152687689"/>
            <w:r>
              <w:rPr>
                <w:rFonts w:ascii="Times New Roman" w:hAnsi="Times New Roman" w:eastAsiaTheme="minorEastAsia"/>
                <w:color w:val="000000" w:themeColor="text1"/>
                <w:kern w:val="2"/>
                <w14:textFill>
                  <w14:solidFill>
                    <w14:schemeClr w14:val="tx1"/>
                  </w14:solidFill>
                </w14:textFill>
              </w:rPr>
              <w:t>运营期</w:t>
            </w:r>
            <w:bookmarkEnd w:id="67"/>
            <w:bookmarkEnd w:id="68"/>
            <w:bookmarkEnd w:id="69"/>
            <w:bookmarkEnd w:id="7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49" w:hRule="atLeast"/>
          <w:jc w:val="center"/>
        </w:trPr>
        <w:tc>
          <w:tcPr>
            <w:tcW w:w="670" w:type="pct"/>
            <w:vMerge w:val="continue"/>
          </w:tcPr>
          <w:p>
            <w:pPr>
              <w:pStyle w:val="26"/>
              <w:adjustRightInd w:val="0"/>
              <w:snapToGrid w:val="0"/>
              <w:spacing w:before="0" w:beforeAutospacing="0" w:after="0" w:afterAutospacing="0" w:line="240" w:lineRule="auto"/>
              <w:ind w:firstLine="0" w:firstLineChars="0"/>
              <w:jc w:val="center"/>
              <w:outlineLvl w:val="0"/>
              <w:rPr>
                <w:rFonts w:ascii="Times New Roman" w:hAnsi="Times New Roman" w:eastAsiaTheme="minorEastAsia"/>
                <w:color w:val="000000" w:themeColor="text1"/>
                <w:kern w:val="2"/>
                <w14:textFill>
                  <w14:solidFill>
                    <w14:schemeClr w14:val="tx1"/>
                  </w14:solidFill>
                </w14:textFill>
              </w:rPr>
            </w:pPr>
          </w:p>
        </w:tc>
        <w:tc>
          <w:tcPr>
            <w:tcW w:w="1985" w:type="pct"/>
            <w:vAlign w:val="center"/>
          </w:tcPr>
          <w:p>
            <w:pPr>
              <w:pStyle w:val="26"/>
              <w:adjustRightInd w:val="0"/>
              <w:snapToGrid w:val="0"/>
              <w:spacing w:before="0" w:beforeAutospacing="0" w:after="0" w:afterAutospacing="0" w:line="240" w:lineRule="auto"/>
              <w:ind w:firstLine="0" w:firstLineChars="0"/>
              <w:jc w:val="center"/>
              <w:outlineLvl w:val="0"/>
              <w:rPr>
                <w:rFonts w:ascii="Times New Roman" w:hAnsi="Times New Roman" w:eastAsiaTheme="minorEastAsia"/>
                <w:color w:val="000000" w:themeColor="text1"/>
                <w:kern w:val="2"/>
                <w14:textFill>
                  <w14:solidFill>
                    <w14:schemeClr w14:val="tx1"/>
                  </w14:solidFill>
                </w14:textFill>
              </w:rPr>
            </w:pPr>
            <w:bookmarkStart w:id="71" w:name="_Toc155338887"/>
            <w:bookmarkStart w:id="72" w:name="_Toc151047329"/>
            <w:bookmarkStart w:id="73" w:name="_Toc151978999"/>
            <w:bookmarkStart w:id="74" w:name="_Toc152687690"/>
            <w:r>
              <w:rPr>
                <w:rFonts w:ascii="Times New Roman" w:hAnsi="Times New Roman" w:eastAsiaTheme="minorEastAsia"/>
                <w:color w:val="000000" w:themeColor="text1"/>
                <w:kern w:val="2"/>
                <w14:textFill>
                  <w14:solidFill>
                    <w14:schemeClr w14:val="tx1"/>
                  </w14:solidFill>
                </w14:textFill>
              </w:rPr>
              <w:t>环境保护措施</w:t>
            </w:r>
            <w:bookmarkEnd w:id="71"/>
            <w:bookmarkEnd w:id="72"/>
            <w:bookmarkEnd w:id="73"/>
            <w:bookmarkEnd w:id="74"/>
          </w:p>
        </w:tc>
        <w:tc>
          <w:tcPr>
            <w:tcW w:w="1071" w:type="pct"/>
            <w:vAlign w:val="center"/>
          </w:tcPr>
          <w:p>
            <w:pPr>
              <w:pStyle w:val="26"/>
              <w:adjustRightInd w:val="0"/>
              <w:snapToGrid w:val="0"/>
              <w:spacing w:before="0" w:beforeAutospacing="0" w:after="0" w:afterAutospacing="0" w:line="240" w:lineRule="auto"/>
              <w:ind w:firstLine="0" w:firstLineChars="0"/>
              <w:jc w:val="center"/>
              <w:outlineLvl w:val="0"/>
              <w:rPr>
                <w:rFonts w:ascii="Times New Roman" w:hAnsi="Times New Roman" w:eastAsiaTheme="minorEastAsia"/>
                <w:color w:val="000000" w:themeColor="text1"/>
                <w:kern w:val="2"/>
                <w14:textFill>
                  <w14:solidFill>
                    <w14:schemeClr w14:val="tx1"/>
                  </w14:solidFill>
                </w14:textFill>
              </w:rPr>
            </w:pPr>
            <w:bookmarkStart w:id="75" w:name="_Toc151047330"/>
            <w:bookmarkStart w:id="76" w:name="_Toc155338888"/>
            <w:bookmarkStart w:id="77" w:name="_Toc151979000"/>
            <w:bookmarkStart w:id="78" w:name="_Toc152687691"/>
            <w:r>
              <w:rPr>
                <w:rFonts w:ascii="Times New Roman" w:hAnsi="Times New Roman" w:eastAsiaTheme="minorEastAsia"/>
                <w:color w:val="000000" w:themeColor="text1"/>
                <w:kern w:val="2"/>
                <w14:textFill>
                  <w14:solidFill>
                    <w14:schemeClr w14:val="tx1"/>
                  </w14:solidFill>
                </w14:textFill>
              </w:rPr>
              <w:t>验收要求</w:t>
            </w:r>
            <w:bookmarkEnd w:id="75"/>
            <w:bookmarkEnd w:id="76"/>
            <w:bookmarkEnd w:id="77"/>
            <w:bookmarkEnd w:id="78"/>
          </w:p>
        </w:tc>
        <w:tc>
          <w:tcPr>
            <w:tcW w:w="752" w:type="pct"/>
            <w:vAlign w:val="center"/>
          </w:tcPr>
          <w:p>
            <w:pPr>
              <w:pStyle w:val="26"/>
              <w:adjustRightInd w:val="0"/>
              <w:snapToGrid w:val="0"/>
              <w:spacing w:before="0" w:beforeAutospacing="0" w:after="0" w:afterAutospacing="0" w:line="240" w:lineRule="auto"/>
              <w:ind w:firstLine="0" w:firstLineChars="0"/>
              <w:jc w:val="center"/>
              <w:outlineLvl w:val="0"/>
              <w:rPr>
                <w:rFonts w:ascii="Times New Roman" w:hAnsi="Times New Roman" w:eastAsiaTheme="minorEastAsia"/>
                <w:color w:val="000000" w:themeColor="text1"/>
                <w:kern w:val="2"/>
                <w14:textFill>
                  <w14:solidFill>
                    <w14:schemeClr w14:val="tx1"/>
                  </w14:solidFill>
                </w14:textFill>
              </w:rPr>
            </w:pPr>
            <w:bookmarkStart w:id="79" w:name="_Toc152687692"/>
            <w:bookmarkStart w:id="80" w:name="_Toc151047331"/>
            <w:bookmarkStart w:id="81" w:name="_Toc151979001"/>
            <w:bookmarkStart w:id="82" w:name="_Toc155338889"/>
            <w:r>
              <w:rPr>
                <w:rFonts w:ascii="Times New Roman" w:hAnsi="Times New Roman" w:eastAsiaTheme="minorEastAsia"/>
                <w:color w:val="000000" w:themeColor="text1"/>
                <w:kern w:val="2"/>
                <w14:textFill>
                  <w14:solidFill>
                    <w14:schemeClr w14:val="tx1"/>
                  </w14:solidFill>
                </w14:textFill>
              </w:rPr>
              <w:t>环境保护措施</w:t>
            </w:r>
            <w:bookmarkEnd w:id="79"/>
            <w:bookmarkEnd w:id="80"/>
            <w:bookmarkEnd w:id="81"/>
            <w:bookmarkEnd w:id="82"/>
          </w:p>
        </w:tc>
        <w:tc>
          <w:tcPr>
            <w:tcW w:w="522" w:type="pct"/>
            <w:vAlign w:val="center"/>
          </w:tcPr>
          <w:p>
            <w:pPr>
              <w:pStyle w:val="26"/>
              <w:adjustRightInd w:val="0"/>
              <w:snapToGrid w:val="0"/>
              <w:spacing w:before="0" w:beforeAutospacing="0" w:after="0" w:afterAutospacing="0" w:line="240" w:lineRule="auto"/>
              <w:ind w:firstLine="0" w:firstLineChars="0"/>
              <w:jc w:val="center"/>
              <w:outlineLvl w:val="0"/>
              <w:rPr>
                <w:rFonts w:ascii="Times New Roman" w:hAnsi="Times New Roman" w:eastAsiaTheme="minorEastAsia"/>
                <w:color w:val="000000" w:themeColor="text1"/>
                <w:kern w:val="2"/>
                <w14:textFill>
                  <w14:solidFill>
                    <w14:schemeClr w14:val="tx1"/>
                  </w14:solidFill>
                </w14:textFill>
              </w:rPr>
            </w:pPr>
            <w:bookmarkStart w:id="83" w:name="_Toc152687693"/>
            <w:bookmarkStart w:id="84" w:name="_Toc155338890"/>
            <w:bookmarkStart w:id="85" w:name="_Toc151047332"/>
            <w:bookmarkStart w:id="86" w:name="_Toc151979002"/>
            <w:r>
              <w:rPr>
                <w:rFonts w:ascii="Times New Roman" w:hAnsi="Times New Roman" w:eastAsiaTheme="minorEastAsia"/>
                <w:color w:val="000000" w:themeColor="text1"/>
                <w:kern w:val="2"/>
                <w14:textFill>
                  <w14:solidFill>
                    <w14:schemeClr w14:val="tx1"/>
                  </w14:solidFill>
                </w14:textFill>
              </w:rPr>
              <w:t>验收</w:t>
            </w:r>
          </w:p>
          <w:p>
            <w:pPr>
              <w:pStyle w:val="26"/>
              <w:adjustRightInd w:val="0"/>
              <w:snapToGrid w:val="0"/>
              <w:spacing w:before="0" w:beforeAutospacing="0" w:after="0" w:afterAutospacing="0" w:line="240" w:lineRule="auto"/>
              <w:ind w:firstLine="0" w:firstLineChars="0"/>
              <w:jc w:val="center"/>
              <w:outlineLvl w:val="0"/>
              <w:rPr>
                <w:rFonts w:ascii="Times New Roman" w:hAnsi="Times New Roman" w:eastAsiaTheme="minorEastAsia"/>
                <w:color w:val="000000" w:themeColor="text1"/>
                <w:kern w:val="2"/>
                <w14:textFill>
                  <w14:solidFill>
                    <w14:schemeClr w14:val="tx1"/>
                  </w14:solidFill>
                </w14:textFill>
              </w:rPr>
            </w:pPr>
            <w:r>
              <w:rPr>
                <w:rFonts w:ascii="Times New Roman" w:hAnsi="Times New Roman" w:eastAsiaTheme="minorEastAsia"/>
                <w:color w:val="000000" w:themeColor="text1"/>
                <w:kern w:val="2"/>
                <w14:textFill>
                  <w14:solidFill>
                    <w14:schemeClr w14:val="tx1"/>
                  </w14:solidFill>
                </w14:textFill>
              </w:rPr>
              <w:t>要求</w:t>
            </w:r>
            <w:bookmarkEnd w:id="83"/>
            <w:bookmarkEnd w:id="84"/>
            <w:bookmarkEnd w:id="85"/>
            <w:bookmarkEnd w:id="86"/>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670"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陆生生态</w:t>
            </w:r>
          </w:p>
        </w:tc>
        <w:tc>
          <w:tcPr>
            <w:tcW w:w="1985" w:type="pct"/>
            <w:vAlign w:val="center"/>
          </w:tcPr>
          <w:p>
            <w:pPr>
              <w:spacing w:line="240" w:lineRule="auto"/>
              <w:ind w:firstLine="0" w:firstLineChars="0"/>
              <w:rPr>
                <w:rFonts w:eastAsiaTheme="minorEastAsia"/>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优化施工方案、加强施工管理，避免生活污水的直接排放；禁止随意倾倒废渣，合理布局高噪声施工设备。加强有关野生动物保护的宣传教育，严禁施工人员在施工区及其周围非法猎捕、杀害野生动物；在施工过程中尽量控制临时占地，对施工人员进行生态教育，施工期结束后对临时用地进行迹地恢复。同时严格落实《黑水县卡龙镇才盖村基础设施提升建设项目对达古冰山-卡龙沟风景名胜区影响评价报告》中提出的各项生态环境保护措施，如宣传教育、环境监管等。</w:t>
            </w:r>
          </w:p>
        </w:tc>
        <w:tc>
          <w:tcPr>
            <w:tcW w:w="1071"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减少影响范围、生态恢复、占地恢复原有土地利用性质</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670"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水生生态</w:t>
            </w:r>
          </w:p>
        </w:tc>
        <w:tc>
          <w:tcPr>
            <w:tcW w:w="1985"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kern w:val="0"/>
                <w14:textFill>
                  <w14:solidFill>
                    <w14:schemeClr w14:val="tx1"/>
                  </w14:solidFill>
                </w14:textFill>
              </w:rPr>
              <w:t>枯水期进行施工导流，采用分期施工，分期导流的方式。固体废物严禁倾倒至河中。严禁入河捕捞。导流、围堰应避开鱼类产卵期。同时严格落实《黑水县卡龙镇才盖村基础设施提升建设项目对达古冰山-卡龙沟风景名胜区影响评价报告》中提出的各项水生生态环境保护措施。</w:t>
            </w:r>
          </w:p>
        </w:tc>
        <w:tc>
          <w:tcPr>
            <w:tcW w:w="1071"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减少影响范围、生态恢复</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3" w:hRule="atLeast"/>
          <w:jc w:val="center"/>
        </w:trPr>
        <w:tc>
          <w:tcPr>
            <w:tcW w:w="670" w:type="pct"/>
            <w:vMerge w:val="restar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地表水</w:t>
            </w:r>
          </w:p>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环境</w:t>
            </w:r>
          </w:p>
        </w:tc>
        <w:tc>
          <w:tcPr>
            <w:tcW w:w="1985"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生活污水利用租用民房化粪池进行收集处理后，用于农肥。</w:t>
            </w:r>
          </w:p>
        </w:tc>
        <w:tc>
          <w:tcPr>
            <w:tcW w:w="1071" w:type="pct"/>
            <w:vAlign w:val="center"/>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不外排</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08" w:hRule="atLeast"/>
          <w:jc w:val="center"/>
        </w:trPr>
        <w:tc>
          <w:tcPr>
            <w:tcW w:w="670" w:type="pct"/>
            <w:vMerge w:val="continue"/>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p>
        </w:tc>
        <w:tc>
          <w:tcPr>
            <w:tcW w:w="1985"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基坑排水在基坑内经沉淀后排入地表水体</w:t>
            </w:r>
          </w:p>
        </w:tc>
        <w:tc>
          <w:tcPr>
            <w:tcW w:w="1071" w:type="pct"/>
            <w:vAlign w:val="center"/>
          </w:tcPr>
          <w:p>
            <w:pPr>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670"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地下水及土壤环境</w:t>
            </w:r>
          </w:p>
        </w:tc>
        <w:tc>
          <w:tcPr>
            <w:tcW w:w="1985"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1071"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不对周边浅层地下水以及周边土壤造成影响</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670"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声环境</w:t>
            </w:r>
          </w:p>
        </w:tc>
        <w:tc>
          <w:tcPr>
            <w:tcW w:w="1985"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施工期围挡、选用低噪声设备、合理布局、合理安排施工进度，禁止夜间施工等</w:t>
            </w:r>
          </w:p>
        </w:tc>
        <w:tc>
          <w:tcPr>
            <w:tcW w:w="1071"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《建筑施工噪声排放标准》（GB12523-2025）</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670"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振动</w:t>
            </w:r>
          </w:p>
        </w:tc>
        <w:tc>
          <w:tcPr>
            <w:tcW w:w="1985"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1071"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670" w:type="pct"/>
            <w:vMerge w:val="restar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大气环境</w:t>
            </w:r>
          </w:p>
        </w:tc>
        <w:tc>
          <w:tcPr>
            <w:tcW w:w="1985"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施工扬尘：施工区域设置围挡，文明施工，施工围挡上方安装喷淋装置，洒水降尘等</w:t>
            </w:r>
          </w:p>
        </w:tc>
        <w:tc>
          <w:tcPr>
            <w:tcW w:w="1071" w:type="pct"/>
            <w:vMerge w:val="restar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施工期扬尘执行 《四川省施工场地扬尘排放标准》 （DB51/2682-2020）</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3" w:hRule="atLeast"/>
          <w:jc w:val="center"/>
        </w:trPr>
        <w:tc>
          <w:tcPr>
            <w:tcW w:w="670" w:type="pct"/>
            <w:vMerge w:val="continue"/>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p>
        </w:tc>
        <w:tc>
          <w:tcPr>
            <w:tcW w:w="1985"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车辆运输扬尘：加强管理，密闭运输、限速行驶</w:t>
            </w:r>
          </w:p>
        </w:tc>
        <w:tc>
          <w:tcPr>
            <w:tcW w:w="1071" w:type="pct"/>
            <w:vMerge w:val="continue"/>
            <w:vAlign w:val="center"/>
          </w:tcPr>
          <w:p>
            <w:pPr>
              <w:spacing w:line="240" w:lineRule="auto"/>
              <w:ind w:firstLine="0" w:firstLineChars="0"/>
              <w:rPr>
                <w:rFonts w:eastAsiaTheme="minorEastAsia"/>
                <w:color w:val="000000" w:themeColor="text1"/>
                <w14:textFill>
                  <w14:solidFill>
                    <w14:schemeClr w14:val="tx1"/>
                  </w14:solidFill>
                </w14:textFill>
              </w:rPr>
            </w:pP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3" w:hRule="atLeast"/>
          <w:jc w:val="center"/>
        </w:trPr>
        <w:tc>
          <w:tcPr>
            <w:tcW w:w="670" w:type="pct"/>
            <w:vMerge w:val="continue"/>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p>
        </w:tc>
        <w:tc>
          <w:tcPr>
            <w:tcW w:w="1985"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施工机械燃油废气：定期检修与保养</w:t>
            </w:r>
          </w:p>
        </w:tc>
        <w:tc>
          <w:tcPr>
            <w:tcW w:w="1071" w:type="pct"/>
            <w:vMerge w:val="continue"/>
            <w:vAlign w:val="center"/>
          </w:tcPr>
          <w:p>
            <w:pPr>
              <w:spacing w:line="240" w:lineRule="auto"/>
              <w:ind w:firstLine="0" w:firstLineChars="0"/>
              <w:rPr>
                <w:rFonts w:eastAsiaTheme="minorEastAsia"/>
                <w:color w:val="000000" w:themeColor="text1"/>
                <w14:textFill>
                  <w14:solidFill>
                    <w14:schemeClr w14:val="tx1"/>
                  </w14:solidFill>
                </w14:textFill>
              </w:rPr>
            </w:pP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4" w:hRule="atLeast"/>
          <w:jc w:val="center"/>
        </w:trPr>
        <w:tc>
          <w:tcPr>
            <w:tcW w:w="670" w:type="pct"/>
            <w:vMerge w:val="restar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固体废物</w:t>
            </w:r>
          </w:p>
        </w:tc>
        <w:tc>
          <w:tcPr>
            <w:tcW w:w="1985"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生活垃圾：集中收集后，交由环卫部门清运处置</w:t>
            </w:r>
          </w:p>
        </w:tc>
        <w:tc>
          <w:tcPr>
            <w:tcW w:w="1071" w:type="pct"/>
            <w:vMerge w:val="restar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固体废弃物均得到妥善处置、去向明确，处置合理</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4" w:hRule="atLeast"/>
          <w:jc w:val="center"/>
        </w:trPr>
        <w:tc>
          <w:tcPr>
            <w:tcW w:w="670" w:type="pct"/>
            <w:vMerge w:val="continue"/>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p>
        </w:tc>
        <w:tc>
          <w:tcPr>
            <w:tcW w:w="1985"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开挖土石方用于堤防工程回填以及堤防后回填。</w:t>
            </w:r>
          </w:p>
        </w:tc>
        <w:tc>
          <w:tcPr>
            <w:tcW w:w="1071" w:type="pct"/>
            <w:vMerge w:val="continue"/>
            <w:vAlign w:val="center"/>
          </w:tcPr>
          <w:p>
            <w:pPr>
              <w:spacing w:line="240" w:lineRule="auto"/>
              <w:ind w:firstLine="0" w:firstLineChars="0"/>
              <w:rPr>
                <w:rFonts w:eastAsiaTheme="minorEastAsia"/>
                <w:color w:val="000000" w:themeColor="text1"/>
                <w14:textFill>
                  <w14:solidFill>
                    <w14:schemeClr w14:val="tx1"/>
                  </w14:solidFill>
                </w14:textFill>
              </w:rPr>
            </w:pP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37" w:hRule="atLeast"/>
          <w:jc w:val="center"/>
        </w:trPr>
        <w:tc>
          <w:tcPr>
            <w:tcW w:w="670" w:type="pct"/>
            <w:vMerge w:val="continue"/>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p>
        </w:tc>
        <w:tc>
          <w:tcPr>
            <w:tcW w:w="1985" w:type="pc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建筑垃圾：可回收的利用的外卖废物收购站处理；其他不可回收利用的及时运至政府指定的建筑垃圾堆放场</w:t>
            </w:r>
          </w:p>
        </w:tc>
        <w:tc>
          <w:tcPr>
            <w:tcW w:w="1071" w:type="pct"/>
            <w:vMerge w:val="continue"/>
            <w:vAlign w:val="center"/>
          </w:tcPr>
          <w:p>
            <w:pPr>
              <w:adjustRightInd w:val="0"/>
              <w:snapToGrid w:val="0"/>
              <w:spacing w:line="240" w:lineRule="auto"/>
              <w:ind w:firstLine="0" w:firstLineChars="0"/>
              <w:rPr>
                <w:rFonts w:eastAsiaTheme="minorEastAsia"/>
                <w:color w:val="000000" w:themeColor="text1"/>
                <w14:textFill>
                  <w14:solidFill>
                    <w14:schemeClr w14:val="tx1"/>
                  </w14:solidFill>
                </w14:textFill>
              </w:rPr>
            </w:pP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670"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电磁环境</w:t>
            </w:r>
          </w:p>
        </w:tc>
        <w:tc>
          <w:tcPr>
            <w:tcW w:w="1985"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1071" w:type="pct"/>
            <w:vAlign w:val="center"/>
          </w:tcPr>
          <w:p>
            <w:pPr>
              <w:adjustRightInd w:val="0"/>
              <w:snapToGrid w:val="0"/>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670"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环境风险</w:t>
            </w:r>
          </w:p>
        </w:tc>
        <w:tc>
          <w:tcPr>
            <w:tcW w:w="1985" w:type="pct"/>
            <w:vAlign w:val="center"/>
          </w:tcPr>
          <w:p>
            <w:pPr>
              <w:adjustRightInd w:val="0"/>
              <w:snapToGrid w:val="0"/>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加强管理，落实各项保护措施，禁止乱排，制定突发环境事件应急预案等</w:t>
            </w:r>
          </w:p>
        </w:tc>
        <w:tc>
          <w:tcPr>
            <w:tcW w:w="1071" w:type="pct"/>
            <w:vAlign w:val="center"/>
          </w:tcPr>
          <w:p>
            <w:pPr>
              <w:adjustRightInd w:val="0"/>
              <w:snapToGrid w:val="0"/>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670"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环境监测</w:t>
            </w:r>
          </w:p>
        </w:tc>
        <w:tc>
          <w:tcPr>
            <w:tcW w:w="1985" w:type="pct"/>
            <w:vAlign w:val="center"/>
          </w:tcPr>
          <w:p>
            <w:pPr>
              <w:adjustRightInd w:val="0"/>
              <w:snapToGrid w:val="0"/>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根据施工实施进度，对施工期进行定期监测</w:t>
            </w:r>
          </w:p>
        </w:tc>
        <w:tc>
          <w:tcPr>
            <w:tcW w:w="1071" w:type="pct"/>
            <w:vMerge w:val="restart"/>
            <w:vAlign w:val="center"/>
          </w:tcPr>
          <w:p>
            <w:pPr>
              <w:spacing w:line="240" w:lineRule="auto"/>
              <w:ind w:firstLine="0" w:firstLineChars="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环保机构健全，环保资料和档案齐全</w:t>
            </w: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670"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其他</w:t>
            </w:r>
          </w:p>
        </w:tc>
        <w:tc>
          <w:tcPr>
            <w:tcW w:w="1985" w:type="pct"/>
            <w:vAlign w:val="center"/>
          </w:tcPr>
          <w:p>
            <w:pPr>
              <w:pStyle w:val="59"/>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环境监管：施工期环境监测，检查和监督施工过程中发生的施工扬尘和施工噪声引起的环境问题</w:t>
            </w:r>
          </w:p>
        </w:tc>
        <w:tc>
          <w:tcPr>
            <w:tcW w:w="1071" w:type="pct"/>
            <w:vMerge w:val="continue"/>
            <w:vAlign w:val="center"/>
          </w:tcPr>
          <w:p>
            <w:pPr>
              <w:spacing w:line="240" w:lineRule="auto"/>
              <w:ind w:firstLine="0" w:firstLineChars="0"/>
              <w:rPr>
                <w:rFonts w:eastAsiaTheme="minorEastAsia"/>
                <w:color w:val="000000" w:themeColor="text1"/>
                <w14:textFill>
                  <w14:solidFill>
                    <w14:schemeClr w14:val="tx1"/>
                  </w14:solidFill>
                </w14:textFill>
              </w:rPr>
            </w:pPr>
          </w:p>
        </w:tc>
        <w:tc>
          <w:tcPr>
            <w:tcW w:w="75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c>
          <w:tcPr>
            <w:tcW w:w="522" w:type="pct"/>
            <w:vAlign w:val="center"/>
          </w:tcPr>
          <w:p>
            <w:pPr>
              <w:adjustRightInd w:val="0"/>
              <w:snapToGrid w:val="0"/>
              <w:spacing w:line="240" w:lineRule="auto"/>
              <w:ind w:firstLine="0" w:firstLineChars="0"/>
              <w:jc w:val="center"/>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w:t>
            </w:r>
          </w:p>
        </w:tc>
      </w:tr>
    </w:tbl>
    <w:p>
      <w:pPr>
        <w:pStyle w:val="26"/>
        <w:spacing w:before="265" w:beforeLines="80" w:beforeAutospacing="0"/>
        <w:ind w:firstLine="600"/>
        <w:jc w:val="center"/>
        <w:outlineLvl w:val="0"/>
        <w:rPr>
          <w:rFonts w:ascii="Times New Roman" w:hAnsi="Times New Roman" w:eastAsiaTheme="minorEastAsia"/>
          <w:snapToGrid w:val="0"/>
          <w:color w:val="000000" w:themeColor="text1"/>
          <w:sz w:val="30"/>
          <w:szCs w:val="30"/>
          <w14:textFill>
            <w14:solidFill>
              <w14:schemeClr w14:val="tx1"/>
            </w14:solidFill>
          </w14:textFill>
        </w:rPr>
        <w:sectPr>
          <w:pgSz w:w="11906" w:h="16838"/>
          <w:pgMar w:top="1440" w:right="1797" w:bottom="1440" w:left="1797" w:header="851" w:footer="1077" w:gutter="0"/>
          <w:cols w:space="720" w:num="1"/>
          <w:docGrid w:type="lines" w:linePitch="332" w:charSpace="0"/>
        </w:sectPr>
      </w:pPr>
    </w:p>
    <w:p>
      <w:pPr>
        <w:pStyle w:val="26"/>
        <w:spacing w:before="0" w:beforeAutospacing="0"/>
        <w:ind w:firstLine="0" w:firstLineChars="0"/>
        <w:jc w:val="center"/>
        <w:outlineLvl w:val="0"/>
        <w:rPr>
          <w:rFonts w:ascii="Times New Roman" w:hAnsi="Times New Roman" w:eastAsiaTheme="minorEastAsia"/>
          <w:b/>
          <w:snapToGrid w:val="0"/>
          <w:color w:val="000000" w:themeColor="text1"/>
          <w:sz w:val="30"/>
          <w:szCs w:val="30"/>
          <w14:textFill>
            <w14:solidFill>
              <w14:schemeClr w14:val="tx1"/>
            </w14:solidFill>
          </w14:textFill>
        </w:rPr>
      </w:pPr>
      <w:bookmarkStart w:id="87" w:name="_Toc155338891"/>
      <w:r>
        <w:rPr>
          <w:rFonts w:ascii="Times New Roman" w:hAnsi="Times New Roman" w:eastAsiaTheme="minorEastAsia"/>
          <w:b/>
          <w:snapToGrid w:val="0"/>
          <w:color w:val="000000" w:themeColor="text1"/>
          <w:sz w:val="30"/>
          <w:szCs w:val="30"/>
          <w14:textFill>
            <w14:solidFill>
              <w14:schemeClr w14:val="tx1"/>
            </w14:solidFill>
          </w14:textFill>
        </w:rPr>
        <w:t>七、结论</w:t>
      </w:r>
      <w:bookmarkEnd w:id="87"/>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5000" w:type="pct"/>
          </w:tcPr>
          <w:p>
            <w:pPr>
              <w:widowControl/>
              <w:ind w:firstLine="480"/>
              <w:rPr>
                <w:rFonts w:eastAsiaTheme="minorEastAsia"/>
                <w:bCs/>
                <w:color w:val="000000" w:themeColor="text1"/>
                <w:kern w:val="0"/>
                <w14:textFill>
                  <w14:solidFill>
                    <w14:schemeClr w14:val="tx1"/>
                  </w14:solidFill>
                </w14:textFill>
              </w:rPr>
            </w:pPr>
            <w:r>
              <w:rPr>
                <w:rFonts w:eastAsiaTheme="minorEastAsia"/>
                <w:bCs/>
                <w:color w:val="000000" w:themeColor="text1"/>
                <w:kern w:val="0"/>
                <w14:textFill>
                  <w14:solidFill>
                    <w14:schemeClr w14:val="tx1"/>
                  </w14:solidFill>
                </w14:textFill>
              </w:rPr>
              <w:t>项目的建设，符合国家当前产业政策，符合相关规划，符合“生态环境分区管控”要求。项目建设对完善黑水县卡龙镇才盖村段防洪保障体系，保护房屋和沿河两岸居民生命财产安全，改善生态环境，促进当地社会经济的发展，具有良好的社会生态正效益。在认真落实本报告中提出的污染防治措施，确保污染物达标排放的前提下，项目建设对周围环境影响较小。从环境的角度来看，本项目的</w:t>
            </w:r>
            <w:r>
              <w:rPr>
                <w:rFonts w:eastAsiaTheme="minorEastAsia"/>
                <w:bCs/>
                <w:color w:val="000000" w:themeColor="text1"/>
                <w:kern w:val="0"/>
                <w:lang w:val="en-GB"/>
                <w14:textFill>
                  <w14:solidFill>
                    <w14:schemeClr w14:val="tx1"/>
                  </w14:solidFill>
                </w14:textFill>
              </w:rPr>
              <w:t>建设</w:t>
            </w:r>
            <w:r>
              <w:rPr>
                <w:rFonts w:eastAsiaTheme="minorEastAsia"/>
                <w:bCs/>
                <w:color w:val="000000" w:themeColor="text1"/>
                <w:kern w:val="0"/>
                <w14:textFill>
                  <w14:solidFill>
                    <w14:schemeClr w14:val="tx1"/>
                  </w14:solidFill>
                </w14:textFill>
              </w:rPr>
              <w:t>是可行的。</w:t>
            </w:r>
          </w:p>
          <w:p>
            <w:pPr>
              <w:widowControl/>
              <w:ind w:firstLine="480"/>
              <w:rPr>
                <w:rFonts w:eastAsiaTheme="minorEastAsia"/>
                <w:color w:val="000000" w:themeColor="text1"/>
                <w:szCs w:val="21"/>
                <w14:textFill>
                  <w14:solidFill>
                    <w14:schemeClr w14:val="tx1"/>
                  </w14:solidFill>
                </w14:textFill>
              </w:rPr>
            </w:pPr>
          </w:p>
        </w:tc>
      </w:tr>
    </w:tbl>
    <w:p>
      <w:pPr>
        <w:ind w:firstLine="0" w:firstLineChars="0"/>
        <w:rPr>
          <w:rFonts w:eastAsiaTheme="minorEastAsia"/>
          <w:color w:val="000000" w:themeColor="text1"/>
          <w14:textFill>
            <w14:solidFill>
              <w14:schemeClr w14:val="tx1"/>
            </w14:solidFill>
          </w14:textFill>
        </w:rPr>
      </w:pPr>
    </w:p>
    <w:sectPr>
      <w:pgSz w:w="11906" w:h="16838"/>
      <w:pgMar w:top="1440" w:right="1797" w:bottom="1440" w:left="1797" w:header="851" w:footer="1077" w:gutter="0"/>
      <w:cols w:space="720" w:num="1"/>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Calibri Light">
    <w:altName w:val="DejaVu Sans"/>
    <w:panose1 w:val="020F0302020204030204"/>
    <w:charset w:val="00"/>
    <w:family w:val="swiss"/>
    <w:pitch w:val="default"/>
    <w:sig w:usb0="00000000" w:usb1="00000000" w:usb2="00000000" w:usb3="00000000" w:csb0="000001F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TimesNewRomanPSMT">
    <w:altName w:val="Times New Roman"/>
    <w:panose1 w:val="00000000000000000000"/>
    <w:charset w:val="80"/>
    <w:family w:val="auto"/>
    <w:pitch w:val="default"/>
    <w:sig w:usb0="00000000" w:usb1="00000000" w:usb2="00000000" w:usb3="00000000" w:csb0="00020000" w:csb1="00000000"/>
  </w:font>
  <w:font w:name="华文中宋">
    <w:altName w:val="方正书宋_GBK"/>
    <w:panose1 w:val="02010600040101010101"/>
    <w:charset w:val="86"/>
    <w:family w:val="auto"/>
    <w:pitch w:val="default"/>
    <w:sig w:usb0="00000000" w:usb1="00000000" w:usb2="00000010" w:usb3="00000000" w:csb0="0004009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Segoe UI Symbol">
    <w:altName w:val="Noto Sans"/>
    <w:panose1 w:val="020B0502040204020203"/>
    <w:charset w:val="00"/>
    <w:family w:val="swiss"/>
    <w:pitch w:val="default"/>
    <w:sig w:usb0="00000000" w:usb1="00000000" w:usb2="00040000" w:usb3="00000000" w:csb0="00000001" w:csb1="00000000"/>
  </w:font>
  <w:font w:name="Noto Sans">
    <w:panose1 w:val="020B0502040504020204"/>
    <w:charset w:val="00"/>
    <w:family w:val="auto"/>
    <w:pitch w:val="default"/>
    <w:sig w:usb0="E00002FF" w:usb1="4000201F" w:usb2="08000029" w:usb3="001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201F9EE" w:usb2="02000000" w:usb3="00000000" w:csb0="60000193" w:csb1="0DD40000"/>
  </w:font>
  <w:font w:name="NanumGothic">
    <w:panose1 w:val="020D0604000000000000"/>
    <w:charset w:val="81"/>
    <w:family w:val="auto"/>
    <w:pitch w:val="default"/>
    <w:sig w:usb0="900002A7" w:usb1="29D7FCFB" w:usb2="00000010" w:usb3="00000000" w:csb0="00080001" w:csb1="00000000"/>
  </w:font>
  <w:font w:name="HanaMinA">
    <w:panose1 w:val="02000609000000000000"/>
    <w:charset w:val="80"/>
    <w:family w:val="auto"/>
    <w:pitch w:val="default"/>
    <w:sig w:usb0="00000001" w:usb1="0A000000" w:usb2="0000000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outside" w:y="1"/>
      <w:ind w:firstLine="360"/>
      <w:rPr>
        <w:rStyle w:val="34"/>
      </w:rPr>
    </w:pPr>
    <w:r>
      <w:fldChar w:fldCharType="begin"/>
    </w:r>
    <w:r>
      <w:rPr>
        <w:rStyle w:val="34"/>
      </w:rPr>
      <w:instrText xml:space="preserve">PAGE  </w:instrText>
    </w:r>
    <w:r>
      <w:fldChar w:fldCharType="end"/>
    </w:r>
  </w:p>
  <w:p>
    <w:pPr>
      <w:pStyle w:val="2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6303937"/>
    </w:sdtPr>
    <w:sdtContent>
      <w:p>
        <w:pPr>
          <w:pStyle w:val="23"/>
          <w:ind w:firstLine="360"/>
          <w:jc w:val="center"/>
        </w:pPr>
        <w:r>
          <w:fldChar w:fldCharType="begin"/>
        </w:r>
        <w:r>
          <w:instrText xml:space="preserve">PAGE   \* MERGEFORMAT</w:instrText>
        </w:r>
        <w:r>
          <w:fldChar w:fldCharType="separate"/>
        </w:r>
        <w:r>
          <w:rPr>
            <w:lang w:val="zh-CN"/>
          </w:rPr>
          <w:t>17</w:t>
        </w:r>
        <w:r>
          <w:fldChar w:fldCharType="end"/>
        </w:r>
      </w:p>
    </w:sdtContent>
  </w:sdt>
  <w:p>
    <w:pPr>
      <w:pStyle w:val="2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4312BF"/>
    <w:multiLevelType w:val="multilevel"/>
    <w:tmpl w:val="354312BF"/>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5056EFC2"/>
    <w:multiLevelType w:val="multilevel"/>
    <w:tmpl w:val="5056EFC2"/>
    <w:lvl w:ilvl="0" w:tentative="0">
      <w:start w:val="1"/>
      <w:numFmt w:val="bullet"/>
      <w:pStyle w:val="14"/>
      <w:lvlText w:val=""/>
      <w:lvlJc w:val="left"/>
      <w:pPr>
        <w:tabs>
          <w:tab w:val="left" w:pos="2040"/>
        </w:tabs>
        <w:ind w:left="2040" w:hanging="360"/>
      </w:pPr>
      <w:rPr>
        <w:rFonts w:hint="default" w:ascii="Wingdings" w:hAnsi="Wingdings"/>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5A9902E5"/>
    <w:multiLevelType w:val="singleLevel"/>
    <w:tmpl w:val="5A9902E5"/>
    <w:lvl w:ilvl="0" w:tentative="0">
      <w:start w:val="1"/>
      <w:numFmt w:val="decimal"/>
      <w:suff w:val="nothing"/>
      <w:lvlText w:val="（%1）"/>
      <w:lvlJc w:val="left"/>
      <w:rPr>
        <w:b w:val="0"/>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xNzY0ODkzZWU0YjdiZDY5ZTY0ZDQzYTAyYmU5NTcifQ=="/>
    <w:docVar w:name="KSO_WPS_MARK_KEY" w:val="c692c29e-c2ea-4729-8c87-ec999548baab"/>
  </w:docVars>
  <w:rsids>
    <w:rsidRoot w:val="00172A27"/>
    <w:rsid w:val="0000051A"/>
    <w:rsid w:val="000029C7"/>
    <w:rsid w:val="00002B7F"/>
    <w:rsid w:val="0000379A"/>
    <w:rsid w:val="0000487C"/>
    <w:rsid w:val="0000630F"/>
    <w:rsid w:val="00007B8F"/>
    <w:rsid w:val="00010239"/>
    <w:rsid w:val="00010FDC"/>
    <w:rsid w:val="00013047"/>
    <w:rsid w:val="00014162"/>
    <w:rsid w:val="00014627"/>
    <w:rsid w:val="00015F13"/>
    <w:rsid w:val="000211D6"/>
    <w:rsid w:val="00021589"/>
    <w:rsid w:val="0002239A"/>
    <w:rsid w:val="0002361A"/>
    <w:rsid w:val="0002511F"/>
    <w:rsid w:val="000267B0"/>
    <w:rsid w:val="00026A08"/>
    <w:rsid w:val="000313A3"/>
    <w:rsid w:val="0003207E"/>
    <w:rsid w:val="00034B76"/>
    <w:rsid w:val="00036B5C"/>
    <w:rsid w:val="00036D80"/>
    <w:rsid w:val="0003741C"/>
    <w:rsid w:val="00037650"/>
    <w:rsid w:val="00037789"/>
    <w:rsid w:val="000406AA"/>
    <w:rsid w:val="000519EE"/>
    <w:rsid w:val="00053408"/>
    <w:rsid w:val="000534F6"/>
    <w:rsid w:val="000538E4"/>
    <w:rsid w:val="000543E6"/>
    <w:rsid w:val="0005453A"/>
    <w:rsid w:val="00054B78"/>
    <w:rsid w:val="00056E4E"/>
    <w:rsid w:val="0006261E"/>
    <w:rsid w:val="00063D9F"/>
    <w:rsid w:val="0006472B"/>
    <w:rsid w:val="00064DA0"/>
    <w:rsid w:val="000657D5"/>
    <w:rsid w:val="00065FDA"/>
    <w:rsid w:val="00067A44"/>
    <w:rsid w:val="00067F55"/>
    <w:rsid w:val="0007022B"/>
    <w:rsid w:val="00071490"/>
    <w:rsid w:val="00071DEF"/>
    <w:rsid w:val="000756CF"/>
    <w:rsid w:val="00075965"/>
    <w:rsid w:val="0008057F"/>
    <w:rsid w:val="00080617"/>
    <w:rsid w:val="00080C61"/>
    <w:rsid w:val="0008377E"/>
    <w:rsid w:val="000848A6"/>
    <w:rsid w:val="00084B94"/>
    <w:rsid w:val="000855F1"/>
    <w:rsid w:val="00086BE2"/>
    <w:rsid w:val="000878B3"/>
    <w:rsid w:val="000930C8"/>
    <w:rsid w:val="0009645D"/>
    <w:rsid w:val="000965EF"/>
    <w:rsid w:val="000973DB"/>
    <w:rsid w:val="000A19AB"/>
    <w:rsid w:val="000A2BDE"/>
    <w:rsid w:val="000A4A70"/>
    <w:rsid w:val="000A72BF"/>
    <w:rsid w:val="000B0667"/>
    <w:rsid w:val="000B243F"/>
    <w:rsid w:val="000B3C7B"/>
    <w:rsid w:val="000B47AF"/>
    <w:rsid w:val="000B489D"/>
    <w:rsid w:val="000B5492"/>
    <w:rsid w:val="000B5795"/>
    <w:rsid w:val="000C0A77"/>
    <w:rsid w:val="000C1778"/>
    <w:rsid w:val="000C394B"/>
    <w:rsid w:val="000C4C86"/>
    <w:rsid w:val="000C619A"/>
    <w:rsid w:val="000C61CA"/>
    <w:rsid w:val="000C6768"/>
    <w:rsid w:val="000C6C32"/>
    <w:rsid w:val="000C6FA8"/>
    <w:rsid w:val="000C7BD2"/>
    <w:rsid w:val="000D2BD4"/>
    <w:rsid w:val="000D3F85"/>
    <w:rsid w:val="000D4B78"/>
    <w:rsid w:val="000D4E9D"/>
    <w:rsid w:val="000D58C5"/>
    <w:rsid w:val="000D79D4"/>
    <w:rsid w:val="000E1A4B"/>
    <w:rsid w:val="000E254E"/>
    <w:rsid w:val="000E3CF0"/>
    <w:rsid w:val="000E47A5"/>
    <w:rsid w:val="000E5DD9"/>
    <w:rsid w:val="000E6AB4"/>
    <w:rsid w:val="000E7595"/>
    <w:rsid w:val="000F1DE3"/>
    <w:rsid w:val="000F4A6F"/>
    <w:rsid w:val="000F4BF6"/>
    <w:rsid w:val="000F520D"/>
    <w:rsid w:val="000F5671"/>
    <w:rsid w:val="000F58AD"/>
    <w:rsid w:val="001036C3"/>
    <w:rsid w:val="00104A99"/>
    <w:rsid w:val="00106B88"/>
    <w:rsid w:val="00107B61"/>
    <w:rsid w:val="00107F73"/>
    <w:rsid w:val="001127F2"/>
    <w:rsid w:val="0011284D"/>
    <w:rsid w:val="00112DB8"/>
    <w:rsid w:val="00113798"/>
    <w:rsid w:val="00113816"/>
    <w:rsid w:val="00113B4F"/>
    <w:rsid w:val="001168B4"/>
    <w:rsid w:val="001213E2"/>
    <w:rsid w:val="00121C32"/>
    <w:rsid w:val="00122455"/>
    <w:rsid w:val="00122FD9"/>
    <w:rsid w:val="00124398"/>
    <w:rsid w:val="001243F5"/>
    <w:rsid w:val="001251B9"/>
    <w:rsid w:val="0012559C"/>
    <w:rsid w:val="0012659C"/>
    <w:rsid w:val="00133E9C"/>
    <w:rsid w:val="00134185"/>
    <w:rsid w:val="001351A9"/>
    <w:rsid w:val="00140AB3"/>
    <w:rsid w:val="001426FE"/>
    <w:rsid w:val="0014281A"/>
    <w:rsid w:val="00143754"/>
    <w:rsid w:val="00143EE5"/>
    <w:rsid w:val="00146EA2"/>
    <w:rsid w:val="0015003E"/>
    <w:rsid w:val="00150486"/>
    <w:rsid w:val="00153922"/>
    <w:rsid w:val="00154D2B"/>
    <w:rsid w:val="001561D0"/>
    <w:rsid w:val="00162518"/>
    <w:rsid w:val="0017061B"/>
    <w:rsid w:val="0017069E"/>
    <w:rsid w:val="001712DC"/>
    <w:rsid w:val="00171B38"/>
    <w:rsid w:val="00172A27"/>
    <w:rsid w:val="0017498F"/>
    <w:rsid w:val="00176AD5"/>
    <w:rsid w:val="00176EB7"/>
    <w:rsid w:val="0017770E"/>
    <w:rsid w:val="0018099E"/>
    <w:rsid w:val="001814C3"/>
    <w:rsid w:val="0018167C"/>
    <w:rsid w:val="00184F2D"/>
    <w:rsid w:val="00190E85"/>
    <w:rsid w:val="00192411"/>
    <w:rsid w:val="001933F3"/>
    <w:rsid w:val="0019578A"/>
    <w:rsid w:val="001A0C02"/>
    <w:rsid w:val="001A22B3"/>
    <w:rsid w:val="001A5BA7"/>
    <w:rsid w:val="001B032C"/>
    <w:rsid w:val="001B0CE8"/>
    <w:rsid w:val="001B20AD"/>
    <w:rsid w:val="001B578B"/>
    <w:rsid w:val="001B5901"/>
    <w:rsid w:val="001B5B3C"/>
    <w:rsid w:val="001B6CF5"/>
    <w:rsid w:val="001B71C6"/>
    <w:rsid w:val="001B74D8"/>
    <w:rsid w:val="001B7AD6"/>
    <w:rsid w:val="001C1FC7"/>
    <w:rsid w:val="001C2306"/>
    <w:rsid w:val="001C2331"/>
    <w:rsid w:val="001C2AC6"/>
    <w:rsid w:val="001C35CC"/>
    <w:rsid w:val="001C6AE0"/>
    <w:rsid w:val="001C71D3"/>
    <w:rsid w:val="001C7D13"/>
    <w:rsid w:val="001D072E"/>
    <w:rsid w:val="001D344B"/>
    <w:rsid w:val="001D3869"/>
    <w:rsid w:val="001D4F06"/>
    <w:rsid w:val="001D7DC0"/>
    <w:rsid w:val="001E2347"/>
    <w:rsid w:val="001E2F18"/>
    <w:rsid w:val="001E3800"/>
    <w:rsid w:val="001E3950"/>
    <w:rsid w:val="001E3F13"/>
    <w:rsid w:val="001E4724"/>
    <w:rsid w:val="001E56A5"/>
    <w:rsid w:val="001E7744"/>
    <w:rsid w:val="001F09EB"/>
    <w:rsid w:val="001F0F64"/>
    <w:rsid w:val="001F3DC1"/>
    <w:rsid w:val="001F6350"/>
    <w:rsid w:val="001F7892"/>
    <w:rsid w:val="0020065D"/>
    <w:rsid w:val="002027BD"/>
    <w:rsid w:val="00210854"/>
    <w:rsid w:val="00212F03"/>
    <w:rsid w:val="002168C7"/>
    <w:rsid w:val="00221EEC"/>
    <w:rsid w:val="00221FF0"/>
    <w:rsid w:val="00224573"/>
    <w:rsid w:val="00226ABA"/>
    <w:rsid w:val="00231764"/>
    <w:rsid w:val="00231D73"/>
    <w:rsid w:val="00233745"/>
    <w:rsid w:val="00235497"/>
    <w:rsid w:val="0023637F"/>
    <w:rsid w:val="002422FA"/>
    <w:rsid w:val="00242552"/>
    <w:rsid w:val="00243C1C"/>
    <w:rsid w:val="00245836"/>
    <w:rsid w:val="00247ADF"/>
    <w:rsid w:val="002518D1"/>
    <w:rsid w:val="00251F8E"/>
    <w:rsid w:val="00255936"/>
    <w:rsid w:val="00257A10"/>
    <w:rsid w:val="0026186C"/>
    <w:rsid w:val="00263103"/>
    <w:rsid w:val="002636BA"/>
    <w:rsid w:val="002655EA"/>
    <w:rsid w:val="00266B7D"/>
    <w:rsid w:val="00267187"/>
    <w:rsid w:val="00267A25"/>
    <w:rsid w:val="0027036B"/>
    <w:rsid w:val="0027215D"/>
    <w:rsid w:val="00275EA2"/>
    <w:rsid w:val="00276CC4"/>
    <w:rsid w:val="00276F1E"/>
    <w:rsid w:val="00280AC6"/>
    <w:rsid w:val="002816FA"/>
    <w:rsid w:val="00281DD8"/>
    <w:rsid w:val="002822BA"/>
    <w:rsid w:val="002826BD"/>
    <w:rsid w:val="00285755"/>
    <w:rsid w:val="002857FF"/>
    <w:rsid w:val="00290147"/>
    <w:rsid w:val="00290CF9"/>
    <w:rsid w:val="00293345"/>
    <w:rsid w:val="0029403A"/>
    <w:rsid w:val="00294F4D"/>
    <w:rsid w:val="002A0F6C"/>
    <w:rsid w:val="002A6C91"/>
    <w:rsid w:val="002B0A42"/>
    <w:rsid w:val="002B203C"/>
    <w:rsid w:val="002B2863"/>
    <w:rsid w:val="002B2B24"/>
    <w:rsid w:val="002B3D6D"/>
    <w:rsid w:val="002B442D"/>
    <w:rsid w:val="002B5312"/>
    <w:rsid w:val="002B7F82"/>
    <w:rsid w:val="002C029E"/>
    <w:rsid w:val="002C0301"/>
    <w:rsid w:val="002C0AE3"/>
    <w:rsid w:val="002C151E"/>
    <w:rsid w:val="002C1BBD"/>
    <w:rsid w:val="002C215D"/>
    <w:rsid w:val="002C421D"/>
    <w:rsid w:val="002C6A55"/>
    <w:rsid w:val="002C7C88"/>
    <w:rsid w:val="002D08E1"/>
    <w:rsid w:val="002D0CCC"/>
    <w:rsid w:val="002D2A1D"/>
    <w:rsid w:val="002D2EE8"/>
    <w:rsid w:val="002D5E59"/>
    <w:rsid w:val="002D61F1"/>
    <w:rsid w:val="002E0496"/>
    <w:rsid w:val="002E11C5"/>
    <w:rsid w:val="002E2637"/>
    <w:rsid w:val="002E3CC5"/>
    <w:rsid w:val="002E53EA"/>
    <w:rsid w:val="002F0770"/>
    <w:rsid w:val="002F0BE1"/>
    <w:rsid w:val="002F1CA6"/>
    <w:rsid w:val="002F2EC2"/>
    <w:rsid w:val="002F7BD0"/>
    <w:rsid w:val="002F7FE0"/>
    <w:rsid w:val="00300D6D"/>
    <w:rsid w:val="00301060"/>
    <w:rsid w:val="0030123B"/>
    <w:rsid w:val="00303EA9"/>
    <w:rsid w:val="00304332"/>
    <w:rsid w:val="003046EF"/>
    <w:rsid w:val="003048D9"/>
    <w:rsid w:val="00310786"/>
    <w:rsid w:val="00310AD6"/>
    <w:rsid w:val="00310C21"/>
    <w:rsid w:val="00311FE3"/>
    <w:rsid w:val="00314F4F"/>
    <w:rsid w:val="0032162D"/>
    <w:rsid w:val="003231B6"/>
    <w:rsid w:val="003234ED"/>
    <w:rsid w:val="00323C55"/>
    <w:rsid w:val="00326525"/>
    <w:rsid w:val="00326C11"/>
    <w:rsid w:val="00327F55"/>
    <w:rsid w:val="003308D1"/>
    <w:rsid w:val="00333493"/>
    <w:rsid w:val="00334324"/>
    <w:rsid w:val="00335FF3"/>
    <w:rsid w:val="00337E2D"/>
    <w:rsid w:val="0034261B"/>
    <w:rsid w:val="00345A71"/>
    <w:rsid w:val="00345CEC"/>
    <w:rsid w:val="003479C2"/>
    <w:rsid w:val="00350579"/>
    <w:rsid w:val="00352E4F"/>
    <w:rsid w:val="00352FD4"/>
    <w:rsid w:val="00353CDE"/>
    <w:rsid w:val="00360D9D"/>
    <w:rsid w:val="00363156"/>
    <w:rsid w:val="003644FB"/>
    <w:rsid w:val="00371F46"/>
    <w:rsid w:val="00372297"/>
    <w:rsid w:val="00374F9E"/>
    <w:rsid w:val="00375F2D"/>
    <w:rsid w:val="00376311"/>
    <w:rsid w:val="0038167C"/>
    <w:rsid w:val="003816DB"/>
    <w:rsid w:val="00381A7E"/>
    <w:rsid w:val="00382D4C"/>
    <w:rsid w:val="00387132"/>
    <w:rsid w:val="00392504"/>
    <w:rsid w:val="00394CCD"/>
    <w:rsid w:val="003953F0"/>
    <w:rsid w:val="00395F74"/>
    <w:rsid w:val="003A031A"/>
    <w:rsid w:val="003A14F7"/>
    <w:rsid w:val="003A2C51"/>
    <w:rsid w:val="003A5D18"/>
    <w:rsid w:val="003A68F0"/>
    <w:rsid w:val="003B502A"/>
    <w:rsid w:val="003B5412"/>
    <w:rsid w:val="003C2E37"/>
    <w:rsid w:val="003C2F45"/>
    <w:rsid w:val="003C3658"/>
    <w:rsid w:val="003C36D0"/>
    <w:rsid w:val="003C3DBF"/>
    <w:rsid w:val="003C526D"/>
    <w:rsid w:val="003D01A0"/>
    <w:rsid w:val="003D07A1"/>
    <w:rsid w:val="003D0C95"/>
    <w:rsid w:val="003D14FA"/>
    <w:rsid w:val="003D176B"/>
    <w:rsid w:val="003D4D55"/>
    <w:rsid w:val="003D4E7A"/>
    <w:rsid w:val="003D6BD7"/>
    <w:rsid w:val="003E4AE4"/>
    <w:rsid w:val="003E5402"/>
    <w:rsid w:val="003F02F2"/>
    <w:rsid w:val="003F6598"/>
    <w:rsid w:val="003F6A2E"/>
    <w:rsid w:val="003F6FCA"/>
    <w:rsid w:val="00400035"/>
    <w:rsid w:val="004023AB"/>
    <w:rsid w:val="004028EC"/>
    <w:rsid w:val="00403459"/>
    <w:rsid w:val="00404C77"/>
    <w:rsid w:val="00406D61"/>
    <w:rsid w:val="00410313"/>
    <w:rsid w:val="00411CB9"/>
    <w:rsid w:val="00413902"/>
    <w:rsid w:val="0042238B"/>
    <w:rsid w:val="00423DA2"/>
    <w:rsid w:val="00425543"/>
    <w:rsid w:val="00426904"/>
    <w:rsid w:val="0043222F"/>
    <w:rsid w:val="00442413"/>
    <w:rsid w:val="00444EB3"/>
    <w:rsid w:val="004453F6"/>
    <w:rsid w:val="00445550"/>
    <w:rsid w:val="00450FA6"/>
    <w:rsid w:val="00451787"/>
    <w:rsid w:val="004521AC"/>
    <w:rsid w:val="00452B13"/>
    <w:rsid w:val="0045343B"/>
    <w:rsid w:val="00457688"/>
    <w:rsid w:val="00457F27"/>
    <w:rsid w:val="00461E25"/>
    <w:rsid w:val="00465D00"/>
    <w:rsid w:val="00471022"/>
    <w:rsid w:val="0047115E"/>
    <w:rsid w:val="00475DDA"/>
    <w:rsid w:val="004777A9"/>
    <w:rsid w:val="00480021"/>
    <w:rsid w:val="004849A0"/>
    <w:rsid w:val="00486AF7"/>
    <w:rsid w:val="00486BC9"/>
    <w:rsid w:val="00486F61"/>
    <w:rsid w:val="004875F1"/>
    <w:rsid w:val="0048781C"/>
    <w:rsid w:val="004878F2"/>
    <w:rsid w:val="004900FA"/>
    <w:rsid w:val="00491C0F"/>
    <w:rsid w:val="00491DDB"/>
    <w:rsid w:val="00497CA1"/>
    <w:rsid w:val="004A0CCF"/>
    <w:rsid w:val="004A28D9"/>
    <w:rsid w:val="004A2A69"/>
    <w:rsid w:val="004A37E3"/>
    <w:rsid w:val="004A3FC4"/>
    <w:rsid w:val="004A4E67"/>
    <w:rsid w:val="004B2778"/>
    <w:rsid w:val="004B341E"/>
    <w:rsid w:val="004B35E7"/>
    <w:rsid w:val="004B425F"/>
    <w:rsid w:val="004B54C7"/>
    <w:rsid w:val="004B6015"/>
    <w:rsid w:val="004B6A98"/>
    <w:rsid w:val="004C0DC6"/>
    <w:rsid w:val="004C1B6E"/>
    <w:rsid w:val="004C2B7C"/>
    <w:rsid w:val="004C5B6F"/>
    <w:rsid w:val="004C7798"/>
    <w:rsid w:val="004C7DEB"/>
    <w:rsid w:val="004D16B9"/>
    <w:rsid w:val="004D1B95"/>
    <w:rsid w:val="004D268B"/>
    <w:rsid w:val="004D2A4A"/>
    <w:rsid w:val="004D4AB5"/>
    <w:rsid w:val="004D679A"/>
    <w:rsid w:val="004E0268"/>
    <w:rsid w:val="004E0837"/>
    <w:rsid w:val="004E09F6"/>
    <w:rsid w:val="004E1347"/>
    <w:rsid w:val="004E2BD0"/>
    <w:rsid w:val="004E38A6"/>
    <w:rsid w:val="004E6B4C"/>
    <w:rsid w:val="004F5890"/>
    <w:rsid w:val="0050151F"/>
    <w:rsid w:val="00505140"/>
    <w:rsid w:val="005057D2"/>
    <w:rsid w:val="00506DE3"/>
    <w:rsid w:val="00507069"/>
    <w:rsid w:val="00511156"/>
    <w:rsid w:val="00515616"/>
    <w:rsid w:val="00516731"/>
    <w:rsid w:val="00516846"/>
    <w:rsid w:val="00516B65"/>
    <w:rsid w:val="00517E76"/>
    <w:rsid w:val="00523BFF"/>
    <w:rsid w:val="00524A7A"/>
    <w:rsid w:val="00525FE4"/>
    <w:rsid w:val="00534B46"/>
    <w:rsid w:val="00534F99"/>
    <w:rsid w:val="00536DFA"/>
    <w:rsid w:val="00542982"/>
    <w:rsid w:val="0055081C"/>
    <w:rsid w:val="00550E99"/>
    <w:rsid w:val="00552B15"/>
    <w:rsid w:val="00552B65"/>
    <w:rsid w:val="005548E7"/>
    <w:rsid w:val="00555384"/>
    <w:rsid w:val="0056006B"/>
    <w:rsid w:val="00560293"/>
    <w:rsid w:val="00561AD2"/>
    <w:rsid w:val="00561C1B"/>
    <w:rsid w:val="00561E21"/>
    <w:rsid w:val="00561E6F"/>
    <w:rsid w:val="0056415A"/>
    <w:rsid w:val="005641D4"/>
    <w:rsid w:val="00565B77"/>
    <w:rsid w:val="00567582"/>
    <w:rsid w:val="005677C8"/>
    <w:rsid w:val="005736BA"/>
    <w:rsid w:val="005750D1"/>
    <w:rsid w:val="00575ACA"/>
    <w:rsid w:val="00575ADC"/>
    <w:rsid w:val="0058041E"/>
    <w:rsid w:val="00582BE2"/>
    <w:rsid w:val="00584E8E"/>
    <w:rsid w:val="0058664A"/>
    <w:rsid w:val="00587930"/>
    <w:rsid w:val="00591D2B"/>
    <w:rsid w:val="00592756"/>
    <w:rsid w:val="0059522F"/>
    <w:rsid w:val="0059555A"/>
    <w:rsid w:val="00595A2E"/>
    <w:rsid w:val="005A1A3E"/>
    <w:rsid w:val="005A2DA6"/>
    <w:rsid w:val="005A4F82"/>
    <w:rsid w:val="005A4FB0"/>
    <w:rsid w:val="005A7907"/>
    <w:rsid w:val="005B0937"/>
    <w:rsid w:val="005B1C49"/>
    <w:rsid w:val="005B2863"/>
    <w:rsid w:val="005B289F"/>
    <w:rsid w:val="005B2C5D"/>
    <w:rsid w:val="005B4FCA"/>
    <w:rsid w:val="005B5BC0"/>
    <w:rsid w:val="005B68CF"/>
    <w:rsid w:val="005B693E"/>
    <w:rsid w:val="005B7E1B"/>
    <w:rsid w:val="005C50B8"/>
    <w:rsid w:val="005C59FB"/>
    <w:rsid w:val="005C7D85"/>
    <w:rsid w:val="005D19B0"/>
    <w:rsid w:val="005D2520"/>
    <w:rsid w:val="005D4036"/>
    <w:rsid w:val="005D509E"/>
    <w:rsid w:val="005D53EC"/>
    <w:rsid w:val="005E1A2C"/>
    <w:rsid w:val="005E49A6"/>
    <w:rsid w:val="005E57B4"/>
    <w:rsid w:val="005E5B24"/>
    <w:rsid w:val="005E7BDA"/>
    <w:rsid w:val="005F1048"/>
    <w:rsid w:val="005F154E"/>
    <w:rsid w:val="005F209C"/>
    <w:rsid w:val="005F2C0B"/>
    <w:rsid w:val="005F316F"/>
    <w:rsid w:val="005F34A3"/>
    <w:rsid w:val="005F3D59"/>
    <w:rsid w:val="005F5D3F"/>
    <w:rsid w:val="005F635B"/>
    <w:rsid w:val="005F681C"/>
    <w:rsid w:val="006029C6"/>
    <w:rsid w:val="00602A5D"/>
    <w:rsid w:val="006053D6"/>
    <w:rsid w:val="00605597"/>
    <w:rsid w:val="00617787"/>
    <w:rsid w:val="0062017F"/>
    <w:rsid w:val="00620586"/>
    <w:rsid w:val="00621F38"/>
    <w:rsid w:val="0062289D"/>
    <w:rsid w:val="006229B0"/>
    <w:rsid w:val="00625344"/>
    <w:rsid w:val="00626531"/>
    <w:rsid w:val="00627B85"/>
    <w:rsid w:val="00633F68"/>
    <w:rsid w:val="00636B9F"/>
    <w:rsid w:val="00640604"/>
    <w:rsid w:val="0064486C"/>
    <w:rsid w:val="00644E09"/>
    <w:rsid w:val="00646576"/>
    <w:rsid w:val="006500D5"/>
    <w:rsid w:val="00650DB5"/>
    <w:rsid w:val="00653087"/>
    <w:rsid w:val="00655519"/>
    <w:rsid w:val="006555BF"/>
    <w:rsid w:val="00660316"/>
    <w:rsid w:val="00661752"/>
    <w:rsid w:val="00665074"/>
    <w:rsid w:val="006702F3"/>
    <w:rsid w:val="00674366"/>
    <w:rsid w:val="00675AB4"/>
    <w:rsid w:val="0068160F"/>
    <w:rsid w:val="00681EED"/>
    <w:rsid w:val="00682B19"/>
    <w:rsid w:val="00682BAD"/>
    <w:rsid w:val="00683958"/>
    <w:rsid w:val="0068625B"/>
    <w:rsid w:val="00692ACA"/>
    <w:rsid w:val="006933C7"/>
    <w:rsid w:val="00693C61"/>
    <w:rsid w:val="00693C7D"/>
    <w:rsid w:val="00693FFB"/>
    <w:rsid w:val="006944DB"/>
    <w:rsid w:val="006961B0"/>
    <w:rsid w:val="006A4452"/>
    <w:rsid w:val="006A4ED6"/>
    <w:rsid w:val="006A6ED9"/>
    <w:rsid w:val="006A72BC"/>
    <w:rsid w:val="006B0C89"/>
    <w:rsid w:val="006B1C2B"/>
    <w:rsid w:val="006B2A45"/>
    <w:rsid w:val="006B3DA1"/>
    <w:rsid w:val="006B4BA5"/>
    <w:rsid w:val="006B6CEC"/>
    <w:rsid w:val="006B7631"/>
    <w:rsid w:val="006B7FDF"/>
    <w:rsid w:val="006C0A45"/>
    <w:rsid w:val="006C120B"/>
    <w:rsid w:val="006C142C"/>
    <w:rsid w:val="006C7B8B"/>
    <w:rsid w:val="006D2CE6"/>
    <w:rsid w:val="006D3AC8"/>
    <w:rsid w:val="006D43D6"/>
    <w:rsid w:val="006D7650"/>
    <w:rsid w:val="006E0A10"/>
    <w:rsid w:val="006E0B64"/>
    <w:rsid w:val="006E1C25"/>
    <w:rsid w:val="006E2970"/>
    <w:rsid w:val="006E3274"/>
    <w:rsid w:val="006E3D8F"/>
    <w:rsid w:val="006E41BB"/>
    <w:rsid w:val="006F042F"/>
    <w:rsid w:val="006F1774"/>
    <w:rsid w:val="006F2C24"/>
    <w:rsid w:val="006F7269"/>
    <w:rsid w:val="00700EB4"/>
    <w:rsid w:val="00701A17"/>
    <w:rsid w:val="00701E0D"/>
    <w:rsid w:val="00702B89"/>
    <w:rsid w:val="00702E1E"/>
    <w:rsid w:val="00703296"/>
    <w:rsid w:val="00704C79"/>
    <w:rsid w:val="00704CED"/>
    <w:rsid w:val="00705E32"/>
    <w:rsid w:val="00705EB9"/>
    <w:rsid w:val="007069ED"/>
    <w:rsid w:val="007076AB"/>
    <w:rsid w:val="0070797E"/>
    <w:rsid w:val="007103B8"/>
    <w:rsid w:val="00712F9A"/>
    <w:rsid w:val="00713AC0"/>
    <w:rsid w:val="0071521F"/>
    <w:rsid w:val="007154B9"/>
    <w:rsid w:val="00716C48"/>
    <w:rsid w:val="00717EDE"/>
    <w:rsid w:val="00721536"/>
    <w:rsid w:val="007226DB"/>
    <w:rsid w:val="00726F51"/>
    <w:rsid w:val="0072707F"/>
    <w:rsid w:val="00737703"/>
    <w:rsid w:val="00741373"/>
    <w:rsid w:val="00741B79"/>
    <w:rsid w:val="00742A56"/>
    <w:rsid w:val="00743B2B"/>
    <w:rsid w:val="00745638"/>
    <w:rsid w:val="00747D49"/>
    <w:rsid w:val="00747D77"/>
    <w:rsid w:val="00754230"/>
    <w:rsid w:val="00754779"/>
    <w:rsid w:val="00754F2C"/>
    <w:rsid w:val="00755C18"/>
    <w:rsid w:val="007566FD"/>
    <w:rsid w:val="00761788"/>
    <w:rsid w:val="007625F8"/>
    <w:rsid w:val="007628D0"/>
    <w:rsid w:val="00763A59"/>
    <w:rsid w:val="00765BB8"/>
    <w:rsid w:val="007665C6"/>
    <w:rsid w:val="00770991"/>
    <w:rsid w:val="0077216F"/>
    <w:rsid w:val="0077254D"/>
    <w:rsid w:val="007746CF"/>
    <w:rsid w:val="0078614B"/>
    <w:rsid w:val="0079060C"/>
    <w:rsid w:val="0079120B"/>
    <w:rsid w:val="00792829"/>
    <w:rsid w:val="00796878"/>
    <w:rsid w:val="007A1FF2"/>
    <w:rsid w:val="007A4668"/>
    <w:rsid w:val="007B0754"/>
    <w:rsid w:val="007B1DE9"/>
    <w:rsid w:val="007B39E9"/>
    <w:rsid w:val="007B56DC"/>
    <w:rsid w:val="007B77F3"/>
    <w:rsid w:val="007C01CE"/>
    <w:rsid w:val="007C328F"/>
    <w:rsid w:val="007C391D"/>
    <w:rsid w:val="007C59D7"/>
    <w:rsid w:val="007C635F"/>
    <w:rsid w:val="007C6DDE"/>
    <w:rsid w:val="007C7EEC"/>
    <w:rsid w:val="007D3C61"/>
    <w:rsid w:val="007D5226"/>
    <w:rsid w:val="007D64C4"/>
    <w:rsid w:val="007F1EB0"/>
    <w:rsid w:val="007F391D"/>
    <w:rsid w:val="007F4E1A"/>
    <w:rsid w:val="007F6F88"/>
    <w:rsid w:val="007F77E4"/>
    <w:rsid w:val="008009CF"/>
    <w:rsid w:val="008038B1"/>
    <w:rsid w:val="00804080"/>
    <w:rsid w:val="00804225"/>
    <w:rsid w:val="00805DAE"/>
    <w:rsid w:val="00806684"/>
    <w:rsid w:val="00810085"/>
    <w:rsid w:val="0081059A"/>
    <w:rsid w:val="00811CE6"/>
    <w:rsid w:val="00812469"/>
    <w:rsid w:val="00812E2E"/>
    <w:rsid w:val="0081583A"/>
    <w:rsid w:val="008169F9"/>
    <w:rsid w:val="008177D2"/>
    <w:rsid w:val="00820C37"/>
    <w:rsid w:val="00825A6F"/>
    <w:rsid w:val="0082682D"/>
    <w:rsid w:val="008314DE"/>
    <w:rsid w:val="00832298"/>
    <w:rsid w:val="0083404C"/>
    <w:rsid w:val="00835CFE"/>
    <w:rsid w:val="00836C76"/>
    <w:rsid w:val="00836CF0"/>
    <w:rsid w:val="00837C51"/>
    <w:rsid w:val="00843038"/>
    <w:rsid w:val="00844262"/>
    <w:rsid w:val="00845ED5"/>
    <w:rsid w:val="008463D5"/>
    <w:rsid w:val="00847164"/>
    <w:rsid w:val="00850614"/>
    <w:rsid w:val="00850CE1"/>
    <w:rsid w:val="0085212D"/>
    <w:rsid w:val="00853A9E"/>
    <w:rsid w:val="008550EF"/>
    <w:rsid w:val="00856C8C"/>
    <w:rsid w:val="008570BD"/>
    <w:rsid w:val="0085741B"/>
    <w:rsid w:val="008637A5"/>
    <w:rsid w:val="00863866"/>
    <w:rsid w:val="00865301"/>
    <w:rsid w:val="008671BF"/>
    <w:rsid w:val="008672B5"/>
    <w:rsid w:val="00867870"/>
    <w:rsid w:val="00870E7C"/>
    <w:rsid w:val="008736B5"/>
    <w:rsid w:val="0087375E"/>
    <w:rsid w:val="0087432C"/>
    <w:rsid w:val="008747DF"/>
    <w:rsid w:val="008802A2"/>
    <w:rsid w:val="0088118C"/>
    <w:rsid w:val="00882BF2"/>
    <w:rsid w:val="00884466"/>
    <w:rsid w:val="00884E6A"/>
    <w:rsid w:val="0088698A"/>
    <w:rsid w:val="0088747A"/>
    <w:rsid w:val="008876E7"/>
    <w:rsid w:val="00887E33"/>
    <w:rsid w:val="008937C1"/>
    <w:rsid w:val="00893DFA"/>
    <w:rsid w:val="00895986"/>
    <w:rsid w:val="0089789B"/>
    <w:rsid w:val="008A0BC3"/>
    <w:rsid w:val="008A0ED1"/>
    <w:rsid w:val="008A45CA"/>
    <w:rsid w:val="008A7D91"/>
    <w:rsid w:val="008B31B9"/>
    <w:rsid w:val="008B329A"/>
    <w:rsid w:val="008B50D0"/>
    <w:rsid w:val="008B61F2"/>
    <w:rsid w:val="008B651E"/>
    <w:rsid w:val="008C0196"/>
    <w:rsid w:val="008C0372"/>
    <w:rsid w:val="008C30B5"/>
    <w:rsid w:val="008C3D51"/>
    <w:rsid w:val="008C5F32"/>
    <w:rsid w:val="008C726F"/>
    <w:rsid w:val="008D17DE"/>
    <w:rsid w:val="008D2F64"/>
    <w:rsid w:val="008D734E"/>
    <w:rsid w:val="008D7610"/>
    <w:rsid w:val="008D79AE"/>
    <w:rsid w:val="008D7FBF"/>
    <w:rsid w:val="008E062A"/>
    <w:rsid w:val="008E0DBE"/>
    <w:rsid w:val="008E20A4"/>
    <w:rsid w:val="008E49DE"/>
    <w:rsid w:val="008E4ACE"/>
    <w:rsid w:val="008E6313"/>
    <w:rsid w:val="008E6337"/>
    <w:rsid w:val="008E75AA"/>
    <w:rsid w:val="008F0142"/>
    <w:rsid w:val="008F4F7B"/>
    <w:rsid w:val="008F67DC"/>
    <w:rsid w:val="008F7C16"/>
    <w:rsid w:val="009000C4"/>
    <w:rsid w:val="009030E7"/>
    <w:rsid w:val="00917F28"/>
    <w:rsid w:val="0092129F"/>
    <w:rsid w:val="00923070"/>
    <w:rsid w:val="00923E5A"/>
    <w:rsid w:val="0092650E"/>
    <w:rsid w:val="0093005D"/>
    <w:rsid w:val="009300FA"/>
    <w:rsid w:val="00930726"/>
    <w:rsid w:val="0093140F"/>
    <w:rsid w:val="009317F3"/>
    <w:rsid w:val="00931C8B"/>
    <w:rsid w:val="00932501"/>
    <w:rsid w:val="00932BC3"/>
    <w:rsid w:val="00936B07"/>
    <w:rsid w:val="0094126C"/>
    <w:rsid w:val="00941470"/>
    <w:rsid w:val="0094252E"/>
    <w:rsid w:val="00943F16"/>
    <w:rsid w:val="009441EB"/>
    <w:rsid w:val="009443FE"/>
    <w:rsid w:val="00944412"/>
    <w:rsid w:val="00944DEE"/>
    <w:rsid w:val="009501DF"/>
    <w:rsid w:val="00950445"/>
    <w:rsid w:val="0095066F"/>
    <w:rsid w:val="00951CD5"/>
    <w:rsid w:val="00957D35"/>
    <w:rsid w:val="00960D25"/>
    <w:rsid w:val="00963D46"/>
    <w:rsid w:val="00964039"/>
    <w:rsid w:val="00964485"/>
    <w:rsid w:val="00965022"/>
    <w:rsid w:val="00965592"/>
    <w:rsid w:val="009658EF"/>
    <w:rsid w:val="009706DE"/>
    <w:rsid w:val="00971E7B"/>
    <w:rsid w:val="00977A5A"/>
    <w:rsid w:val="0098073E"/>
    <w:rsid w:val="009831D3"/>
    <w:rsid w:val="00991352"/>
    <w:rsid w:val="00991F14"/>
    <w:rsid w:val="00992B94"/>
    <w:rsid w:val="009930BD"/>
    <w:rsid w:val="00993E87"/>
    <w:rsid w:val="00994527"/>
    <w:rsid w:val="009A26C1"/>
    <w:rsid w:val="009A2993"/>
    <w:rsid w:val="009A5E10"/>
    <w:rsid w:val="009B0589"/>
    <w:rsid w:val="009B185B"/>
    <w:rsid w:val="009B198F"/>
    <w:rsid w:val="009B549D"/>
    <w:rsid w:val="009B6035"/>
    <w:rsid w:val="009B63E9"/>
    <w:rsid w:val="009B6680"/>
    <w:rsid w:val="009C07A3"/>
    <w:rsid w:val="009C2133"/>
    <w:rsid w:val="009C3CBA"/>
    <w:rsid w:val="009C6F2C"/>
    <w:rsid w:val="009C713F"/>
    <w:rsid w:val="009D0B8B"/>
    <w:rsid w:val="009D6DC5"/>
    <w:rsid w:val="009E07AD"/>
    <w:rsid w:val="009E0965"/>
    <w:rsid w:val="009E1919"/>
    <w:rsid w:val="009E51E5"/>
    <w:rsid w:val="009E56A2"/>
    <w:rsid w:val="009E64DD"/>
    <w:rsid w:val="009F06F4"/>
    <w:rsid w:val="009F1AC4"/>
    <w:rsid w:val="009F52AF"/>
    <w:rsid w:val="009F5FBA"/>
    <w:rsid w:val="009F715D"/>
    <w:rsid w:val="00A01F2E"/>
    <w:rsid w:val="00A03054"/>
    <w:rsid w:val="00A04629"/>
    <w:rsid w:val="00A106F6"/>
    <w:rsid w:val="00A12BBC"/>
    <w:rsid w:val="00A13D89"/>
    <w:rsid w:val="00A1560F"/>
    <w:rsid w:val="00A17B71"/>
    <w:rsid w:val="00A20088"/>
    <w:rsid w:val="00A20F84"/>
    <w:rsid w:val="00A255B2"/>
    <w:rsid w:val="00A26AC9"/>
    <w:rsid w:val="00A26FB8"/>
    <w:rsid w:val="00A315F4"/>
    <w:rsid w:val="00A35847"/>
    <w:rsid w:val="00A421DE"/>
    <w:rsid w:val="00A422AA"/>
    <w:rsid w:val="00A45F46"/>
    <w:rsid w:val="00A50C05"/>
    <w:rsid w:val="00A50D35"/>
    <w:rsid w:val="00A54964"/>
    <w:rsid w:val="00A55FCC"/>
    <w:rsid w:val="00A5745B"/>
    <w:rsid w:val="00A57723"/>
    <w:rsid w:val="00A62000"/>
    <w:rsid w:val="00A63F2C"/>
    <w:rsid w:val="00A66707"/>
    <w:rsid w:val="00A7017F"/>
    <w:rsid w:val="00A70B7A"/>
    <w:rsid w:val="00A71205"/>
    <w:rsid w:val="00A72E7A"/>
    <w:rsid w:val="00A7415F"/>
    <w:rsid w:val="00A76469"/>
    <w:rsid w:val="00A80A59"/>
    <w:rsid w:val="00A81334"/>
    <w:rsid w:val="00A839AE"/>
    <w:rsid w:val="00A848FD"/>
    <w:rsid w:val="00A8676F"/>
    <w:rsid w:val="00A87282"/>
    <w:rsid w:val="00A911C5"/>
    <w:rsid w:val="00A915FE"/>
    <w:rsid w:val="00A93B85"/>
    <w:rsid w:val="00A953DE"/>
    <w:rsid w:val="00AA303A"/>
    <w:rsid w:val="00AA3841"/>
    <w:rsid w:val="00AA3F80"/>
    <w:rsid w:val="00AA4AF9"/>
    <w:rsid w:val="00AA661F"/>
    <w:rsid w:val="00AA6930"/>
    <w:rsid w:val="00AB07B4"/>
    <w:rsid w:val="00AB18F0"/>
    <w:rsid w:val="00AB27C0"/>
    <w:rsid w:val="00AB3804"/>
    <w:rsid w:val="00AB4A60"/>
    <w:rsid w:val="00AB6554"/>
    <w:rsid w:val="00AB7174"/>
    <w:rsid w:val="00AC0420"/>
    <w:rsid w:val="00AC0C45"/>
    <w:rsid w:val="00AC32DE"/>
    <w:rsid w:val="00AC3807"/>
    <w:rsid w:val="00AC5225"/>
    <w:rsid w:val="00AD057E"/>
    <w:rsid w:val="00AD0666"/>
    <w:rsid w:val="00AD1065"/>
    <w:rsid w:val="00AD21EF"/>
    <w:rsid w:val="00AE0BD2"/>
    <w:rsid w:val="00AE1362"/>
    <w:rsid w:val="00AE53B9"/>
    <w:rsid w:val="00AE7D38"/>
    <w:rsid w:val="00AF15BB"/>
    <w:rsid w:val="00AF192A"/>
    <w:rsid w:val="00AF2831"/>
    <w:rsid w:val="00AF5A36"/>
    <w:rsid w:val="00AF62F4"/>
    <w:rsid w:val="00B059C0"/>
    <w:rsid w:val="00B06856"/>
    <w:rsid w:val="00B07EF8"/>
    <w:rsid w:val="00B07F18"/>
    <w:rsid w:val="00B104A5"/>
    <w:rsid w:val="00B10C12"/>
    <w:rsid w:val="00B11239"/>
    <w:rsid w:val="00B20455"/>
    <w:rsid w:val="00B20E2C"/>
    <w:rsid w:val="00B21652"/>
    <w:rsid w:val="00B23506"/>
    <w:rsid w:val="00B24949"/>
    <w:rsid w:val="00B30E3B"/>
    <w:rsid w:val="00B314BF"/>
    <w:rsid w:val="00B31D75"/>
    <w:rsid w:val="00B3544D"/>
    <w:rsid w:val="00B3687D"/>
    <w:rsid w:val="00B40DA7"/>
    <w:rsid w:val="00B41DEF"/>
    <w:rsid w:val="00B42728"/>
    <w:rsid w:val="00B42EF5"/>
    <w:rsid w:val="00B4390D"/>
    <w:rsid w:val="00B43B37"/>
    <w:rsid w:val="00B4459B"/>
    <w:rsid w:val="00B45BF0"/>
    <w:rsid w:val="00B51990"/>
    <w:rsid w:val="00B51C0D"/>
    <w:rsid w:val="00B53317"/>
    <w:rsid w:val="00B53730"/>
    <w:rsid w:val="00B56E66"/>
    <w:rsid w:val="00B57391"/>
    <w:rsid w:val="00B62B27"/>
    <w:rsid w:val="00B6310C"/>
    <w:rsid w:val="00B631D4"/>
    <w:rsid w:val="00B67F33"/>
    <w:rsid w:val="00B67F8B"/>
    <w:rsid w:val="00B70278"/>
    <w:rsid w:val="00B709AD"/>
    <w:rsid w:val="00B70E54"/>
    <w:rsid w:val="00B7255A"/>
    <w:rsid w:val="00B73CA3"/>
    <w:rsid w:val="00B7525D"/>
    <w:rsid w:val="00B804D3"/>
    <w:rsid w:val="00B81425"/>
    <w:rsid w:val="00B83091"/>
    <w:rsid w:val="00B83C32"/>
    <w:rsid w:val="00B84253"/>
    <w:rsid w:val="00B850E4"/>
    <w:rsid w:val="00B852E2"/>
    <w:rsid w:val="00B922AF"/>
    <w:rsid w:val="00B94E04"/>
    <w:rsid w:val="00B95228"/>
    <w:rsid w:val="00B9564A"/>
    <w:rsid w:val="00B959E7"/>
    <w:rsid w:val="00B95A8E"/>
    <w:rsid w:val="00B96D32"/>
    <w:rsid w:val="00B97BFD"/>
    <w:rsid w:val="00BA13F9"/>
    <w:rsid w:val="00BA2AFA"/>
    <w:rsid w:val="00BA3B1D"/>
    <w:rsid w:val="00BA475F"/>
    <w:rsid w:val="00BA4D6D"/>
    <w:rsid w:val="00BB0ABB"/>
    <w:rsid w:val="00BB233D"/>
    <w:rsid w:val="00BB2501"/>
    <w:rsid w:val="00BC09A9"/>
    <w:rsid w:val="00BC7462"/>
    <w:rsid w:val="00BC7D96"/>
    <w:rsid w:val="00BD167A"/>
    <w:rsid w:val="00BD1D31"/>
    <w:rsid w:val="00BD45CB"/>
    <w:rsid w:val="00BD4FA4"/>
    <w:rsid w:val="00BD61E1"/>
    <w:rsid w:val="00BE07C6"/>
    <w:rsid w:val="00BE2920"/>
    <w:rsid w:val="00BE5146"/>
    <w:rsid w:val="00BF0627"/>
    <w:rsid w:val="00BF2F0C"/>
    <w:rsid w:val="00BF6595"/>
    <w:rsid w:val="00C01CBF"/>
    <w:rsid w:val="00C03A3C"/>
    <w:rsid w:val="00C04CF0"/>
    <w:rsid w:val="00C05690"/>
    <w:rsid w:val="00C070CF"/>
    <w:rsid w:val="00C14D91"/>
    <w:rsid w:val="00C151A5"/>
    <w:rsid w:val="00C16867"/>
    <w:rsid w:val="00C1754E"/>
    <w:rsid w:val="00C17942"/>
    <w:rsid w:val="00C20A69"/>
    <w:rsid w:val="00C2181B"/>
    <w:rsid w:val="00C234B7"/>
    <w:rsid w:val="00C23742"/>
    <w:rsid w:val="00C23F7B"/>
    <w:rsid w:val="00C309D5"/>
    <w:rsid w:val="00C378E0"/>
    <w:rsid w:val="00C413D5"/>
    <w:rsid w:val="00C41717"/>
    <w:rsid w:val="00C4261A"/>
    <w:rsid w:val="00C441CD"/>
    <w:rsid w:val="00C45C15"/>
    <w:rsid w:val="00C45D37"/>
    <w:rsid w:val="00C51B39"/>
    <w:rsid w:val="00C51F90"/>
    <w:rsid w:val="00C54970"/>
    <w:rsid w:val="00C56309"/>
    <w:rsid w:val="00C57E8C"/>
    <w:rsid w:val="00C6023D"/>
    <w:rsid w:val="00C60768"/>
    <w:rsid w:val="00C60E1F"/>
    <w:rsid w:val="00C61D5F"/>
    <w:rsid w:val="00C63D8C"/>
    <w:rsid w:val="00C64411"/>
    <w:rsid w:val="00C64540"/>
    <w:rsid w:val="00C6581F"/>
    <w:rsid w:val="00C65955"/>
    <w:rsid w:val="00C6653B"/>
    <w:rsid w:val="00C678CC"/>
    <w:rsid w:val="00C73970"/>
    <w:rsid w:val="00C76992"/>
    <w:rsid w:val="00C80539"/>
    <w:rsid w:val="00C828D9"/>
    <w:rsid w:val="00C838CF"/>
    <w:rsid w:val="00C8550E"/>
    <w:rsid w:val="00C8604B"/>
    <w:rsid w:val="00C87689"/>
    <w:rsid w:val="00C90DA2"/>
    <w:rsid w:val="00C91006"/>
    <w:rsid w:val="00C92CBE"/>
    <w:rsid w:val="00C93714"/>
    <w:rsid w:val="00C94091"/>
    <w:rsid w:val="00C951BB"/>
    <w:rsid w:val="00CA01F3"/>
    <w:rsid w:val="00CA0D72"/>
    <w:rsid w:val="00CA3216"/>
    <w:rsid w:val="00CA3363"/>
    <w:rsid w:val="00CA574B"/>
    <w:rsid w:val="00CA614A"/>
    <w:rsid w:val="00CA6995"/>
    <w:rsid w:val="00CA6F5B"/>
    <w:rsid w:val="00CB1C75"/>
    <w:rsid w:val="00CB41B5"/>
    <w:rsid w:val="00CB747E"/>
    <w:rsid w:val="00CB7872"/>
    <w:rsid w:val="00CC0067"/>
    <w:rsid w:val="00CC49BD"/>
    <w:rsid w:val="00CC6117"/>
    <w:rsid w:val="00CC62ED"/>
    <w:rsid w:val="00CC7775"/>
    <w:rsid w:val="00CC7C74"/>
    <w:rsid w:val="00CD01F1"/>
    <w:rsid w:val="00CD10B3"/>
    <w:rsid w:val="00CD30D4"/>
    <w:rsid w:val="00CD4D62"/>
    <w:rsid w:val="00CD51C3"/>
    <w:rsid w:val="00CD68C9"/>
    <w:rsid w:val="00CD7231"/>
    <w:rsid w:val="00CE04D9"/>
    <w:rsid w:val="00CE05ED"/>
    <w:rsid w:val="00CE1735"/>
    <w:rsid w:val="00CE436C"/>
    <w:rsid w:val="00CE70B6"/>
    <w:rsid w:val="00CF0280"/>
    <w:rsid w:val="00CF1736"/>
    <w:rsid w:val="00CF2A69"/>
    <w:rsid w:val="00CF4C0D"/>
    <w:rsid w:val="00CF58A0"/>
    <w:rsid w:val="00CF621D"/>
    <w:rsid w:val="00CF67B3"/>
    <w:rsid w:val="00D00E51"/>
    <w:rsid w:val="00D02358"/>
    <w:rsid w:val="00D02F9C"/>
    <w:rsid w:val="00D02FE7"/>
    <w:rsid w:val="00D03973"/>
    <w:rsid w:val="00D04B37"/>
    <w:rsid w:val="00D057EC"/>
    <w:rsid w:val="00D07D17"/>
    <w:rsid w:val="00D12DFF"/>
    <w:rsid w:val="00D15144"/>
    <w:rsid w:val="00D15E70"/>
    <w:rsid w:val="00D1614E"/>
    <w:rsid w:val="00D16606"/>
    <w:rsid w:val="00D17EC3"/>
    <w:rsid w:val="00D22725"/>
    <w:rsid w:val="00D24DA6"/>
    <w:rsid w:val="00D27D3B"/>
    <w:rsid w:val="00D344E6"/>
    <w:rsid w:val="00D350FB"/>
    <w:rsid w:val="00D35198"/>
    <w:rsid w:val="00D35A1E"/>
    <w:rsid w:val="00D3765B"/>
    <w:rsid w:val="00D40224"/>
    <w:rsid w:val="00D43CE8"/>
    <w:rsid w:val="00D4444A"/>
    <w:rsid w:val="00D51B6C"/>
    <w:rsid w:val="00D543C6"/>
    <w:rsid w:val="00D552CB"/>
    <w:rsid w:val="00D5644D"/>
    <w:rsid w:val="00D57F85"/>
    <w:rsid w:val="00D60441"/>
    <w:rsid w:val="00D62E51"/>
    <w:rsid w:val="00D6324D"/>
    <w:rsid w:val="00D6482E"/>
    <w:rsid w:val="00D64C05"/>
    <w:rsid w:val="00D655B1"/>
    <w:rsid w:val="00D673CE"/>
    <w:rsid w:val="00D709E7"/>
    <w:rsid w:val="00D72E7B"/>
    <w:rsid w:val="00D736E1"/>
    <w:rsid w:val="00D7495F"/>
    <w:rsid w:val="00D76939"/>
    <w:rsid w:val="00D76FBE"/>
    <w:rsid w:val="00D7769F"/>
    <w:rsid w:val="00D81459"/>
    <w:rsid w:val="00D81707"/>
    <w:rsid w:val="00D829BB"/>
    <w:rsid w:val="00D835CE"/>
    <w:rsid w:val="00D83F9E"/>
    <w:rsid w:val="00D86224"/>
    <w:rsid w:val="00D87340"/>
    <w:rsid w:val="00D87723"/>
    <w:rsid w:val="00D90F29"/>
    <w:rsid w:val="00D9147C"/>
    <w:rsid w:val="00D9235F"/>
    <w:rsid w:val="00D96A72"/>
    <w:rsid w:val="00D97038"/>
    <w:rsid w:val="00DA0AAA"/>
    <w:rsid w:val="00DA24B8"/>
    <w:rsid w:val="00DA3F53"/>
    <w:rsid w:val="00DB07D8"/>
    <w:rsid w:val="00DB28FF"/>
    <w:rsid w:val="00DB3BE5"/>
    <w:rsid w:val="00DB5790"/>
    <w:rsid w:val="00DB5D8B"/>
    <w:rsid w:val="00DC1998"/>
    <w:rsid w:val="00DC1E5B"/>
    <w:rsid w:val="00DC45BE"/>
    <w:rsid w:val="00DC47DB"/>
    <w:rsid w:val="00DC5C8C"/>
    <w:rsid w:val="00DD3C83"/>
    <w:rsid w:val="00DD44A4"/>
    <w:rsid w:val="00DD7909"/>
    <w:rsid w:val="00DE256F"/>
    <w:rsid w:val="00DE3807"/>
    <w:rsid w:val="00DE3E64"/>
    <w:rsid w:val="00DF0AD4"/>
    <w:rsid w:val="00DF0FF0"/>
    <w:rsid w:val="00DF3C16"/>
    <w:rsid w:val="00DF5FF7"/>
    <w:rsid w:val="00DF7878"/>
    <w:rsid w:val="00E000D4"/>
    <w:rsid w:val="00E02F35"/>
    <w:rsid w:val="00E06541"/>
    <w:rsid w:val="00E13FEC"/>
    <w:rsid w:val="00E164A8"/>
    <w:rsid w:val="00E1681B"/>
    <w:rsid w:val="00E16D13"/>
    <w:rsid w:val="00E25DAA"/>
    <w:rsid w:val="00E30282"/>
    <w:rsid w:val="00E31FC9"/>
    <w:rsid w:val="00E340A7"/>
    <w:rsid w:val="00E36062"/>
    <w:rsid w:val="00E3609D"/>
    <w:rsid w:val="00E40AB2"/>
    <w:rsid w:val="00E41CEA"/>
    <w:rsid w:val="00E430B6"/>
    <w:rsid w:val="00E43979"/>
    <w:rsid w:val="00E44366"/>
    <w:rsid w:val="00E45CE1"/>
    <w:rsid w:val="00E45F05"/>
    <w:rsid w:val="00E47F01"/>
    <w:rsid w:val="00E515C0"/>
    <w:rsid w:val="00E522ED"/>
    <w:rsid w:val="00E52B6E"/>
    <w:rsid w:val="00E538C7"/>
    <w:rsid w:val="00E53D9D"/>
    <w:rsid w:val="00E66EA3"/>
    <w:rsid w:val="00E677E4"/>
    <w:rsid w:val="00E712C3"/>
    <w:rsid w:val="00E71803"/>
    <w:rsid w:val="00E765BD"/>
    <w:rsid w:val="00E81BA9"/>
    <w:rsid w:val="00E82EA5"/>
    <w:rsid w:val="00E83BC7"/>
    <w:rsid w:val="00E83DC0"/>
    <w:rsid w:val="00E85C88"/>
    <w:rsid w:val="00E869EB"/>
    <w:rsid w:val="00E912A6"/>
    <w:rsid w:val="00E91585"/>
    <w:rsid w:val="00E941ED"/>
    <w:rsid w:val="00E94D7F"/>
    <w:rsid w:val="00E9735C"/>
    <w:rsid w:val="00E979B2"/>
    <w:rsid w:val="00EA1E71"/>
    <w:rsid w:val="00EA23E9"/>
    <w:rsid w:val="00EA2653"/>
    <w:rsid w:val="00EA381C"/>
    <w:rsid w:val="00EA44BA"/>
    <w:rsid w:val="00EA54F7"/>
    <w:rsid w:val="00EA604C"/>
    <w:rsid w:val="00EA7992"/>
    <w:rsid w:val="00EB040C"/>
    <w:rsid w:val="00EB122A"/>
    <w:rsid w:val="00EB2790"/>
    <w:rsid w:val="00EB3414"/>
    <w:rsid w:val="00EB3A46"/>
    <w:rsid w:val="00EB76D7"/>
    <w:rsid w:val="00EC1829"/>
    <w:rsid w:val="00EC285E"/>
    <w:rsid w:val="00EC554C"/>
    <w:rsid w:val="00EC7B17"/>
    <w:rsid w:val="00ED115C"/>
    <w:rsid w:val="00ED41FE"/>
    <w:rsid w:val="00ED658F"/>
    <w:rsid w:val="00ED742E"/>
    <w:rsid w:val="00EE0F15"/>
    <w:rsid w:val="00EE1261"/>
    <w:rsid w:val="00EE40EC"/>
    <w:rsid w:val="00EE49ED"/>
    <w:rsid w:val="00EE60EF"/>
    <w:rsid w:val="00EE626C"/>
    <w:rsid w:val="00EE7244"/>
    <w:rsid w:val="00EF2298"/>
    <w:rsid w:val="00EF374C"/>
    <w:rsid w:val="00EF7A6E"/>
    <w:rsid w:val="00F042CE"/>
    <w:rsid w:val="00F06CC9"/>
    <w:rsid w:val="00F10CCF"/>
    <w:rsid w:val="00F12BAE"/>
    <w:rsid w:val="00F13E89"/>
    <w:rsid w:val="00F14BC2"/>
    <w:rsid w:val="00F15F11"/>
    <w:rsid w:val="00F1654A"/>
    <w:rsid w:val="00F17591"/>
    <w:rsid w:val="00F20ED6"/>
    <w:rsid w:val="00F25A5A"/>
    <w:rsid w:val="00F27662"/>
    <w:rsid w:val="00F2792E"/>
    <w:rsid w:val="00F34099"/>
    <w:rsid w:val="00F37852"/>
    <w:rsid w:val="00F40188"/>
    <w:rsid w:val="00F42977"/>
    <w:rsid w:val="00F4766F"/>
    <w:rsid w:val="00F50023"/>
    <w:rsid w:val="00F5200D"/>
    <w:rsid w:val="00F55B51"/>
    <w:rsid w:val="00F56E0E"/>
    <w:rsid w:val="00F625E6"/>
    <w:rsid w:val="00F62BFB"/>
    <w:rsid w:val="00F637D7"/>
    <w:rsid w:val="00F6425A"/>
    <w:rsid w:val="00F65B7F"/>
    <w:rsid w:val="00F66139"/>
    <w:rsid w:val="00F66288"/>
    <w:rsid w:val="00F70977"/>
    <w:rsid w:val="00F72A54"/>
    <w:rsid w:val="00F80988"/>
    <w:rsid w:val="00F81F2E"/>
    <w:rsid w:val="00F831E8"/>
    <w:rsid w:val="00F8576B"/>
    <w:rsid w:val="00F86157"/>
    <w:rsid w:val="00F93AC3"/>
    <w:rsid w:val="00F96A29"/>
    <w:rsid w:val="00FA053D"/>
    <w:rsid w:val="00FA24BE"/>
    <w:rsid w:val="00FA343E"/>
    <w:rsid w:val="00FA3A08"/>
    <w:rsid w:val="00FA6E4D"/>
    <w:rsid w:val="00FB2C6C"/>
    <w:rsid w:val="00FB4687"/>
    <w:rsid w:val="00FC4976"/>
    <w:rsid w:val="00FC54F1"/>
    <w:rsid w:val="00FC63ED"/>
    <w:rsid w:val="00FD079A"/>
    <w:rsid w:val="00FD16B9"/>
    <w:rsid w:val="00FD7215"/>
    <w:rsid w:val="00FD7F81"/>
    <w:rsid w:val="00FE1782"/>
    <w:rsid w:val="00FE4E8E"/>
    <w:rsid w:val="00FE50CF"/>
    <w:rsid w:val="00FE66EB"/>
    <w:rsid w:val="00FE787F"/>
    <w:rsid w:val="00FF09AD"/>
    <w:rsid w:val="00FF26D6"/>
    <w:rsid w:val="00FF3DF3"/>
    <w:rsid w:val="00FF5821"/>
    <w:rsid w:val="00FF5FE2"/>
    <w:rsid w:val="00FF72DA"/>
    <w:rsid w:val="01016914"/>
    <w:rsid w:val="01057714"/>
    <w:rsid w:val="010D78E6"/>
    <w:rsid w:val="01154EDD"/>
    <w:rsid w:val="01176A3A"/>
    <w:rsid w:val="01184E7C"/>
    <w:rsid w:val="011B3D76"/>
    <w:rsid w:val="012050FA"/>
    <w:rsid w:val="0123493B"/>
    <w:rsid w:val="01291119"/>
    <w:rsid w:val="012D4559"/>
    <w:rsid w:val="01352215"/>
    <w:rsid w:val="013554E2"/>
    <w:rsid w:val="0146241D"/>
    <w:rsid w:val="014909CD"/>
    <w:rsid w:val="01493FC2"/>
    <w:rsid w:val="014957F1"/>
    <w:rsid w:val="01507C6E"/>
    <w:rsid w:val="01524BA5"/>
    <w:rsid w:val="015E0A78"/>
    <w:rsid w:val="015E5B5E"/>
    <w:rsid w:val="01661249"/>
    <w:rsid w:val="016C2549"/>
    <w:rsid w:val="016C500D"/>
    <w:rsid w:val="01705AA1"/>
    <w:rsid w:val="01745E08"/>
    <w:rsid w:val="01765942"/>
    <w:rsid w:val="018022F5"/>
    <w:rsid w:val="018045F2"/>
    <w:rsid w:val="018855D3"/>
    <w:rsid w:val="018A79D5"/>
    <w:rsid w:val="01996162"/>
    <w:rsid w:val="01AA1C62"/>
    <w:rsid w:val="01B64C36"/>
    <w:rsid w:val="01BA16CD"/>
    <w:rsid w:val="01C04648"/>
    <w:rsid w:val="01C40AC6"/>
    <w:rsid w:val="01D01D7F"/>
    <w:rsid w:val="01D8091E"/>
    <w:rsid w:val="01DD0B44"/>
    <w:rsid w:val="01DF390B"/>
    <w:rsid w:val="01E27ED9"/>
    <w:rsid w:val="01EA7E0D"/>
    <w:rsid w:val="01F03721"/>
    <w:rsid w:val="01F26B1F"/>
    <w:rsid w:val="01FC1B4F"/>
    <w:rsid w:val="02001331"/>
    <w:rsid w:val="02007A3C"/>
    <w:rsid w:val="02023AB3"/>
    <w:rsid w:val="02074620"/>
    <w:rsid w:val="021273C6"/>
    <w:rsid w:val="021A39C2"/>
    <w:rsid w:val="022752E5"/>
    <w:rsid w:val="02290C40"/>
    <w:rsid w:val="02372F2E"/>
    <w:rsid w:val="023D513E"/>
    <w:rsid w:val="023E4E45"/>
    <w:rsid w:val="02452DE4"/>
    <w:rsid w:val="02481F0E"/>
    <w:rsid w:val="02537A58"/>
    <w:rsid w:val="025A578E"/>
    <w:rsid w:val="025A70E7"/>
    <w:rsid w:val="025C17A3"/>
    <w:rsid w:val="02651DC9"/>
    <w:rsid w:val="026B32DF"/>
    <w:rsid w:val="026B4236"/>
    <w:rsid w:val="02724BE5"/>
    <w:rsid w:val="027D74A6"/>
    <w:rsid w:val="027E64A3"/>
    <w:rsid w:val="02887B9E"/>
    <w:rsid w:val="028D29A7"/>
    <w:rsid w:val="02BA6FCA"/>
    <w:rsid w:val="02BF405C"/>
    <w:rsid w:val="02C37FFE"/>
    <w:rsid w:val="02CA19AA"/>
    <w:rsid w:val="02D678D6"/>
    <w:rsid w:val="02D758CD"/>
    <w:rsid w:val="02DA5002"/>
    <w:rsid w:val="02E6317A"/>
    <w:rsid w:val="02EF6332"/>
    <w:rsid w:val="02F205BE"/>
    <w:rsid w:val="02F24F8A"/>
    <w:rsid w:val="02FB76F5"/>
    <w:rsid w:val="030F1FED"/>
    <w:rsid w:val="03293770"/>
    <w:rsid w:val="032A51BE"/>
    <w:rsid w:val="032D5B70"/>
    <w:rsid w:val="033C360D"/>
    <w:rsid w:val="033D01EB"/>
    <w:rsid w:val="033E6D57"/>
    <w:rsid w:val="034B11A6"/>
    <w:rsid w:val="036363D4"/>
    <w:rsid w:val="036E344B"/>
    <w:rsid w:val="0371714D"/>
    <w:rsid w:val="03724A5D"/>
    <w:rsid w:val="038050C4"/>
    <w:rsid w:val="0384494B"/>
    <w:rsid w:val="03860671"/>
    <w:rsid w:val="039D65CA"/>
    <w:rsid w:val="03A23D68"/>
    <w:rsid w:val="03A47E7E"/>
    <w:rsid w:val="03B21EB0"/>
    <w:rsid w:val="03B661A6"/>
    <w:rsid w:val="03C235C9"/>
    <w:rsid w:val="03CC2FD5"/>
    <w:rsid w:val="03D946F4"/>
    <w:rsid w:val="03E423FB"/>
    <w:rsid w:val="03E92842"/>
    <w:rsid w:val="03ED3977"/>
    <w:rsid w:val="03F018D0"/>
    <w:rsid w:val="03F80241"/>
    <w:rsid w:val="03FD2D13"/>
    <w:rsid w:val="041065C7"/>
    <w:rsid w:val="041772DB"/>
    <w:rsid w:val="041E20C5"/>
    <w:rsid w:val="04214E0C"/>
    <w:rsid w:val="04255438"/>
    <w:rsid w:val="042C6781"/>
    <w:rsid w:val="043013EC"/>
    <w:rsid w:val="0430572A"/>
    <w:rsid w:val="04445A74"/>
    <w:rsid w:val="04454C02"/>
    <w:rsid w:val="044D446A"/>
    <w:rsid w:val="04584480"/>
    <w:rsid w:val="045E53A4"/>
    <w:rsid w:val="04615641"/>
    <w:rsid w:val="04624BEE"/>
    <w:rsid w:val="04893682"/>
    <w:rsid w:val="04985601"/>
    <w:rsid w:val="04BB0D20"/>
    <w:rsid w:val="04BB545F"/>
    <w:rsid w:val="04BE0068"/>
    <w:rsid w:val="04BE5FB8"/>
    <w:rsid w:val="04C163A2"/>
    <w:rsid w:val="04C73B4D"/>
    <w:rsid w:val="04C80171"/>
    <w:rsid w:val="04D0154F"/>
    <w:rsid w:val="04E425C3"/>
    <w:rsid w:val="04E47242"/>
    <w:rsid w:val="04EF192D"/>
    <w:rsid w:val="04FF6FD2"/>
    <w:rsid w:val="05095AB6"/>
    <w:rsid w:val="05175CFF"/>
    <w:rsid w:val="05183E5D"/>
    <w:rsid w:val="05204FC5"/>
    <w:rsid w:val="05357918"/>
    <w:rsid w:val="054314A5"/>
    <w:rsid w:val="05473CDC"/>
    <w:rsid w:val="05492487"/>
    <w:rsid w:val="054A0FA2"/>
    <w:rsid w:val="055044B4"/>
    <w:rsid w:val="055A27E1"/>
    <w:rsid w:val="055C1DD0"/>
    <w:rsid w:val="056266C2"/>
    <w:rsid w:val="05711D79"/>
    <w:rsid w:val="0578335C"/>
    <w:rsid w:val="057B4D9A"/>
    <w:rsid w:val="05910FAF"/>
    <w:rsid w:val="05A45C1F"/>
    <w:rsid w:val="05A914A1"/>
    <w:rsid w:val="05B1510C"/>
    <w:rsid w:val="05B25408"/>
    <w:rsid w:val="05C10F3B"/>
    <w:rsid w:val="05CD5531"/>
    <w:rsid w:val="05CD6DA0"/>
    <w:rsid w:val="05DE04DE"/>
    <w:rsid w:val="05EC7DF8"/>
    <w:rsid w:val="05F92F42"/>
    <w:rsid w:val="06117773"/>
    <w:rsid w:val="06191114"/>
    <w:rsid w:val="06224104"/>
    <w:rsid w:val="06282109"/>
    <w:rsid w:val="06283DD9"/>
    <w:rsid w:val="062D1BA3"/>
    <w:rsid w:val="063477F1"/>
    <w:rsid w:val="06445998"/>
    <w:rsid w:val="06544AB6"/>
    <w:rsid w:val="06670E8F"/>
    <w:rsid w:val="066F1A7C"/>
    <w:rsid w:val="06791C42"/>
    <w:rsid w:val="06796E03"/>
    <w:rsid w:val="067E6D2B"/>
    <w:rsid w:val="06811345"/>
    <w:rsid w:val="06835598"/>
    <w:rsid w:val="0685546E"/>
    <w:rsid w:val="06912A71"/>
    <w:rsid w:val="06A0142E"/>
    <w:rsid w:val="06A37FEF"/>
    <w:rsid w:val="06A40932"/>
    <w:rsid w:val="06AE6136"/>
    <w:rsid w:val="06B21DF0"/>
    <w:rsid w:val="06B5532F"/>
    <w:rsid w:val="06CE330D"/>
    <w:rsid w:val="06F52B1F"/>
    <w:rsid w:val="06F71B1A"/>
    <w:rsid w:val="06FD28D3"/>
    <w:rsid w:val="07206652"/>
    <w:rsid w:val="072100C2"/>
    <w:rsid w:val="07233FD7"/>
    <w:rsid w:val="07277FA5"/>
    <w:rsid w:val="0731113D"/>
    <w:rsid w:val="074C6004"/>
    <w:rsid w:val="07545CC5"/>
    <w:rsid w:val="076140F7"/>
    <w:rsid w:val="07666F36"/>
    <w:rsid w:val="076B5D3F"/>
    <w:rsid w:val="076E0201"/>
    <w:rsid w:val="076F72AD"/>
    <w:rsid w:val="07751F02"/>
    <w:rsid w:val="077575A6"/>
    <w:rsid w:val="078C1866"/>
    <w:rsid w:val="079B1D6A"/>
    <w:rsid w:val="079C6CB9"/>
    <w:rsid w:val="079E6ACF"/>
    <w:rsid w:val="07A375A2"/>
    <w:rsid w:val="07A46390"/>
    <w:rsid w:val="07A60F2F"/>
    <w:rsid w:val="07AC1B37"/>
    <w:rsid w:val="07B74A0B"/>
    <w:rsid w:val="07B77FCC"/>
    <w:rsid w:val="07B8753E"/>
    <w:rsid w:val="07B95980"/>
    <w:rsid w:val="07C14491"/>
    <w:rsid w:val="07C41F36"/>
    <w:rsid w:val="07C86919"/>
    <w:rsid w:val="07CE3BF3"/>
    <w:rsid w:val="07D244BB"/>
    <w:rsid w:val="08003EA0"/>
    <w:rsid w:val="080162EA"/>
    <w:rsid w:val="08127404"/>
    <w:rsid w:val="081A2249"/>
    <w:rsid w:val="081A5AD3"/>
    <w:rsid w:val="08247D40"/>
    <w:rsid w:val="08273BD6"/>
    <w:rsid w:val="082A55DA"/>
    <w:rsid w:val="08354617"/>
    <w:rsid w:val="083B6A6E"/>
    <w:rsid w:val="084C61E1"/>
    <w:rsid w:val="084D5AED"/>
    <w:rsid w:val="08576687"/>
    <w:rsid w:val="08576F3F"/>
    <w:rsid w:val="085D7177"/>
    <w:rsid w:val="08695DF2"/>
    <w:rsid w:val="086971E0"/>
    <w:rsid w:val="086A7580"/>
    <w:rsid w:val="086B2929"/>
    <w:rsid w:val="086F2457"/>
    <w:rsid w:val="08731D45"/>
    <w:rsid w:val="0877685F"/>
    <w:rsid w:val="08864FF4"/>
    <w:rsid w:val="088B0B3B"/>
    <w:rsid w:val="08A1520A"/>
    <w:rsid w:val="08A23849"/>
    <w:rsid w:val="08A95A36"/>
    <w:rsid w:val="08AF51CA"/>
    <w:rsid w:val="08B269E5"/>
    <w:rsid w:val="08BF14E5"/>
    <w:rsid w:val="08D92035"/>
    <w:rsid w:val="08DB1588"/>
    <w:rsid w:val="08EF7698"/>
    <w:rsid w:val="08F0584C"/>
    <w:rsid w:val="08FB4D4D"/>
    <w:rsid w:val="09140B00"/>
    <w:rsid w:val="091B543D"/>
    <w:rsid w:val="091E5277"/>
    <w:rsid w:val="0928744D"/>
    <w:rsid w:val="0936274B"/>
    <w:rsid w:val="094D6B37"/>
    <w:rsid w:val="09555B93"/>
    <w:rsid w:val="0966203B"/>
    <w:rsid w:val="09721D15"/>
    <w:rsid w:val="097941CF"/>
    <w:rsid w:val="09911B92"/>
    <w:rsid w:val="09966D87"/>
    <w:rsid w:val="09A03478"/>
    <w:rsid w:val="09A66473"/>
    <w:rsid w:val="09A82A4A"/>
    <w:rsid w:val="09B42603"/>
    <w:rsid w:val="09B92B5D"/>
    <w:rsid w:val="09D50DE2"/>
    <w:rsid w:val="09D679A5"/>
    <w:rsid w:val="09DC7176"/>
    <w:rsid w:val="09EC2776"/>
    <w:rsid w:val="09EE063D"/>
    <w:rsid w:val="09F616B3"/>
    <w:rsid w:val="09FB7D8E"/>
    <w:rsid w:val="0A08191D"/>
    <w:rsid w:val="0A0F2959"/>
    <w:rsid w:val="0A0F43F4"/>
    <w:rsid w:val="0A1100FD"/>
    <w:rsid w:val="0A163776"/>
    <w:rsid w:val="0A1D236D"/>
    <w:rsid w:val="0A203097"/>
    <w:rsid w:val="0A211CE8"/>
    <w:rsid w:val="0A216471"/>
    <w:rsid w:val="0A222A21"/>
    <w:rsid w:val="0A29542B"/>
    <w:rsid w:val="0A2B0701"/>
    <w:rsid w:val="0A33119D"/>
    <w:rsid w:val="0A4B01E4"/>
    <w:rsid w:val="0A4C1030"/>
    <w:rsid w:val="0A5E0C6D"/>
    <w:rsid w:val="0A5E38A7"/>
    <w:rsid w:val="0A6162BB"/>
    <w:rsid w:val="0A6C10DC"/>
    <w:rsid w:val="0A6E0AB4"/>
    <w:rsid w:val="0A734709"/>
    <w:rsid w:val="0A74071B"/>
    <w:rsid w:val="0A805921"/>
    <w:rsid w:val="0A9845AB"/>
    <w:rsid w:val="0A9914D5"/>
    <w:rsid w:val="0A9D521C"/>
    <w:rsid w:val="0AB1113E"/>
    <w:rsid w:val="0AB231E6"/>
    <w:rsid w:val="0ABE274F"/>
    <w:rsid w:val="0AC07EE8"/>
    <w:rsid w:val="0AC21FFB"/>
    <w:rsid w:val="0AC23433"/>
    <w:rsid w:val="0AC269F1"/>
    <w:rsid w:val="0AC672AB"/>
    <w:rsid w:val="0AC727AF"/>
    <w:rsid w:val="0AC91179"/>
    <w:rsid w:val="0AD77DD7"/>
    <w:rsid w:val="0ADA6B09"/>
    <w:rsid w:val="0ADF1725"/>
    <w:rsid w:val="0AE06FCA"/>
    <w:rsid w:val="0AE17E1D"/>
    <w:rsid w:val="0AE65B80"/>
    <w:rsid w:val="0AED2CB2"/>
    <w:rsid w:val="0B00440C"/>
    <w:rsid w:val="0B1017C3"/>
    <w:rsid w:val="0B107CF6"/>
    <w:rsid w:val="0B184B76"/>
    <w:rsid w:val="0B220F87"/>
    <w:rsid w:val="0B23149B"/>
    <w:rsid w:val="0B245AE4"/>
    <w:rsid w:val="0B2D1830"/>
    <w:rsid w:val="0B312789"/>
    <w:rsid w:val="0B3217E4"/>
    <w:rsid w:val="0B352D36"/>
    <w:rsid w:val="0B384892"/>
    <w:rsid w:val="0B3A5C0F"/>
    <w:rsid w:val="0B3E26D0"/>
    <w:rsid w:val="0B42569F"/>
    <w:rsid w:val="0B455663"/>
    <w:rsid w:val="0B4D664B"/>
    <w:rsid w:val="0B585DBA"/>
    <w:rsid w:val="0B5C7E51"/>
    <w:rsid w:val="0B5E4525"/>
    <w:rsid w:val="0B6518EC"/>
    <w:rsid w:val="0B75277E"/>
    <w:rsid w:val="0B862C2C"/>
    <w:rsid w:val="0B9A6E0D"/>
    <w:rsid w:val="0BA338C9"/>
    <w:rsid w:val="0BB86BE8"/>
    <w:rsid w:val="0BBA23CC"/>
    <w:rsid w:val="0BC41184"/>
    <w:rsid w:val="0BCC3DF6"/>
    <w:rsid w:val="0BE123EB"/>
    <w:rsid w:val="0BE15725"/>
    <w:rsid w:val="0BE60EFC"/>
    <w:rsid w:val="0BF17EB6"/>
    <w:rsid w:val="0C03556E"/>
    <w:rsid w:val="0C056F4C"/>
    <w:rsid w:val="0C0B6AD3"/>
    <w:rsid w:val="0C14682B"/>
    <w:rsid w:val="0C1564B7"/>
    <w:rsid w:val="0C2F7089"/>
    <w:rsid w:val="0C32796D"/>
    <w:rsid w:val="0C351BCC"/>
    <w:rsid w:val="0C3731AC"/>
    <w:rsid w:val="0C4A62AA"/>
    <w:rsid w:val="0C511434"/>
    <w:rsid w:val="0C5C7156"/>
    <w:rsid w:val="0C622FBA"/>
    <w:rsid w:val="0C6A56C7"/>
    <w:rsid w:val="0C6A6A0F"/>
    <w:rsid w:val="0C6B724C"/>
    <w:rsid w:val="0C7A63AA"/>
    <w:rsid w:val="0C7A6B8A"/>
    <w:rsid w:val="0C7E1F9A"/>
    <w:rsid w:val="0C7F38AF"/>
    <w:rsid w:val="0C8D4BB1"/>
    <w:rsid w:val="0C985585"/>
    <w:rsid w:val="0C9929DC"/>
    <w:rsid w:val="0C9C3408"/>
    <w:rsid w:val="0CA34E79"/>
    <w:rsid w:val="0CA65912"/>
    <w:rsid w:val="0CA764A5"/>
    <w:rsid w:val="0CAC20DD"/>
    <w:rsid w:val="0CAF7B2C"/>
    <w:rsid w:val="0CB64523"/>
    <w:rsid w:val="0CC14A46"/>
    <w:rsid w:val="0CCA6E9D"/>
    <w:rsid w:val="0CD118A2"/>
    <w:rsid w:val="0CD40C99"/>
    <w:rsid w:val="0CD708F4"/>
    <w:rsid w:val="0CD80A60"/>
    <w:rsid w:val="0CE609CE"/>
    <w:rsid w:val="0CE61613"/>
    <w:rsid w:val="0CE76124"/>
    <w:rsid w:val="0CEA7E5E"/>
    <w:rsid w:val="0CEC6381"/>
    <w:rsid w:val="0CF36C46"/>
    <w:rsid w:val="0CFE13C2"/>
    <w:rsid w:val="0D03305A"/>
    <w:rsid w:val="0D092203"/>
    <w:rsid w:val="0D14680F"/>
    <w:rsid w:val="0D17387B"/>
    <w:rsid w:val="0D2F65BE"/>
    <w:rsid w:val="0D366FD1"/>
    <w:rsid w:val="0D376358"/>
    <w:rsid w:val="0D3842EC"/>
    <w:rsid w:val="0D391041"/>
    <w:rsid w:val="0D3D27BA"/>
    <w:rsid w:val="0D441C87"/>
    <w:rsid w:val="0D485025"/>
    <w:rsid w:val="0D5E178C"/>
    <w:rsid w:val="0D5F4C25"/>
    <w:rsid w:val="0D696A55"/>
    <w:rsid w:val="0D816E3D"/>
    <w:rsid w:val="0D8A4C7C"/>
    <w:rsid w:val="0D904D3D"/>
    <w:rsid w:val="0D965D11"/>
    <w:rsid w:val="0D9E2FCB"/>
    <w:rsid w:val="0DA95073"/>
    <w:rsid w:val="0DAE72FD"/>
    <w:rsid w:val="0DC50440"/>
    <w:rsid w:val="0DC92885"/>
    <w:rsid w:val="0DCC54E1"/>
    <w:rsid w:val="0DD152A0"/>
    <w:rsid w:val="0DD6360A"/>
    <w:rsid w:val="0DDB6985"/>
    <w:rsid w:val="0DE0310A"/>
    <w:rsid w:val="0DE16608"/>
    <w:rsid w:val="0DED490B"/>
    <w:rsid w:val="0DEE2D3E"/>
    <w:rsid w:val="0DF10823"/>
    <w:rsid w:val="0DFA6D94"/>
    <w:rsid w:val="0DFD74F3"/>
    <w:rsid w:val="0DFF3B1F"/>
    <w:rsid w:val="0E054736"/>
    <w:rsid w:val="0E0926C7"/>
    <w:rsid w:val="0E104B6A"/>
    <w:rsid w:val="0E296814"/>
    <w:rsid w:val="0E2C5B89"/>
    <w:rsid w:val="0E3B16EC"/>
    <w:rsid w:val="0E40199E"/>
    <w:rsid w:val="0E434A56"/>
    <w:rsid w:val="0E4550D6"/>
    <w:rsid w:val="0E4D23AC"/>
    <w:rsid w:val="0E4D7193"/>
    <w:rsid w:val="0E51762F"/>
    <w:rsid w:val="0E552B8D"/>
    <w:rsid w:val="0E686AA7"/>
    <w:rsid w:val="0E6941A9"/>
    <w:rsid w:val="0E6B7E4C"/>
    <w:rsid w:val="0E6F3CB4"/>
    <w:rsid w:val="0E7E21C3"/>
    <w:rsid w:val="0E87780C"/>
    <w:rsid w:val="0E8854DB"/>
    <w:rsid w:val="0E95465D"/>
    <w:rsid w:val="0EAC08FD"/>
    <w:rsid w:val="0EAD36DA"/>
    <w:rsid w:val="0EB0160B"/>
    <w:rsid w:val="0EBE5D6D"/>
    <w:rsid w:val="0EC44586"/>
    <w:rsid w:val="0EC902F0"/>
    <w:rsid w:val="0ECA2CF3"/>
    <w:rsid w:val="0ECD37F9"/>
    <w:rsid w:val="0ED66AC6"/>
    <w:rsid w:val="0ED722B4"/>
    <w:rsid w:val="0EEA2EF0"/>
    <w:rsid w:val="0EF3170F"/>
    <w:rsid w:val="0EFE7B9F"/>
    <w:rsid w:val="0F017620"/>
    <w:rsid w:val="0F017DFF"/>
    <w:rsid w:val="0F024C43"/>
    <w:rsid w:val="0F0A4C6D"/>
    <w:rsid w:val="0F106235"/>
    <w:rsid w:val="0F14321D"/>
    <w:rsid w:val="0F1D633D"/>
    <w:rsid w:val="0F1F41E3"/>
    <w:rsid w:val="0F204089"/>
    <w:rsid w:val="0F267EC8"/>
    <w:rsid w:val="0F370125"/>
    <w:rsid w:val="0F3D004C"/>
    <w:rsid w:val="0F451856"/>
    <w:rsid w:val="0F47050F"/>
    <w:rsid w:val="0F4902E2"/>
    <w:rsid w:val="0F4C1377"/>
    <w:rsid w:val="0F4D1ACB"/>
    <w:rsid w:val="0F5F0BA2"/>
    <w:rsid w:val="0F6A4D2F"/>
    <w:rsid w:val="0F7B2677"/>
    <w:rsid w:val="0F876E4C"/>
    <w:rsid w:val="0F9401AB"/>
    <w:rsid w:val="0F9D7D0C"/>
    <w:rsid w:val="0F9F4FD7"/>
    <w:rsid w:val="0FA23F20"/>
    <w:rsid w:val="0FC46A47"/>
    <w:rsid w:val="0FCC6EB5"/>
    <w:rsid w:val="0FD97C0D"/>
    <w:rsid w:val="0FEE73CB"/>
    <w:rsid w:val="0FF36818"/>
    <w:rsid w:val="100D07E3"/>
    <w:rsid w:val="10172F20"/>
    <w:rsid w:val="101A6712"/>
    <w:rsid w:val="101D59E9"/>
    <w:rsid w:val="10312DE2"/>
    <w:rsid w:val="103C44E7"/>
    <w:rsid w:val="10400CAA"/>
    <w:rsid w:val="10565047"/>
    <w:rsid w:val="106C03AF"/>
    <w:rsid w:val="107242D4"/>
    <w:rsid w:val="10731B79"/>
    <w:rsid w:val="1078173B"/>
    <w:rsid w:val="10794458"/>
    <w:rsid w:val="108141D5"/>
    <w:rsid w:val="108169EA"/>
    <w:rsid w:val="10842633"/>
    <w:rsid w:val="1090673F"/>
    <w:rsid w:val="10A04DD7"/>
    <w:rsid w:val="10A8592B"/>
    <w:rsid w:val="10AC08D3"/>
    <w:rsid w:val="10B84592"/>
    <w:rsid w:val="10BA2AB3"/>
    <w:rsid w:val="10C25DA3"/>
    <w:rsid w:val="10C628CE"/>
    <w:rsid w:val="10C74058"/>
    <w:rsid w:val="10D20FD0"/>
    <w:rsid w:val="10D2187E"/>
    <w:rsid w:val="10DB6155"/>
    <w:rsid w:val="10DE78E0"/>
    <w:rsid w:val="10DF42CB"/>
    <w:rsid w:val="10E06D63"/>
    <w:rsid w:val="10E14D3E"/>
    <w:rsid w:val="10E266BA"/>
    <w:rsid w:val="10F144DF"/>
    <w:rsid w:val="10F549CE"/>
    <w:rsid w:val="11046737"/>
    <w:rsid w:val="110F608F"/>
    <w:rsid w:val="112C3810"/>
    <w:rsid w:val="112F38B3"/>
    <w:rsid w:val="113120D4"/>
    <w:rsid w:val="11355763"/>
    <w:rsid w:val="11374B14"/>
    <w:rsid w:val="11374F82"/>
    <w:rsid w:val="114F735C"/>
    <w:rsid w:val="11511E1A"/>
    <w:rsid w:val="115A66D8"/>
    <w:rsid w:val="1163700A"/>
    <w:rsid w:val="11643036"/>
    <w:rsid w:val="1166718C"/>
    <w:rsid w:val="1167176E"/>
    <w:rsid w:val="117373D8"/>
    <w:rsid w:val="117E441D"/>
    <w:rsid w:val="1184079A"/>
    <w:rsid w:val="11994CAC"/>
    <w:rsid w:val="119C2ACA"/>
    <w:rsid w:val="11A41BDB"/>
    <w:rsid w:val="11A5281E"/>
    <w:rsid w:val="11BA4EBF"/>
    <w:rsid w:val="11BB3C7E"/>
    <w:rsid w:val="11C92557"/>
    <w:rsid w:val="11D54C31"/>
    <w:rsid w:val="11DD3171"/>
    <w:rsid w:val="11DF35CB"/>
    <w:rsid w:val="11E008F7"/>
    <w:rsid w:val="11EE1059"/>
    <w:rsid w:val="11EF758E"/>
    <w:rsid w:val="11F17F76"/>
    <w:rsid w:val="11F36C46"/>
    <w:rsid w:val="11FA1F33"/>
    <w:rsid w:val="11FF20FB"/>
    <w:rsid w:val="12032F42"/>
    <w:rsid w:val="12053F79"/>
    <w:rsid w:val="12185A54"/>
    <w:rsid w:val="121C776B"/>
    <w:rsid w:val="123548D9"/>
    <w:rsid w:val="125036F9"/>
    <w:rsid w:val="125867FE"/>
    <w:rsid w:val="126876C4"/>
    <w:rsid w:val="12813B91"/>
    <w:rsid w:val="12927CD1"/>
    <w:rsid w:val="12AF23F5"/>
    <w:rsid w:val="12AF5B62"/>
    <w:rsid w:val="12B70B3F"/>
    <w:rsid w:val="12B75127"/>
    <w:rsid w:val="12BD4187"/>
    <w:rsid w:val="12BF64A0"/>
    <w:rsid w:val="12CC126E"/>
    <w:rsid w:val="12D27FC1"/>
    <w:rsid w:val="12D30C0D"/>
    <w:rsid w:val="12E77818"/>
    <w:rsid w:val="12F97548"/>
    <w:rsid w:val="12FB6D83"/>
    <w:rsid w:val="12FD2F4A"/>
    <w:rsid w:val="130714C6"/>
    <w:rsid w:val="130A41AA"/>
    <w:rsid w:val="13236B26"/>
    <w:rsid w:val="133035CE"/>
    <w:rsid w:val="13315FC8"/>
    <w:rsid w:val="13455E27"/>
    <w:rsid w:val="13526BF1"/>
    <w:rsid w:val="1356560D"/>
    <w:rsid w:val="135A798D"/>
    <w:rsid w:val="13610EB3"/>
    <w:rsid w:val="13623FF6"/>
    <w:rsid w:val="13657363"/>
    <w:rsid w:val="138063B6"/>
    <w:rsid w:val="138432A9"/>
    <w:rsid w:val="138B47DA"/>
    <w:rsid w:val="139B7C82"/>
    <w:rsid w:val="139D3176"/>
    <w:rsid w:val="13A1168D"/>
    <w:rsid w:val="13AC65E1"/>
    <w:rsid w:val="13BA32FD"/>
    <w:rsid w:val="13C3330B"/>
    <w:rsid w:val="13C6066B"/>
    <w:rsid w:val="13C6565E"/>
    <w:rsid w:val="13CA794C"/>
    <w:rsid w:val="13E37133"/>
    <w:rsid w:val="13E96F81"/>
    <w:rsid w:val="13EA3939"/>
    <w:rsid w:val="13EB163C"/>
    <w:rsid w:val="13F20759"/>
    <w:rsid w:val="13F258DD"/>
    <w:rsid w:val="13F36F61"/>
    <w:rsid w:val="13F855BE"/>
    <w:rsid w:val="13FB0916"/>
    <w:rsid w:val="141E2A1A"/>
    <w:rsid w:val="14272023"/>
    <w:rsid w:val="1429765A"/>
    <w:rsid w:val="14303A35"/>
    <w:rsid w:val="14416460"/>
    <w:rsid w:val="14460EC7"/>
    <w:rsid w:val="14463DC5"/>
    <w:rsid w:val="145061D3"/>
    <w:rsid w:val="14523C64"/>
    <w:rsid w:val="14550461"/>
    <w:rsid w:val="146876BA"/>
    <w:rsid w:val="14707CFE"/>
    <w:rsid w:val="147821D6"/>
    <w:rsid w:val="147B3431"/>
    <w:rsid w:val="14816207"/>
    <w:rsid w:val="1482651C"/>
    <w:rsid w:val="14893EA7"/>
    <w:rsid w:val="14A00ACE"/>
    <w:rsid w:val="14A265BE"/>
    <w:rsid w:val="14AC1188"/>
    <w:rsid w:val="14B00DC6"/>
    <w:rsid w:val="14C26CEE"/>
    <w:rsid w:val="14CD6036"/>
    <w:rsid w:val="14D077B9"/>
    <w:rsid w:val="14D87288"/>
    <w:rsid w:val="14DD304F"/>
    <w:rsid w:val="14E12218"/>
    <w:rsid w:val="14E40995"/>
    <w:rsid w:val="14FE681E"/>
    <w:rsid w:val="15103D85"/>
    <w:rsid w:val="15121D53"/>
    <w:rsid w:val="15180887"/>
    <w:rsid w:val="15317195"/>
    <w:rsid w:val="1532221F"/>
    <w:rsid w:val="154D4C32"/>
    <w:rsid w:val="15584821"/>
    <w:rsid w:val="15642416"/>
    <w:rsid w:val="157108AB"/>
    <w:rsid w:val="1583408F"/>
    <w:rsid w:val="15990B61"/>
    <w:rsid w:val="159C0CC7"/>
    <w:rsid w:val="159E3667"/>
    <w:rsid w:val="15A60CC8"/>
    <w:rsid w:val="15B314D2"/>
    <w:rsid w:val="15BA45F8"/>
    <w:rsid w:val="15C75616"/>
    <w:rsid w:val="15C834B2"/>
    <w:rsid w:val="15C970ED"/>
    <w:rsid w:val="15CF3B36"/>
    <w:rsid w:val="15CF6E68"/>
    <w:rsid w:val="15D60C87"/>
    <w:rsid w:val="15E377A2"/>
    <w:rsid w:val="15F24C18"/>
    <w:rsid w:val="15F50317"/>
    <w:rsid w:val="15F531C2"/>
    <w:rsid w:val="15F81D5C"/>
    <w:rsid w:val="15FF7D01"/>
    <w:rsid w:val="16011165"/>
    <w:rsid w:val="160374AB"/>
    <w:rsid w:val="16060F1D"/>
    <w:rsid w:val="1606561C"/>
    <w:rsid w:val="16104484"/>
    <w:rsid w:val="16120042"/>
    <w:rsid w:val="162D013E"/>
    <w:rsid w:val="163B2C55"/>
    <w:rsid w:val="163E398D"/>
    <w:rsid w:val="16486711"/>
    <w:rsid w:val="16510839"/>
    <w:rsid w:val="165212DF"/>
    <w:rsid w:val="1654052A"/>
    <w:rsid w:val="16681D7B"/>
    <w:rsid w:val="16742FA2"/>
    <w:rsid w:val="1678146C"/>
    <w:rsid w:val="167B1BED"/>
    <w:rsid w:val="168B5C6D"/>
    <w:rsid w:val="16A517E7"/>
    <w:rsid w:val="16B424B6"/>
    <w:rsid w:val="16B436C5"/>
    <w:rsid w:val="16B508D3"/>
    <w:rsid w:val="16C7517D"/>
    <w:rsid w:val="16CA5319"/>
    <w:rsid w:val="16D91AF5"/>
    <w:rsid w:val="16EF0ECC"/>
    <w:rsid w:val="16F52CBD"/>
    <w:rsid w:val="16FE00F0"/>
    <w:rsid w:val="17027A81"/>
    <w:rsid w:val="170B2924"/>
    <w:rsid w:val="1710637F"/>
    <w:rsid w:val="17113509"/>
    <w:rsid w:val="17145863"/>
    <w:rsid w:val="171665D8"/>
    <w:rsid w:val="171A5CBA"/>
    <w:rsid w:val="171D5F7F"/>
    <w:rsid w:val="171E12ED"/>
    <w:rsid w:val="17206F15"/>
    <w:rsid w:val="172348EA"/>
    <w:rsid w:val="173316FA"/>
    <w:rsid w:val="17341D96"/>
    <w:rsid w:val="175045E3"/>
    <w:rsid w:val="177A259B"/>
    <w:rsid w:val="177C7427"/>
    <w:rsid w:val="17831BA3"/>
    <w:rsid w:val="17831D9C"/>
    <w:rsid w:val="178453DB"/>
    <w:rsid w:val="17880D4F"/>
    <w:rsid w:val="179E48A8"/>
    <w:rsid w:val="17A26B9E"/>
    <w:rsid w:val="17A4339F"/>
    <w:rsid w:val="17B5402A"/>
    <w:rsid w:val="17B624C7"/>
    <w:rsid w:val="17B77B0C"/>
    <w:rsid w:val="17C33B6E"/>
    <w:rsid w:val="17CB0959"/>
    <w:rsid w:val="17DF2924"/>
    <w:rsid w:val="17E233B4"/>
    <w:rsid w:val="17EA5CD3"/>
    <w:rsid w:val="17F04A1C"/>
    <w:rsid w:val="17F8114B"/>
    <w:rsid w:val="18104CC7"/>
    <w:rsid w:val="181634DF"/>
    <w:rsid w:val="181647C7"/>
    <w:rsid w:val="18263214"/>
    <w:rsid w:val="183030D3"/>
    <w:rsid w:val="18383333"/>
    <w:rsid w:val="183D3D96"/>
    <w:rsid w:val="184909C0"/>
    <w:rsid w:val="184B2889"/>
    <w:rsid w:val="184D2B4D"/>
    <w:rsid w:val="184E0FA9"/>
    <w:rsid w:val="1857542D"/>
    <w:rsid w:val="185B107B"/>
    <w:rsid w:val="185F17FD"/>
    <w:rsid w:val="186347C9"/>
    <w:rsid w:val="18656DAA"/>
    <w:rsid w:val="18660069"/>
    <w:rsid w:val="18666238"/>
    <w:rsid w:val="186A12BA"/>
    <w:rsid w:val="186E60ED"/>
    <w:rsid w:val="187450F7"/>
    <w:rsid w:val="187A45BA"/>
    <w:rsid w:val="18830DA8"/>
    <w:rsid w:val="18840E5D"/>
    <w:rsid w:val="18892926"/>
    <w:rsid w:val="188E3359"/>
    <w:rsid w:val="189352CC"/>
    <w:rsid w:val="189A1485"/>
    <w:rsid w:val="189E5222"/>
    <w:rsid w:val="189F4F8B"/>
    <w:rsid w:val="18A4319D"/>
    <w:rsid w:val="18A957A1"/>
    <w:rsid w:val="18B3424A"/>
    <w:rsid w:val="18C92288"/>
    <w:rsid w:val="18D010D7"/>
    <w:rsid w:val="18DC0A01"/>
    <w:rsid w:val="18E531C4"/>
    <w:rsid w:val="18E725E6"/>
    <w:rsid w:val="18EA0ABA"/>
    <w:rsid w:val="18F6311C"/>
    <w:rsid w:val="18FA1A40"/>
    <w:rsid w:val="19017677"/>
    <w:rsid w:val="19064FBD"/>
    <w:rsid w:val="190B6A0C"/>
    <w:rsid w:val="19115922"/>
    <w:rsid w:val="191B5391"/>
    <w:rsid w:val="191D5BBD"/>
    <w:rsid w:val="192113AC"/>
    <w:rsid w:val="192B00CF"/>
    <w:rsid w:val="192F6BE7"/>
    <w:rsid w:val="193940F1"/>
    <w:rsid w:val="19467EA5"/>
    <w:rsid w:val="194A3B92"/>
    <w:rsid w:val="1956007C"/>
    <w:rsid w:val="1956295E"/>
    <w:rsid w:val="19593661"/>
    <w:rsid w:val="198109D1"/>
    <w:rsid w:val="19865C6D"/>
    <w:rsid w:val="198B6ED0"/>
    <w:rsid w:val="198D2CE0"/>
    <w:rsid w:val="19913183"/>
    <w:rsid w:val="19983994"/>
    <w:rsid w:val="199F2E78"/>
    <w:rsid w:val="19A32178"/>
    <w:rsid w:val="19A33769"/>
    <w:rsid w:val="19AE3B91"/>
    <w:rsid w:val="19AF63A4"/>
    <w:rsid w:val="19B17A41"/>
    <w:rsid w:val="19B74629"/>
    <w:rsid w:val="19C822E8"/>
    <w:rsid w:val="19CA2453"/>
    <w:rsid w:val="19CC3A81"/>
    <w:rsid w:val="19EC00C0"/>
    <w:rsid w:val="19EC0A45"/>
    <w:rsid w:val="1A061DBD"/>
    <w:rsid w:val="1A070AE8"/>
    <w:rsid w:val="1A137EE0"/>
    <w:rsid w:val="1A284731"/>
    <w:rsid w:val="1A3950E4"/>
    <w:rsid w:val="1A4F751A"/>
    <w:rsid w:val="1A53654D"/>
    <w:rsid w:val="1A5875E8"/>
    <w:rsid w:val="1A630499"/>
    <w:rsid w:val="1A6471FE"/>
    <w:rsid w:val="1A676352"/>
    <w:rsid w:val="1A8D2AA7"/>
    <w:rsid w:val="1A9C1D72"/>
    <w:rsid w:val="1AB0701E"/>
    <w:rsid w:val="1ACD0EB1"/>
    <w:rsid w:val="1AD06E5E"/>
    <w:rsid w:val="1AD07E78"/>
    <w:rsid w:val="1AE474E1"/>
    <w:rsid w:val="1AE72E87"/>
    <w:rsid w:val="1AF42548"/>
    <w:rsid w:val="1B0348EB"/>
    <w:rsid w:val="1B043FAD"/>
    <w:rsid w:val="1B093827"/>
    <w:rsid w:val="1B0D6E3F"/>
    <w:rsid w:val="1B3012A6"/>
    <w:rsid w:val="1B321F1C"/>
    <w:rsid w:val="1B396FE6"/>
    <w:rsid w:val="1B3F344E"/>
    <w:rsid w:val="1B411BCC"/>
    <w:rsid w:val="1B4246A9"/>
    <w:rsid w:val="1B703933"/>
    <w:rsid w:val="1B876BFB"/>
    <w:rsid w:val="1B8A07D7"/>
    <w:rsid w:val="1B9C4A0D"/>
    <w:rsid w:val="1B9D1278"/>
    <w:rsid w:val="1BA55653"/>
    <w:rsid w:val="1BAC7745"/>
    <w:rsid w:val="1BAE0746"/>
    <w:rsid w:val="1BB91E29"/>
    <w:rsid w:val="1BBF37A3"/>
    <w:rsid w:val="1BC15CFE"/>
    <w:rsid w:val="1BC51582"/>
    <w:rsid w:val="1BD92E0D"/>
    <w:rsid w:val="1BDE57FF"/>
    <w:rsid w:val="1BE32E87"/>
    <w:rsid w:val="1BE673C9"/>
    <w:rsid w:val="1BE70BB7"/>
    <w:rsid w:val="1BEC0ECB"/>
    <w:rsid w:val="1BF02422"/>
    <w:rsid w:val="1BF74456"/>
    <w:rsid w:val="1BFC1991"/>
    <w:rsid w:val="1C06268A"/>
    <w:rsid w:val="1C0659DF"/>
    <w:rsid w:val="1C0947D5"/>
    <w:rsid w:val="1C0D5326"/>
    <w:rsid w:val="1C101AB2"/>
    <w:rsid w:val="1C224232"/>
    <w:rsid w:val="1C224A01"/>
    <w:rsid w:val="1C3133E1"/>
    <w:rsid w:val="1C451799"/>
    <w:rsid w:val="1C4E29F0"/>
    <w:rsid w:val="1C5D3751"/>
    <w:rsid w:val="1C616D9C"/>
    <w:rsid w:val="1C63351B"/>
    <w:rsid w:val="1C665967"/>
    <w:rsid w:val="1C6A3880"/>
    <w:rsid w:val="1C6A3ED7"/>
    <w:rsid w:val="1C6B06AB"/>
    <w:rsid w:val="1C6C30B5"/>
    <w:rsid w:val="1C7C3E1A"/>
    <w:rsid w:val="1C8054C5"/>
    <w:rsid w:val="1C876837"/>
    <w:rsid w:val="1C933604"/>
    <w:rsid w:val="1CA336A4"/>
    <w:rsid w:val="1CA64C31"/>
    <w:rsid w:val="1CAA040F"/>
    <w:rsid w:val="1CB4410E"/>
    <w:rsid w:val="1CC20036"/>
    <w:rsid w:val="1CC52AF1"/>
    <w:rsid w:val="1CD23400"/>
    <w:rsid w:val="1CD42CBC"/>
    <w:rsid w:val="1CDF4E0A"/>
    <w:rsid w:val="1CE34818"/>
    <w:rsid w:val="1CEA1148"/>
    <w:rsid w:val="1D0D507D"/>
    <w:rsid w:val="1D0F44FC"/>
    <w:rsid w:val="1D1B133D"/>
    <w:rsid w:val="1D1E04F8"/>
    <w:rsid w:val="1D206262"/>
    <w:rsid w:val="1D2A2528"/>
    <w:rsid w:val="1D321EF0"/>
    <w:rsid w:val="1D386631"/>
    <w:rsid w:val="1D4246A5"/>
    <w:rsid w:val="1D472AE7"/>
    <w:rsid w:val="1D4C274F"/>
    <w:rsid w:val="1D4E3659"/>
    <w:rsid w:val="1D52003C"/>
    <w:rsid w:val="1D5A7281"/>
    <w:rsid w:val="1D5F5324"/>
    <w:rsid w:val="1D60741A"/>
    <w:rsid w:val="1D6373BC"/>
    <w:rsid w:val="1D651711"/>
    <w:rsid w:val="1D6532EE"/>
    <w:rsid w:val="1D66077A"/>
    <w:rsid w:val="1D672D9C"/>
    <w:rsid w:val="1D69210F"/>
    <w:rsid w:val="1D6F36D2"/>
    <w:rsid w:val="1D7412CE"/>
    <w:rsid w:val="1D786EC7"/>
    <w:rsid w:val="1D7B6830"/>
    <w:rsid w:val="1D7D19A1"/>
    <w:rsid w:val="1D8B77A9"/>
    <w:rsid w:val="1D8C17E5"/>
    <w:rsid w:val="1D8D19CB"/>
    <w:rsid w:val="1D8F3CA1"/>
    <w:rsid w:val="1D917B57"/>
    <w:rsid w:val="1D9307D5"/>
    <w:rsid w:val="1D9C168B"/>
    <w:rsid w:val="1D9E1410"/>
    <w:rsid w:val="1DAC0059"/>
    <w:rsid w:val="1DB63848"/>
    <w:rsid w:val="1DBD54D8"/>
    <w:rsid w:val="1DC326E6"/>
    <w:rsid w:val="1DC7494F"/>
    <w:rsid w:val="1DCA13C0"/>
    <w:rsid w:val="1DCE2162"/>
    <w:rsid w:val="1DDD14CC"/>
    <w:rsid w:val="1DDD5D34"/>
    <w:rsid w:val="1DE017A2"/>
    <w:rsid w:val="1DE0197A"/>
    <w:rsid w:val="1DE16825"/>
    <w:rsid w:val="1DE872FC"/>
    <w:rsid w:val="1DEE237B"/>
    <w:rsid w:val="1DF10DD6"/>
    <w:rsid w:val="1DF7243F"/>
    <w:rsid w:val="1DF77A1F"/>
    <w:rsid w:val="1DFC04EA"/>
    <w:rsid w:val="1E0266C3"/>
    <w:rsid w:val="1E0F596D"/>
    <w:rsid w:val="1E1165E3"/>
    <w:rsid w:val="1E16015C"/>
    <w:rsid w:val="1E1A3871"/>
    <w:rsid w:val="1E20255C"/>
    <w:rsid w:val="1E23471D"/>
    <w:rsid w:val="1E266C97"/>
    <w:rsid w:val="1E282CF6"/>
    <w:rsid w:val="1E33208A"/>
    <w:rsid w:val="1E3F61AB"/>
    <w:rsid w:val="1E4177B6"/>
    <w:rsid w:val="1E4B60C3"/>
    <w:rsid w:val="1E564C0D"/>
    <w:rsid w:val="1E567D92"/>
    <w:rsid w:val="1E617828"/>
    <w:rsid w:val="1E730E13"/>
    <w:rsid w:val="1E7970CE"/>
    <w:rsid w:val="1E873683"/>
    <w:rsid w:val="1E884238"/>
    <w:rsid w:val="1E892CF8"/>
    <w:rsid w:val="1E8C490C"/>
    <w:rsid w:val="1E8E4F3F"/>
    <w:rsid w:val="1E95083D"/>
    <w:rsid w:val="1EA62FB7"/>
    <w:rsid w:val="1EAD586F"/>
    <w:rsid w:val="1EB906D3"/>
    <w:rsid w:val="1EC42105"/>
    <w:rsid w:val="1EC76EFD"/>
    <w:rsid w:val="1ECE5A74"/>
    <w:rsid w:val="1ED074C6"/>
    <w:rsid w:val="1ED119D7"/>
    <w:rsid w:val="1ED215F4"/>
    <w:rsid w:val="1ED22D25"/>
    <w:rsid w:val="1ED4771E"/>
    <w:rsid w:val="1EDB3D36"/>
    <w:rsid w:val="1EDE6C4B"/>
    <w:rsid w:val="1EDF62E4"/>
    <w:rsid w:val="1EEB788D"/>
    <w:rsid w:val="1EEC78E7"/>
    <w:rsid w:val="1EEF1FDF"/>
    <w:rsid w:val="1EF162CC"/>
    <w:rsid w:val="1EF73065"/>
    <w:rsid w:val="1EF932C8"/>
    <w:rsid w:val="1F0C111F"/>
    <w:rsid w:val="1F104930"/>
    <w:rsid w:val="1F111C38"/>
    <w:rsid w:val="1F140E43"/>
    <w:rsid w:val="1F177C12"/>
    <w:rsid w:val="1F186C59"/>
    <w:rsid w:val="1F232ECB"/>
    <w:rsid w:val="1F2A0AE0"/>
    <w:rsid w:val="1F473D76"/>
    <w:rsid w:val="1F514CD0"/>
    <w:rsid w:val="1F547B36"/>
    <w:rsid w:val="1F574CF4"/>
    <w:rsid w:val="1F606BC2"/>
    <w:rsid w:val="1F7B27E2"/>
    <w:rsid w:val="1F84664F"/>
    <w:rsid w:val="1F926721"/>
    <w:rsid w:val="1F9364F6"/>
    <w:rsid w:val="1FAE28BB"/>
    <w:rsid w:val="1FBA752B"/>
    <w:rsid w:val="1FC50E45"/>
    <w:rsid w:val="1FC604DD"/>
    <w:rsid w:val="1FD36C92"/>
    <w:rsid w:val="1FD537EC"/>
    <w:rsid w:val="1FD61A5E"/>
    <w:rsid w:val="1FEA279B"/>
    <w:rsid w:val="1FEA282B"/>
    <w:rsid w:val="1FEB4A8F"/>
    <w:rsid w:val="1FEB6220"/>
    <w:rsid w:val="1FF22114"/>
    <w:rsid w:val="1FF869F6"/>
    <w:rsid w:val="1FFC6CD3"/>
    <w:rsid w:val="200D3DA1"/>
    <w:rsid w:val="20231A83"/>
    <w:rsid w:val="202663D7"/>
    <w:rsid w:val="20272D4C"/>
    <w:rsid w:val="202C5FDA"/>
    <w:rsid w:val="20361C36"/>
    <w:rsid w:val="204D24EA"/>
    <w:rsid w:val="204D4637"/>
    <w:rsid w:val="204E54D9"/>
    <w:rsid w:val="20532633"/>
    <w:rsid w:val="205F6BC6"/>
    <w:rsid w:val="20645753"/>
    <w:rsid w:val="20687773"/>
    <w:rsid w:val="206F389F"/>
    <w:rsid w:val="206F60D5"/>
    <w:rsid w:val="208231A8"/>
    <w:rsid w:val="208508DD"/>
    <w:rsid w:val="209E4BC8"/>
    <w:rsid w:val="20A40975"/>
    <w:rsid w:val="20A63191"/>
    <w:rsid w:val="20AE0AC0"/>
    <w:rsid w:val="20B23BE9"/>
    <w:rsid w:val="20B35539"/>
    <w:rsid w:val="20B65300"/>
    <w:rsid w:val="20B864AC"/>
    <w:rsid w:val="20C54081"/>
    <w:rsid w:val="20C777F2"/>
    <w:rsid w:val="20C87673"/>
    <w:rsid w:val="20C92415"/>
    <w:rsid w:val="20CB620B"/>
    <w:rsid w:val="20DF4EBF"/>
    <w:rsid w:val="20EE190A"/>
    <w:rsid w:val="20FC5759"/>
    <w:rsid w:val="21072CB7"/>
    <w:rsid w:val="21085E67"/>
    <w:rsid w:val="210961A9"/>
    <w:rsid w:val="2115457B"/>
    <w:rsid w:val="21230F44"/>
    <w:rsid w:val="21321E93"/>
    <w:rsid w:val="2138752E"/>
    <w:rsid w:val="21447F58"/>
    <w:rsid w:val="215A3D91"/>
    <w:rsid w:val="21611366"/>
    <w:rsid w:val="21662009"/>
    <w:rsid w:val="216637FA"/>
    <w:rsid w:val="216806CD"/>
    <w:rsid w:val="21681EAB"/>
    <w:rsid w:val="216F7774"/>
    <w:rsid w:val="21786EA4"/>
    <w:rsid w:val="217B3882"/>
    <w:rsid w:val="2189636C"/>
    <w:rsid w:val="21934A75"/>
    <w:rsid w:val="21943C7F"/>
    <w:rsid w:val="21964D05"/>
    <w:rsid w:val="21994A15"/>
    <w:rsid w:val="219E1586"/>
    <w:rsid w:val="21A05C08"/>
    <w:rsid w:val="21A956B2"/>
    <w:rsid w:val="21AF0603"/>
    <w:rsid w:val="21B96961"/>
    <w:rsid w:val="21BA4D22"/>
    <w:rsid w:val="21BF325C"/>
    <w:rsid w:val="21D62A09"/>
    <w:rsid w:val="21E22A23"/>
    <w:rsid w:val="2201163A"/>
    <w:rsid w:val="220E74E4"/>
    <w:rsid w:val="220E79EA"/>
    <w:rsid w:val="220E79FB"/>
    <w:rsid w:val="221964AB"/>
    <w:rsid w:val="222E37D7"/>
    <w:rsid w:val="223348AD"/>
    <w:rsid w:val="22376589"/>
    <w:rsid w:val="224325A5"/>
    <w:rsid w:val="2244378B"/>
    <w:rsid w:val="224A4ED7"/>
    <w:rsid w:val="224A5E82"/>
    <w:rsid w:val="22511DA6"/>
    <w:rsid w:val="22515985"/>
    <w:rsid w:val="22622285"/>
    <w:rsid w:val="226C7AC9"/>
    <w:rsid w:val="22742EBC"/>
    <w:rsid w:val="22780AFD"/>
    <w:rsid w:val="227A5600"/>
    <w:rsid w:val="22801F07"/>
    <w:rsid w:val="228A7449"/>
    <w:rsid w:val="229A45BF"/>
    <w:rsid w:val="22A346AD"/>
    <w:rsid w:val="22AC6315"/>
    <w:rsid w:val="22B16AE5"/>
    <w:rsid w:val="22B252E0"/>
    <w:rsid w:val="22BB0D3D"/>
    <w:rsid w:val="22BE29BC"/>
    <w:rsid w:val="22C449C6"/>
    <w:rsid w:val="22D624B5"/>
    <w:rsid w:val="22D65BDE"/>
    <w:rsid w:val="22DA57A9"/>
    <w:rsid w:val="22E3685F"/>
    <w:rsid w:val="22F66C09"/>
    <w:rsid w:val="23063847"/>
    <w:rsid w:val="23067F41"/>
    <w:rsid w:val="230E086B"/>
    <w:rsid w:val="230E5118"/>
    <w:rsid w:val="230E568F"/>
    <w:rsid w:val="230F2B7A"/>
    <w:rsid w:val="23136F50"/>
    <w:rsid w:val="231A07A2"/>
    <w:rsid w:val="23312FC6"/>
    <w:rsid w:val="23322CCD"/>
    <w:rsid w:val="23383AE3"/>
    <w:rsid w:val="23453163"/>
    <w:rsid w:val="234B7958"/>
    <w:rsid w:val="2355466C"/>
    <w:rsid w:val="23663A7D"/>
    <w:rsid w:val="23675AD2"/>
    <w:rsid w:val="23685E2F"/>
    <w:rsid w:val="236A0B5E"/>
    <w:rsid w:val="23836FDB"/>
    <w:rsid w:val="238478C9"/>
    <w:rsid w:val="23865AFB"/>
    <w:rsid w:val="23924418"/>
    <w:rsid w:val="23957C51"/>
    <w:rsid w:val="23993449"/>
    <w:rsid w:val="23A06254"/>
    <w:rsid w:val="23A23CE0"/>
    <w:rsid w:val="23A76193"/>
    <w:rsid w:val="23AA556D"/>
    <w:rsid w:val="23AE36A7"/>
    <w:rsid w:val="23B757DA"/>
    <w:rsid w:val="23B9134E"/>
    <w:rsid w:val="23BA2F2A"/>
    <w:rsid w:val="23BE0810"/>
    <w:rsid w:val="23BE5CEE"/>
    <w:rsid w:val="23BF40FA"/>
    <w:rsid w:val="23C43BA5"/>
    <w:rsid w:val="23C61AB6"/>
    <w:rsid w:val="23C64C87"/>
    <w:rsid w:val="23CD7E53"/>
    <w:rsid w:val="23DA7C5B"/>
    <w:rsid w:val="23E77955"/>
    <w:rsid w:val="23EF2B27"/>
    <w:rsid w:val="23F0038C"/>
    <w:rsid w:val="23F128B1"/>
    <w:rsid w:val="24040B99"/>
    <w:rsid w:val="240D0703"/>
    <w:rsid w:val="24140D21"/>
    <w:rsid w:val="2420088B"/>
    <w:rsid w:val="24262B13"/>
    <w:rsid w:val="243E1DB2"/>
    <w:rsid w:val="243E3F71"/>
    <w:rsid w:val="24414D4B"/>
    <w:rsid w:val="24604060"/>
    <w:rsid w:val="246223AB"/>
    <w:rsid w:val="24625024"/>
    <w:rsid w:val="24637236"/>
    <w:rsid w:val="246535FB"/>
    <w:rsid w:val="247413D3"/>
    <w:rsid w:val="24791CC2"/>
    <w:rsid w:val="2481156C"/>
    <w:rsid w:val="248F0B46"/>
    <w:rsid w:val="24922119"/>
    <w:rsid w:val="24945E89"/>
    <w:rsid w:val="24A917D5"/>
    <w:rsid w:val="24B04DDC"/>
    <w:rsid w:val="24D80A75"/>
    <w:rsid w:val="24E5350E"/>
    <w:rsid w:val="24E85573"/>
    <w:rsid w:val="24EC528A"/>
    <w:rsid w:val="24EE662E"/>
    <w:rsid w:val="24EF3A9F"/>
    <w:rsid w:val="24F60084"/>
    <w:rsid w:val="250F7EAD"/>
    <w:rsid w:val="252C4BDE"/>
    <w:rsid w:val="253615AF"/>
    <w:rsid w:val="25520272"/>
    <w:rsid w:val="255224ED"/>
    <w:rsid w:val="2554106C"/>
    <w:rsid w:val="2555694A"/>
    <w:rsid w:val="255D42E7"/>
    <w:rsid w:val="25617401"/>
    <w:rsid w:val="256E30EA"/>
    <w:rsid w:val="25710476"/>
    <w:rsid w:val="25720267"/>
    <w:rsid w:val="25773C4B"/>
    <w:rsid w:val="257900AB"/>
    <w:rsid w:val="258744EE"/>
    <w:rsid w:val="25887106"/>
    <w:rsid w:val="25937AD5"/>
    <w:rsid w:val="25AC1057"/>
    <w:rsid w:val="25AF3419"/>
    <w:rsid w:val="25B214BF"/>
    <w:rsid w:val="25B66B3A"/>
    <w:rsid w:val="25BB266E"/>
    <w:rsid w:val="25C125A1"/>
    <w:rsid w:val="25D5488B"/>
    <w:rsid w:val="25DA31F1"/>
    <w:rsid w:val="25E005B9"/>
    <w:rsid w:val="25E57619"/>
    <w:rsid w:val="25E731AA"/>
    <w:rsid w:val="25E93CF6"/>
    <w:rsid w:val="25EE057B"/>
    <w:rsid w:val="25F23BEF"/>
    <w:rsid w:val="25F5515A"/>
    <w:rsid w:val="26033980"/>
    <w:rsid w:val="261355D5"/>
    <w:rsid w:val="261E6A81"/>
    <w:rsid w:val="263043D6"/>
    <w:rsid w:val="26363532"/>
    <w:rsid w:val="263835C2"/>
    <w:rsid w:val="26424D46"/>
    <w:rsid w:val="26426142"/>
    <w:rsid w:val="264D0593"/>
    <w:rsid w:val="26576962"/>
    <w:rsid w:val="2659753A"/>
    <w:rsid w:val="266E0551"/>
    <w:rsid w:val="267F512E"/>
    <w:rsid w:val="267F76D6"/>
    <w:rsid w:val="268C483D"/>
    <w:rsid w:val="268C6FB5"/>
    <w:rsid w:val="26A21AE5"/>
    <w:rsid w:val="26B372C4"/>
    <w:rsid w:val="26B63C11"/>
    <w:rsid w:val="26B86312"/>
    <w:rsid w:val="26C6646A"/>
    <w:rsid w:val="26CC0886"/>
    <w:rsid w:val="26E63F09"/>
    <w:rsid w:val="26F55EA1"/>
    <w:rsid w:val="26FF3531"/>
    <w:rsid w:val="27090A10"/>
    <w:rsid w:val="27131FD6"/>
    <w:rsid w:val="272B62F1"/>
    <w:rsid w:val="272C0707"/>
    <w:rsid w:val="27312BF7"/>
    <w:rsid w:val="27377362"/>
    <w:rsid w:val="27417978"/>
    <w:rsid w:val="274257EB"/>
    <w:rsid w:val="274773A1"/>
    <w:rsid w:val="27617F93"/>
    <w:rsid w:val="27642610"/>
    <w:rsid w:val="277273DA"/>
    <w:rsid w:val="27957B60"/>
    <w:rsid w:val="279800FA"/>
    <w:rsid w:val="279B1547"/>
    <w:rsid w:val="27A10E29"/>
    <w:rsid w:val="27A81178"/>
    <w:rsid w:val="27B15CFE"/>
    <w:rsid w:val="27B70919"/>
    <w:rsid w:val="27B73181"/>
    <w:rsid w:val="27B80B33"/>
    <w:rsid w:val="27B94469"/>
    <w:rsid w:val="27C30E08"/>
    <w:rsid w:val="27CB071D"/>
    <w:rsid w:val="27CC69E1"/>
    <w:rsid w:val="27CD32DB"/>
    <w:rsid w:val="27D8160F"/>
    <w:rsid w:val="27E56DBB"/>
    <w:rsid w:val="27E92460"/>
    <w:rsid w:val="27F81566"/>
    <w:rsid w:val="27F87B99"/>
    <w:rsid w:val="27FC4C16"/>
    <w:rsid w:val="280368C0"/>
    <w:rsid w:val="28042F2D"/>
    <w:rsid w:val="28051998"/>
    <w:rsid w:val="280E3D73"/>
    <w:rsid w:val="28132DB4"/>
    <w:rsid w:val="28177DFE"/>
    <w:rsid w:val="282B5AAB"/>
    <w:rsid w:val="284359D5"/>
    <w:rsid w:val="28627489"/>
    <w:rsid w:val="286770AB"/>
    <w:rsid w:val="28685AEF"/>
    <w:rsid w:val="287277FF"/>
    <w:rsid w:val="28777F1C"/>
    <w:rsid w:val="28795C1D"/>
    <w:rsid w:val="28853BE2"/>
    <w:rsid w:val="288B0D06"/>
    <w:rsid w:val="289F299C"/>
    <w:rsid w:val="28B02068"/>
    <w:rsid w:val="28B17548"/>
    <w:rsid w:val="28B34636"/>
    <w:rsid w:val="28C72950"/>
    <w:rsid w:val="28CB4375"/>
    <w:rsid w:val="28CE12DF"/>
    <w:rsid w:val="28D835DE"/>
    <w:rsid w:val="290E3267"/>
    <w:rsid w:val="291E6EA7"/>
    <w:rsid w:val="29222588"/>
    <w:rsid w:val="292B1297"/>
    <w:rsid w:val="2930184D"/>
    <w:rsid w:val="29346AD5"/>
    <w:rsid w:val="2938430F"/>
    <w:rsid w:val="294A4598"/>
    <w:rsid w:val="295C45A6"/>
    <w:rsid w:val="29855C6B"/>
    <w:rsid w:val="299E300A"/>
    <w:rsid w:val="29B07BD1"/>
    <w:rsid w:val="29B964D5"/>
    <w:rsid w:val="29BE4009"/>
    <w:rsid w:val="29C9127F"/>
    <w:rsid w:val="29E420BD"/>
    <w:rsid w:val="29EE0D90"/>
    <w:rsid w:val="29F85C66"/>
    <w:rsid w:val="29F85CE7"/>
    <w:rsid w:val="29FD4AF3"/>
    <w:rsid w:val="2A010E7C"/>
    <w:rsid w:val="2A0C1ECC"/>
    <w:rsid w:val="2A140D4C"/>
    <w:rsid w:val="2A1F3688"/>
    <w:rsid w:val="2A2F56DF"/>
    <w:rsid w:val="2A397929"/>
    <w:rsid w:val="2A456AF6"/>
    <w:rsid w:val="2A5B3DA8"/>
    <w:rsid w:val="2A61715C"/>
    <w:rsid w:val="2A651DB4"/>
    <w:rsid w:val="2A726CD5"/>
    <w:rsid w:val="2A7337A3"/>
    <w:rsid w:val="2A8022FD"/>
    <w:rsid w:val="2A835B6A"/>
    <w:rsid w:val="2A8F0E10"/>
    <w:rsid w:val="2A93323F"/>
    <w:rsid w:val="2A9731FB"/>
    <w:rsid w:val="2A9D48E0"/>
    <w:rsid w:val="2AA67065"/>
    <w:rsid w:val="2AAA3BD7"/>
    <w:rsid w:val="2AAB2B45"/>
    <w:rsid w:val="2AAF0E2B"/>
    <w:rsid w:val="2AB27FDF"/>
    <w:rsid w:val="2ABA1726"/>
    <w:rsid w:val="2AC36473"/>
    <w:rsid w:val="2AC44D35"/>
    <w:rsid w:val="2AC53AE1"/>
    <w:rsid w:val="2ACB3334"/>
    <w:rsid w:val="2AD646C2"/>
    <w:rsid w:val="2AE23B64"/>
    <w:rsid w:val="2AE41795"/>
    <w:rsid w:val="2AE6538D"/>
    <w:rsid w:val="2AEA7523"/>
    <w:rsid w:val="2AF0401C"/>
    <w:rsid w:val="2AF46E20"/>
    <w:rsid w:val="2AF50121"/>
    <w:rsid w:val="2AF5711A"/>
    <w:rsid w:val="2AF65931"/>
    <w:rsid w:val="2AF92BA2"/>
    <w:rsid w:val="2AFF5133"/>
    <w:rsid w:val="2B0E3EB2"/>
    <w:rsid w:val="2B2745F4"/>
    <w:rsid w:val="2B292805"/>
    <w:rsid w:val="2B2B0F04"/>
    <w:rsid w:val="2B2C5F24"/>
    <w:rsid w:val="2B31399D"/>
    <w:rsid w:val="2B350973"/>
    <w:rsid w:val="2B374FBC"/>
    <w:rsid w:val="2B484CD4"/>
    <w:rsid w:val="2B5B6A8B"/>
    <w:rsid w:val="2B5F1378"/>
    <w:rsid w:val="2B5F4F25"/>
    <w:rsid w:val="2B681E77"/>
    <w:rsid w:val="2B81331F"/>
    <w:rsid w:val="2B84624A"/>
    <w:rsid w:val="2B8F2724"/>
    <w:rsid w:val="2B910627"/>
    <w:rsid w:val="2BB9635F"/>
    <w:rsid w:val="2BBB7D61"/>
    <w:rsid w:val="2BBF1232"/>
    <w:rsid w:val="2BC47701"/>
    <w:rsid w:val="2BC72AD6"/>
    <w:rsid w:val="2BD75389"/>
    <w:rsid w:val="2BD824BA"/>
    <w:rsid w:val="2BDD4B56"/>
    <w:rsid w:val="2BDE2464"/>
    <w:rsid w:val="2BE13314"/>
    <w:rsid w:val="2BEF0957"/>
    <w:rsid w:val="2BF01529"/>
    <w:rsid w:val="2BF632CB"/>
    <w:rsid w:val="2BF65AFD"/>
    <w:rsid w:val="2C0D7172"/>
    <w:rsid w:val="2C290B96"/>
    <w:rsid w:val="2C54208F"/>
    <w:rsid w:val="2C5D5D47"/>
    <w:rsid w:val="2C65211A"/>
    <w:rsid w:val="2C66190E"/>
    <w:rsid w:val="2C6D0BB5"/>
    <w:rsid w:val="2C717302"/>
    <w:rsid w:val="2C771C9F"/>
    <w:rsid w:val="2C8117B0"/>
    <w:rsid w:val="2C8702D5"/>
    <w:rsid w:val="2C887510"/>
    <w:rsid w:val="2C9A0CBE"/>
    <w:rsid w:val="2CA12CD4"/>
    <w:rsid w:val="2CAC697C"/>
    <w:rsid w:val="2CC14B41"/>
    <w:rsid w:val="2CC613B9"/>
    <w:rsid w:val="2CC7740F"/>
    <w:rsid w:val="2CC86752"/>
    <w:rsid w:val="2CCD16CD"/>
    <w:rsid w:val="2CCE3B78"/>
    <w:rsid w:val="2CDC2376"/>
    <w:rsid w:val="2CE272CE"/>
    <w:rsid w:val="2CF63C07"/>
    <w:rsid w:val="2CF804E6"/>
    <w:rsid w:val="2D1D38CB"/>
    <w:rsid w:val="2D251284"/>
    <w:rsid w:val="2D283017"/>
    <w:rsid w:val="2D2833B9"/>
    <w:rsid w:val="2D2F560A"/>
    <w:rsid w:val="2D313793"/>
    <w:rsid w:val="2D337703"/>
    <w:rsid w:val="2D3505E9"/>
    <w:rsid w:val="2D3A2EE0"/>
    <w:rsid w:val="2D432752"/>
    <w:rsid w:val="2D442ED7"/>
    <w:rsid w:val="2D445D0B"/>
    <w:rsid w:val="2D464ACE"/>
    <w:rsid w:val="2D5A0910"/>
    <w:rsid w:val="2D5B14D1"/>
    <w:rsid w:val="2D623DB6"/>
    <w:rsid w:val="2D656BCF"/>
    <w:rsid w:val="2D687F73"/>
    <w:rsid w:val="2D75200A"/>
    <w:rsid w:val="2DA353FA"/>
    <w:rsid w:val="2DA76234"/>
    <w:rsid w:val="2DA8062C"/>
    <w:rsid w:val="2DB26871"/>
    <w:rsid w:val="2DB4162F"/>
    <w:rsid w:val="2DCE1146"/>
    <w:rsid w:val="2DD61D01"/>
    <w:rsid w:val="2DDD01E4"/>
    <w:rsid w:val="2DE11306"/>
    <w:rsid w:val="2DEB0684"/>
    <w:rsid w:val="2DF739C9"/>
    <w:rsid w:val="2DFE227B"/>
    <w:rsid w:val="2E0702B9"/>
    <w:rsid w:val="2E0B6169"/>
    <w:rsid w:val="2E1D7310"/>
    <w:rsid w:val="2E3E1EE5"/>
    <w:rsid w:val="2E470D3D"/>
    <w:rsid w:val="2E596CC3"/>
    <w:rsid w:val="2E5C0FB0"/>
    <w:rsid w:val="2E5D6F95"/>
    <w:rsid w:val="2E5F33A7"/>
    <w:rsid w:val="2E621FD0"/>
    <w:rsid w:val="2E7A5BDE"/>
    <w:rsid w:val="2E812484"/>
    <w:rsid w:val="2E847CD2"/>
    <w:rsid w:val="2E85359A"/>
    <w:rsid w:val="2E8A37B8"/>
    <w:rsid w:val="2E8B5F62"/>
    <w:rsid w:val="2E8E7B6C"/>
    <w:rsid w:val="2E9133B7"/>
    <w:rsid w:val="2E933591"/>
    <w:rsid w:val="2E942C34"/>
    <w:rsid w:val="2E961247"/>
    <w:rsid w:val="2E973106"/>
    <w:rsid w:val="2EB36149"/>
    <w:rsid w:val="2EB7242E"/>
    <w:rsid w:val="2EBF16BD"/>
    <w:rsid w:val="2EC4331D"/>
    <w:rsid w:val="2ECE4863"/>
    <w:rsid w:val="2ED1010A"/>
    <w:rsid w:val="2ED80F40"/>
    <w:rsid w:val="2EDE667A"/>
    <w:rsid w:val="2EE07160"/>
    <w:rsid w:val="2EF96A0F"/>
    <w:rsid w:val="2F010984"/>
    <w:rsid w:val="2F195F9B"/>
    <w:rsid w:val="2F1F5AAC"/>
    <w:rsid w:val="2F2926CC"/>
    <w:rsid w:val="2F335964"/>
    <w:rsid w:val="2F3B3F6C"/>
    <w:rsid w:val="2F3E204B"/>
    <w:rsid w:val="2F4B377A"/>
    <w:rsid w:val="2F4E554E"/>
    <w:rsid w:val="2F5C54C2"/>
    <w:rsid w:val="2F68056F"/>
    <w:rsid w:val="2F691968"/>
    <w:rsid w:val="2F701545"/>
    <w:rsid w:val="2F7669EE"/>
    <w:rsid w:val="2F77870F"/>
    <w:rsid w:val="2F97510F"/>
    <w:rsid w:val="2F995BA4"/>
    <w:rsid w:val="2FA01A39"/>
    <w:rsid w:val="2FAA691B"/>
    <w:rsid w:val="2FB23A43"/>
    <w:rsid w:val="2FB3413E"/>
    <w:rsid w:val="2FB60B19"/>
    <w:rsid w:val="2FB85452"/>
    <w:rsid w:val="2FCC67F6"/>
    <w:rsid w:val="2FD74990"/>
    <w:rsid w:val="2FDB53D8"/>
    <w:rsid w:val="2FDC6372"/>
    <w:rsid w:val="2FDF7556"/>
    <w:rsid w:val="2FE471E6"/>
    <w:rsid w:val="2FED4AC8"/>
    <w:rsid w:val="2FEE10F4"/>
    <w:rsid w:val="2FF1223C"/>
    <w:rsid w:val="2FF75445"/>
    <w:rsid w:val="2FF96C7A"/>
    <w:rsid w:val="2FFC5B57"/>
    <w:rsid w:val="30024D13"/>
    <w:rsid w:val="300417E6"/>
    <w:rsid w:val="300817E6"/>
    <w:rsid w:val="300B43C4"/>
    <w:rsid w:val="301F4F1C"/>
    <w:rsid w:val="30251EED"/>
    <w:rsid w:val="3055620C"/>
    <w:rsid w:val="30704342"/>
    <w:rsid w:val="30777B0A"/>
    <w:rsid w:val="307C0A1E"/>
    <w:rsid w:val="307F3C21"/>
    <w:rsid w:val="308B4E8C"/>
    <w:rsid w:val="308B7D4D"/>
    <w:rsid w:val="30A0605C"/>
    <w:rsid w:val="30AE4AE0"/>
    <w:rsid w:val="30AE6935"/>
    <w:rsid w:val="30B069A2"/>
    <w:rsid w:val="30B56C34"/>
    <w:rsid w:val="30B77BF2"/>
    <w:rsid w:val="30C277E3"/>
    <w:rsid w:val="30CC65AB"/>
    <w:rsid w:val="30CD27E3"/>
    <w:rsid w:val="30D361AE"/>
    <w:rsid w:val="30D4232C"/>
    <w:rsid w:val="30D90C11"/>
    <w:rsid w:val="30EA5EED"/>
    <w:rsid w:val="310979F6"/>
    <w:rsid w:val="31123827"/>
    <w:rsid w:val="31144B20"/>
    <w:rsid w:val="31172847"/>
    <w:rsid w:val="311C4513"/>
    <w:rsid w:val="311D531F"/>
    <w:rsid w:val="31235A29"/>
    <w:rsid w:val="3132283C"/>
    <w:rsid w:val="31356A06"/>
    <w:rsid w:val="313C59EB"/>
    <w:rsid w:val="314D763A"/>
    <w:rsid w:val="31615451"/>
    <w:rsid w:val="316A038F"/>
    <w:rsid w:val="316F5172"/>
    <w:rsid w:val="31705D98"/>
    <w:rsid w:val="31711166"/>
    <w:rsid w:val="31766339"/>
    <w:rsid w:val="317D3FA7"/>
    <w:rsid w:val="31820CE1"/>
    <w:rsid w:val="319E30A6"/>
    <w:rsid w:val="31A130CD"/>
    <w:rsid w:val="31A228F5"/>
    <w:rsid w:val="31A40339"/>
    <w:rsid w:val="31B14791"/>
    <w:rsid w:val="31B1519D"/>
    <w:rsid w:val="31B83B9B"/>
    <w:rsid w:val="31D07F1C"/>
    <w:rsid w:val="31D25AEC"/>
    <w:rsid w:val="31DF6834"/>
    <w:rsid w:val="31ED47CE"/>
    <w:rsid w:val="31F171B7"/>
    <w:rsid w:val="31FB6CFB"/>
    <w:rsid w:val="32095CB7"/>
    <w:rsid w:val="32100D1A"/>
    <w:rsid w:val="32176CB4"/>
    <w:rsid w:val="321E7236"/>
    <w:rsid w:val="3221167A"/>
    <w:rsid w:val="32211C14"/>
    <w:rsid w:val="32291800"/>
    <w:rsid w:val="322A1CE0"/>
    <w:rsid w:val="3233138F"/>
    <w:rsid w:val="323946E8"/>
    <w:rsid w:val="3239595B"/>
    <w:rsid w:val="32396E55"/>
    <w:rsid w:val="323B3EF4"/>
    <w:rsid w:val="323F3D4C"/>
    <w:rsid w:val="32467B04"/>
    <w:rsid w:val="324F77C7"/>
    <w:rsid w:val="325B1F8F"/>
    <w:rsid w:val="326A6977"/>
    <w:rsid w:val="326F1D7E"/>
    <w:rsid w:val="327917DB"/>
    <w:rsid w:val="327C6AFE"/>
    <w:rsid w:val="32810ABE"/>
    <w:rsid w:val="32821CDB"/>
    <w:rsid w:val="329B01AD"/>
    <w:rsid w:val="329C761A"/>
    <w:rsid w:val="32A03F1A"/>
    <w:rsid w:val="32A23F73"/>
    <w:rsid w:val="32AE446E"/>
    <w:rsid w:val="32B62002"/>
    <w:rsid w:val="32BF34BB"/>
    <w:rsid w:val="32C659CD"/>
    <w:rsid w:val="32CE0F48"/>
    <w:rsid w:val="32CF7F2D"/>
    <w:rsid w:val="32D16B54"/>
    <w:rsid w:val="32DA66D9"/>
    <w:rsid w:val="32DD3468"/>
    <w:rsid w:val="32E245A5"/>
    <w:rsid w:val="32E7216E"/>
    <w:rsid w:val="32EC7DD5"/>
    <w:rsid w:val="32F76CBE"/>
    <w:rsid w:val="32FA1D4C"/>
    <w:rsid w:val="330309A8"/>
    <w:rsid w:val="33101155"/>
    <w:rsid w:val="33166269"/>
    <w:rsid w:val="331F7D38"/>
    <w:rsid w:val="33233E19"/>
    <w:rsid w:val="332E6305"/>
    <w:rsid w:val="333165AB"/>
    <w:rsid w:val="33395F72"/>
    <w:rsid w:val="333A552A"/>
    <w:rsid w:val="333E46AA"/>
    <w:rsid w:val="33596889"/>
    <w:rsid w:val="336B0F05"/>
    <w:rsid w:val="336E67A2"/>
    <w:rsid w:val="336F3574"/>
    <w:rsid w:val="33777574"/>
    <w:rsid w:val="337F062C"/>
    <w:rsid w:val="3384030F"/>
    <w:rsid w:val="339A6EB0"/>
    <w:rsid w:val="33A2207A"/>
    <w:rsid w:val="33A8682C"/>
    <w:rsid w:val="33B815B2"/>
    <w:rsid w:val="33B95237"/>
    <w:rsid w:val="33D94D07"/>
    <w:rsid w:val="33DD4D00"/>
    <w:rsid w:val="33F3397F"/>
    <w:rsid w:val="33F50ED5"/>
    <w:rsid w:val="340479A9"/>
    <w:rsid w:val="340B4D40"/>
    <w:rsid w:val="341427BB"/>
    <w:rsid w:val="34144132"/>
    <w:rsid w:val="34182F30"/>
    <w:rsid w:val="34194708"/>
    <w:rsid w:val="341A5DA9"/>
    <w:rsid w:val="341E04AF"/>
    <w:rsid w:val="341F1296"/>
    <w:rsid w:val="341F3D71"/>
    <w:rsid w:val="342B191F"/>
    <w:rsid w:val="3436711D"/>
    <w:rsid w:val="3436762A"/>
    <w:rsid w:val="343A5A12"/>
    <w:rsid w:val="345E211C"/>
    <w:rsid w:val="34643CB1"/>
    <w:rsid w:val="347B2D42"/>
    <w:rsid w:val="34912AD7"/>
    <w:rsid w:val="34964AAF"/>
    <w:rsid w:val="34972A27"/>
    <w:rsid w:val="34AC2EBA"/>
    <w:rsid w:val="34AD3517"/>
    <w:rsid w:val="34AE0588"/>
    <w:rsid w:val="34B268AE"/>
    <w:rsid w:val="34B8575A"/>
    <w:rsid w:val="34CC028E"/>
    <w:rsid w:val="34CC5E43"/>
    <w:rsid w:val="34D735BA"/>
    <w:rsid w:val="34DB459A"/>
    <w:rsid w:val="34E20479"/>
    <w:rsid w:val="34E67E49"/>
    <w:rsid w:val="34EC744B"/>
    <w:rsid w:val="34F134A8"/>
    <w:rsid w:val="34FA1430"/>
    <w:rsid w:val="34FE25FD"/>
    <w:rsid w:val="350F60E5"/>
    <w:rsid w:val="35103CE9"/>
    <w:rsid w:val="35126889"/>
    <w:rsid w:val="35195384"/>
    <w:rsid w:val="351C6417"/>
    <w:rsid w:val="35230198"/>
    <w:rsid w:val="35250882"/>
    <w:rsid w:val="3525292B"/>
    <w:rsid w:val="3525422B"/>
    <w:rsid w:val="352F49AF"/>
    <w:rsid w:val="35392B98"/>
    <w:rsid w:val="354560B3"/>
    <w:rsid w:val="35474AA9"/>
    <w:rsid w:val="35571045"/>
    <w:rsid w:val="35632CDA"/>
    <w:rsid w:val="356B28D0"/>
    <w:rsid w:val="356E25E3"/>
    <w:rsid w:val="35845036"/>
    <w:rsid w:val="35872E76"/>
    <w:rsid w:val="358F3482"/>
    <w:rsid w:val="35A410AB"/>
    <w:rsid w:val="35B40E47"/>
    <w:rsid w:val="35B544E4"/>
    <w:rsid w:val="35BC022A"/>
    <w:rsid w:val="35C65399"/>
    <w:rsid w:val="35CD041B"/>
    <w:rsid w:val="35CE6FE9"/>
    <w:rsid w:val="35D11C89"/>
    <w:rsid w:val="35DA45FE"/>
    <w:rsid w:val="35DD1C45"/>
    <w:rsid w:val="35F14706"/>
    <w:rsid w:val="35F9639B"/>
    <w:rsid w:val="36023BD8"/>
    <w:rsid w:val="360B5D76"/>
    <w:rsid w:val="360C1BE0"/>
    <w:rsid w:val="362D3C37"/>
    <w:rsid w:val="36341586"/>
    <w:rsid w:val="363B5792"/>
    <w:rsid w:val="363C2300"/>
    <w:rsid w:val="364B153D"/>
    <w:rsid w:val="364F6C1E"/>
    <w:rsid w:val="36515614"/>
    <w:rsid w:val="36520D72"/>
    <w:rsid w:val="365F7633"/>
    <w:rsid w:val="366A094A"/>
    <w:rsid w:val="366B2220"/>
    <w:rsid w:val="366F1BD7"/>
    <w:rsid w:val="36702D14"/>
    <w:rsid w:val="36703353"/>
    <w:rsid w:val="36704C97"/>
    <w:rsid w:val="367450EC"/>
    <w:rsid w:val="36782A4E"/>
    <w:rsid w:val="36803C76"/>
    <w:rsid w:val="3686283A"/>
    <w:rsid w:val="368A0EA2"/>
    <w:rsid w:val="368C0E7D"/>
    <w:rsid w:val="36907189"/>
    <w:rsid w:val="369915A3"/>
    <w:rsid w:val="36A158AC"/>
    <w:rsid w:val="36A24D4E"/>
    <w:rsid w:val="36A2749A"/>
    <w:rsid w:val="36A53E47"/>
    <w:rsid w:val="36A8119C"/>
    <w:rsid w:val="36AD2EE7"/>
    <w:rsid w:val="36BB6CDF"/>
    <w:rsid w:val="36C069E7"/>
    <w:rsid w:val="36C13B85"/>
    <w:rsid w:val="36C87CC2"/>
    <w:rsid w:val="36D413D3"/>
    <w:rsid w:val="36D7032C"/>
    <w:rsid w:val="36E77F33"/>
    <w:rsid w:val="36FA2C9E"/>
    <w:rsid w:val="370A01FA"/>
    <w:rsid w:val="370C7D3C"/>
    <w:rsid w:val="372E2556"/>
    <w:rsid w:val="3734318D"/>
    <w:rsid w:val="37420E42"/>
    <w:rsid w:val="37471752"/>
    <w:rsid w:val="374C5B4C"/>
    <w:rsid w:val="374D556E"/>
    <w:rsid w:val="375A447E"/>
    <w:rsid w:val="375B26C0"/>
    <w:rsid w:val="376929C4"/>
    <w:rsid w:val="377213AB"/>
    <w:rsid w:val="37724791"/>
    <w:rsid w:val="37727BFF"/>
    <w:rsid w:val="3773124C"/>
    <w:rsid w:val="37754FED"/>
    <w:rsid w:val="377B6167"/>
    <w:rsid w:val="379024D5"/>
    <w:rsid w:val="379239D6"/>
    <w:rsid w:val="379A1276"/>
    <w:rsid w:val="379C49FE"/>
    <w:rsid w:val="37A3646C"/>
    <w:rsid w:val="37A525D3"/>
    <w:rsid w:val="37A9752D"/>
    <w:rsid w:val="37AC0308"/>
    <w:rsid w:val="37BC3D48"/>
    <w:rsid w:val="37BF1316"/>
    <w:rsid w:val="37F6307C"/>
    <w:rsid w:val="37FC3FC6"/>
    <w:rsid w:val="37FE243F"/>
    <w:rsid w:val="37FF2ABC"/>
    <w:rsid w:val="380D09DA"/>
    <w:rsid w:val="381E6162"/>
    <w:rsid w:val="382528B4"/>
    <w:rsid w:val="382F35D2"/>
    <w:rsid w:val="38491506"/>
    <w:rsid w:val="384A26DB"/>
    <w:rsid w:val="384C56ED"/>
    <w:rsid w:val="38547134"/>
    <w:rsid w:val="38615912"/>
    <w:rsid w:val="386675F8"/>
    <w:rsid w:val="386720CF"/>
    <w:rsid w:val="38722272"/>
    <w:rsid w:val="388208A6"/>
    <w:rsid w:val="38876D77"/>
    <w:rsid w:val="388C2136"/>
    <w:rsid w:val="38904190"/>
    <w:rsid w:val="389330D2"/>
    <w:rsid w:val="389A69B4"/>
    <w:rsid w:val="38A70342"/>
    <w:rsid w:val="38A8232F"/>
    <w:rsid w:val="38B17595"/>
    <w:rsid w:val="38B97C8B"/>
    <w:rsid w:val="38C01D2C"/>
    <w:rsid w:val="38C3218C"/>
    <w:rsid w:val="38C72CAE"/>
    <w:rsid w:val="38D82820"/>
    <w:rsid w:val="38DB3FF1"/>
    <w:rsid w:val="38DE359B"/>
    <w:rsid w:val="38DE4528"/>
    <w:rsid w:val="38DF6C57"/>
    <w:rsid w:val="38E7531F"/>
    <w:rsid w:val="38EC6047"/>
    <w:rsid w:val="38F34DFD"/>
    <w:rsid w:val="38F90D78"/>
    <w:rsid w:val="390456AF"/>
    <w:rsid w:val="39070310"/>
    <w:rsid w:val="39147F72"/>
    <w:rsid w:val="391532B5"/>
    <w:rsid w:val="39273A5D"/>
    <w:rsid w:val="39320C58"/>
    <w:rsid w:val="393C3ED4"/>
    <w:rsid w:val="39434827"/>
    <w:rsid w:val="39667285"/>
    <w:rsid w:val="396E3BFD"/>
    <w:rsid w:val="39743EB9"/>
    <w:rsid w:val="39782DBC"/>
    <w:rsid w:val="397A6A21"/>
    <w:rsid w:val="397E4A84"/>
    <w:rsid w:val="398A3732"/>
    <w:rsid w:val="399335FD"/>
    <w:rsid w:val="39A375AE"/>
    <w:rsid w:val="39A40BC5"/>
    <w:rsid w:val="39AE50D2"/>
    <w:rsid w:val="39BB5265"/>
    <w:rsid w:val="39BD24AB"/>
    <w:rsid w:val="39BF1576"/>
    <w:rsid w:val="39BF4413"/>
    <w:rsid w:val="39C21ED2"/>
    <w:rsid w:val="39C3553C"/>
    <w:rsid w:val="39D329BD"/>
    <w:rsid w:val="39DA7B63"/>
    <w:rsid w:val="39DF29C4"/>
    <w:rsid w:val="39E33ED2"/>
    <w:rsid w:val="39EF74BC"/>
    <w:rsid w:val="39F51267"/>
    <w:rsid w:val="3A0E0908"/>
    <w:rsid w:val="3A2636B9"/>
    <w:rsid w:val="3A2B6C7B"/>
    <w:rsid w:val="3A2F07A0"/>
    <w:rsid w:val="3A416478"/>
    <w:rsid w:val="3A424DA1"/>
    <w:rsid w:val="3A465A59"/>
    <w:rsid w:val="3A4A37EC"/>
    <w:rsid w:val="3A597F73"/>
    <w:rsid w:val="3A5C1C54"/>
    <w:rsid w:val="3A6712D3"/>
    <w:rsid w:val="3A6B70AF"/>
    <w:rsid w:val="3A73628C"/>
    <w:rsid w:val="3A7425F0"/>
    <w:rsid w:val="3A7A35D5"/>
    <w:rsid w:val="3A7C5653"/>
    <w:rsid w:val="3A80702F"/>
    <w:rsid w:val="3A8940EC"/>
    <w:rsid w:val="3AA00D46"/>
    <w:rsid w:val="3AAC171F"/>
    <w:rsid w:val="3AB620F9"/>
    <w:rsid w:val="3AB64766"/>
    <w:rsid w:val="3AB73C2D"/>
    <w:rsid w:val="3AC67736"/>
    <w:rsid w:val="3AC9313D"/>
    <w:rsid w:val="3ACD0622"/>
    <w:rsid w:val="3ADD597E"/>
    <w:rsid w:val="3AE71174"/>
    <w:rsid w:val="3AF9701F"/>
    <w:rsid w:val="3AFD539A"/>
    <w:rsid w:val="3B1D0273"/>
    <w:rsid w:val="3B2B6ACE"/>
    <w:rsid w:val="3B300DDB"/>
    <w:rsid w:val="3B350F13"/>
    <w:rsid w:val="3B4349C6"/>
    <w:rsid w:val="3B4B5688"/>
    <w:rsid w:val="3B54018C"/>
    <w:rsid w:val="3B5C1CCF"/>
    <w:rsid w:val="3B5E2E86"/>
    <w:rsid w:val="3B644A88"/>
    <w:rsid w:val="3B6933F0"/>
    <w:rsid w:val="3B6C06DC"/>
    <w:rsid w:val="3B7E146C"/>
    <w:rsid w:val="3B81455C"/>
    <w:rsid w:val="3B8401B7"/>
    <w:rsid w:val="3B8645F2"/>
    <w:rsid w:val="3B8809AA"/>
    <w:rsid w:val="3B8D6738"/>
    <w:rsid w:val="3B941043"/>
    <w:rsid w:val="3B944ECB"/>
    <w:rsid w:val="3BA07F2F"/>
    <w:rsid w:val="3BA87811"/>
    <w:rsid w:val="3BAE0046"/>
    <w:rsid w:val="3BAF797E"/>
    <w:rsid w:val="3BB36348"/>
    <w:rsid w:val="3BBE5372"/>
    <w:rsid w:val="3BC02CEA"/>
    <w:rsid w:val="3BD26AE1"/>
    <w:rsid w:val="3BD37BD8"/>
    <w:rsid w:val="3BD97806"/>
    <w:rsid w:val="3BE628A4"/>
    <w:rsid w:val="3BE6551C"/>
    <w:rsid w:val="3BEE35F9"/>
    <w:rsid w:val="3BEF2C35"/>
    <w:rsid w:val="3BF12377"/>
    <w:rsid w:val="3BF70811"/>
    <w:rsid w:val="3C067CE6"/>
    <w:rsid w:val="3C2E7A55"/>
    <w:rsid w:val="3C31491D"/>
    <w:rsid w:val="3C326AE1"/>
    <w:rsid w:val="3C3D1DDF"/>
    <w:rsid w:val="3C432375"/>
    <w:rsid w:val="3C447B33"/>
    <w:rsid w:val="3C471738"/>
    <w:rsid w:val="3C4A20AA"/>
    <w:rsid w:val="3C4C2236"/>
    <w:rsid w:val="3C521879"/>
    <w:rsid w:val="3C584D82"/>
    <w:rsid w:val="3C5E7EE5"/>
    <w:rsid w:val="3C6438FF"/>
    <w:rsid w:val="3C6A088E"/>
    <w:rsid w:val="3C6A23CC"/>
    <w:rsid w:val="3C724410"/>
    <w:rsid w:val="3C737BA2"/>
    <w:rsid w:val="3C7E15AD"/>
    <w:rsid w:val="3C8936DB"/>
    <w:rsid w:val="3CA250B6"/>
    <w:rsid w:val="3CA81488"/>
    <w:rsid w:val="3CAE5529"/>
    <w:rsid w:val="3CB76B45"/>
    <w:rsid w:val="3CBA6017"/>
    <w:rsid w:val="3CBB1AB3"/>
    <w:rsid w:val="3CBD66BD"/>
    <w:rsid w:val="3CD12E86"/>
    <w:rsid w:val="3CD55555"/>
    <w:rsid w:val="3CDB1B56"/>
    <w:rsid w:val="3CEA19E0"/>
    <w:rsid w:val="3CF74E99"/>
    <w:rsid w:val="3CF8522D"/>
    <w:rsid w:val="3CFF1B39"/>
    <w:rsid w:val="3D0404AA"/>
    <w:rsid w:val="3D05020A"/>
    <w:rsid w:val="3D0810A0"/>
    <w:rsid w:val="3D0A49D9"/>
    <w:rsid w:val="3D0F0A39"/>
    <w:rsid w:val="3D111398"/>
    <w:rsid w:val="3D1476E5"/>
    <w:rsid w:val="3D1813A1"/>
    <w:rsid w:val="3D1B1DA3"/>
    <w:rsid w:val="3D1C53C7"/>
    <w:rsid w:val="3D2C5AEC"/>
    <w:rsid w:val="3D310FCB"/>
    <w:rsid w:val="3D3534CA"/>
    <w:rsid w:val="3D380373"/>
    <w:rsid w:val="3D403F71"/>
    <w:rsid w:val="3D47669D"/>
    <w:rsid w:val="3D4D1CDE"/>
    <w:rsid w:val="3D4F78BC"/>
    <w:rsid w:val="3D6C2155"/>
    <w:rsid w:val="3D770A5E"/>
    <w:rsid w:val="3D786173"/>
    <w:rsid w:val="3D7D1C6D"/>
    <w:rsid w:val="3D845082"/>
    <w:rsid w:val="3D91271D"/>
    <w:rsid w:val="3D9D6857"/>
    <w:rsid w:val="3D9E669D"/>
    <w:rsid w:val="3DA765E3"/>
    <w:rsid w:val="3DAF0BC8"/>
    <w:rsid w:val="3DB054E0"/>
    <w:rsid w:val="3DB52F7C"/>
    <w:rsid w:val="3DBA2856"/>
    <w:rsid w:val="3DBE3045"/>
    <w:rsid w:val="3DC272BB"/>
    <w:rsid w:val="3DC36BBE"/>
    <w:rsid w:val="3DC5744E"/>
    <w:rsid w:val="3DCD415A"/>
    <w:rsid w:val="3DCE7147"/>
    <w:rsid w:val="3DD83174"/>
    <w:rsid w:val="3DDA0723"/>
    <w:rsid w:val="3DDD7320"/>
    <w:rsid w:val="3DE75813"/>
    <w:rsid w:val="3DEA119A"/>
    <w:rsid w:val="3DEE6624"/>
    <w:rsid w:val="3DF15420"/>
    <w:rsid w:val="3DF30E0D"/>
    <w:rsid w:val="3DF51F8F"/>
    <w:rsid w:val="3DF64BCC"/>
    <w:rsid w:val="3DF81FE2"/>
    <w:rsid w:val="3DFC12E5"/>
    <w:rsid w:val="3DFE3522"/>
    <w:rsid w:val="3E030F58"/>
    <w:rsid w:val="3E052463"/>
    <w:rsid w:val="3E0D1D98"/>
    <w:rsid w:val="3E1D1FA4"/>
    <w:rsid w:val="3E33100D"/>
    <w:rsid w:val="3E4A262B"/>
    <w:rsid w:val="3E516102"/>
    <w:rsid w:val="3E534588"/>
    <w:rsid w:val="3E6254EE"/>
    <w:rsid w:val="3E6B0BE9"/>
    <w:rsid w:val="3E6D5236"/>
    <w:rsid w:val="3E6F0974"/>
    <w:rsid w:val="3E7D0B65"/>
    <w:rsid w:val="3E7D7BF6"/>
    <w:rsid w:val="3E7E299E"/>
    <w:rsid w:val="3E8B5222"/>
    <w:rsid w:val="3E982F14"/>
    <w:rsid w:val="3E996D1E"/>
    <w:rsid w:val="3EA97F5B"/>
    <w:rsid w:val="3EB53D52"/>
    <w:rsid w:val="3EB56C91"/>
    <w:rsid w:val="3EB913D3"/>
    <w:rsid w:val="3EBF2898"/>
    <w:rsid w:val="3ED129BB"/>
    <w:rsid w:val="3ED53588"/>
    <w:rsid w:val="3ED76DD8"/>
    <w:rsid w:val="3ED823AE"/>
    <w:rsid w:val="3EE278EA"/>
    <w:rsid w:val="3EE502E9"/>
    <w:rsid w:val="3EEA3C55"/>
    <w:rsid w:val="3F031AA1"/>
    <w:rsid w:val="3F08209D"/>
    <w:rsid w:val="3F1B43AF"/>
    <w:rsid w:val="3F1C4CCB"/>
    <w:rsid w:val="3F2D0DF7"/>
    <w:rsid w:val="3F2D3241"/>
    <w:rsid w:val="3F3002BD"/>
    <w:rsid w:val="3F326567"/>
    <w:rsid w:val="3F4B1DFA"/>
    <w:rsid w:val="3F4C09A5"/>
    <w:rsid w:val="3F566811"/>
    <w:rsid w:val="3F582FC7"/>
    <w:rsid w:val="3F5C445C"/>
    <w:rsid w:val="3F631395"/>
    <w:rsid w:val="3F6859D6"/>
    <w:rsid w:val="3F713A4C"/>
    <w:rsid w:val="3F72AA26"/>
    <w:rsid w:val="3F741443"/>
    <w:rsid w:val="3F8D3F7D"/>
    <w:rsid w:val="3F947497"/>
    <w:rsid w:val="3F993873"/>
    <w:rsid w:val="3F9D50C2"/>
    <w:rsid w:val="3FA156A8"/>
    <w:rsid w:val="3FAA545C"/>
    <w:rsid w:val="3FAE3370"/>
    <w:rsid w:val="3FBC0744"/>
    <w:rsid w:val="3FC63C90"/>
    <w:rsid w:val="3FC93CDC"/>
    <w:rsid w:val="3FCB2F78"/>
    <w:rsid w:val="3FD41E1E"/>
    <w:rsid w:val="3FD627F1"/>
    <w:rsid w:val="3FDE0FDA"/>
    <w:rsid w:val="3FEB2AD2"/>
    <w:rsid w:val="4001677D"/>
    <w:rsid w:val="4002412C"/>
    <w:rsid w:val="401318ED"/>
    <w:rsid w:val="401C060D"/>
    <w:rsid w:val="401F03D4"/>
    <w:rsid w:val="4020377F"/>
    <w:rsid w:val="40285FD0"/>
    <w:rsid w:val="402C02AA"/>
    <w:rsid w:val="40367560"/>
    <w:rsid w:val="403B5965"/>
    <w:rsid w:val="404372C1"/>
    <w:rsid w:val="405026D6"/>
    <w:rsid w:val="40556665"/>
    <w:rsid w:val="40570386"/>
    <w:rsid w:val="40581DE7"/>
    <w:rsid w:val="40660F42"/>
    <w:rsid w:val="406673B9"/>
    <w:rsid w:val="406B141F"/>
    <w:rsid w:val="4074000C"/>
    <w:rsid w:val="407879F4"/>
    <w:rsid w:val="407A48A7"/>
    <w:rsid w:val="408D2FA1"/>
    <w:rsid w:val="409609C7"/>
    <w:rsid w:val="40967CD7"/>
    <w:rsid w:val="409B3E67"/>
    <w:rsid w:val="40B02886"/>
    <w:rsid w:val="40B472CC"/>
    <w:rsid w:val="40C714A9"/>
    <w:rsid w:val="40DE772B"/>
    <w:rsid w:val="40F85B91"/>
    <w:rsid w:val="40F94834"/>
    <w:rsid w:val="40FD0EA2"/>
    <w:rsid w:val="41026E1A"/>
    <w:rsid w:val="41065540"/>
    <w:rsid w:val="410A636E"/>
    <w:rsid w:val="410F19C9"/>
    <w:rsid w:val="411F1BAA"/>
    <w:rsid w:val="412811DA"/>
    <w:rsid w:val="4135796B"/>
    <w:rsid w:val="4137444F"/>
    <w:rsid w:val="413B630A"/>
    <w:rsid w:val="41432F5D"/>
    <w:rsid w:val="41525468"/>
    <w:rsid w:val="415343AD"/>
    <w:rsid w:val="4163248B"/>
    <w:rsid w:val="416F4EBC"/>
    <w:rsid w:val="41785844"/>
    <w:rsid w:val="417B4BE7"/>
    <w:rsid w:val="41840379"/>
    <w:rsid w:val="418E2ACB"/>
    <w:rsid w:val="419103D9"/>
    <w:rsid w:val="4195287A"/>
    <w:rsid w:val="419C028A"/>
    <w:rsid w:val="41A33139"/>
    <w:rsid w:val="41B46D2F"/>
    <w:rsid w:val="41B65D5E"/>
    <w:rsid w:val="41BA244F"/>
    <w:rsid w:val="41BF2D73"/>
    <w:rsid w:val="41C870F9"/>
    <w:rsid w:val="41C90F92"/>
    <w:rsid w:val="41CA7A1D"/>
    <w:rsid w:val="41DF34E6"/>
    <w:rsid w:val="41E246CE"/>
    <w:rsid w:val="41EA5F72"/>
    <w:rsid w:val="41EF0598"/>
    <w:rsid w:val="41FB5D28"/>
    <w:rsid w:val="41FB7A1A"/>
    <w:rsid w:val="41FF2922"/>
    <w:rsid w:val="42057525"/>
    <w:rsid w:val="42063AE1"/>
    <w:rsid w:val="420A0EA6"/>
    <w:rsid w:val="420A30B5"/>
    <w:rsid w:val="420D110B"/>
    <w:rsid w:val="42157C2D"/>
    <w:rsid w:val="421A5896"/>
    <w:rsid w:val="421B4D5A"/>
    <w:rsid w:val="422017FF"/>
    <w:rsid w:val="42284823"/>
    <w:rsid w:val="42285850"/>
    <w:rsid w:val="42544514"/>
    <w:rsid w:val="425E422D"/>
    <w:rsid w:val="426B49DF"/>
    <w:rsid w:val="426F5CE4"/>
    <w:rsid w:val="42795BF9"/>
    <w:rsid w:val="42815661"/>
    <w:rsid w:val="42895051"/>
    <w:rsid w:val="428B646D"/>
    <w:rsid w:val="428D0E28"/>
    <w:rsid w:val="42933319"/>
    <w:rsid w:val="429973DC"/>
    <w:rsid w:val="429C5F47"/>
    <w:rsid w:val="429E1AEC"/>
    <w:rsid w:val="42BB5F5E"/>
    <w:rsid w:val="42C43A4E"/>
    <w:rsid w:val="42CC71AE"/>
    <w:rsid w:val="42CE2341"/>
    <w:rsid w:val="42DE104C"/>
    <w:rsid w:val="42EB1A8F"/>
    <w:rsid w:val="42EF2402"/>
    <w:rsid w:val="42EF3E99"/>
    <w:rsid w:val="42F40ED5"/>
    <w:rsid w:val="42FA70AE"/>
    <w:rsid w:val="430A11B0"/>
    <w:rsid w:val="43131B69"/>
    <w:rsid w:val="43136963"/>
    <w:rsid w:val="43146FF9"/>
    <w:rsid w:val="4318287C"/>
    <w:rsid w:val="43207876"/>
    <w:rsid w:val="43343582"/>
    <w:rsid w:val="43372C2D"/>
    <w:rsid w:val="43374C1E"/>
    <w:rsid w:val="433A0341"/>
    <w:rsid w:val="433B2D5D"/>
    <w:rsid w:val="433C1DE5"/>
    <w:rsid w:val="434044F1"/>
    <w:rsid w:val="434C38E3"/>
    <w:rsid w:val="435C7D42"/>
    <w:rsid w:val="436E4669"/>
    <w:rsid w:val="43787EE1"/>
    <w:rsid w:val="437F0FDD"/>
    <w:rsid w:val="438B7C9A"/>
    <w:rsid w:val="438F16AB"/>
    <w:rsid w:val="4390560D"/>
    <w:rsid w:val="43A10A9F"/>
    <w:rsid w:val="43A47DD9"/>
    <w:rsid w:val="43AD381F"/>
    <w:rsid w:val="43B905A8"/>
    <w:rsid w:val="43C25A27"/>
    <w:rsid w:val="43C83A03"/>
    <w:rsid w:val="43CD090A"/>
    <w:rsid w:val="43DC1372"/>
    <w:rsid w:val="43DF610A"/>
    <w:rsid w:val="43E47374"/>
    <w:rsid w:val="43E71F77"/>
    <w:rsid w:val="43EF1212"/>
    <w:rsid w:val="43F02650"/>
    <w:rsid w:val="43F74597"/>
    <w:rsid w:val="43F80104"/>
    <w:rsid w:val="44036C2F"/>
    <w:rsid w:val="441B6CE3"/>
    <w:rsid w:val="441C59F5"/>
    <w:rsid w:val="441C7B4C"/>
    <w:rsid w:val="441E0BBD"/>
    <w:rsid w:val="442772EC"/>
    <w:rsid w:val="442A60E6"/>
    <w:rsid w:val="44491AEC"/>
    <w:rsid w:val="444F694A"/>
    <w:rsid w:val="44554BF9"/>
    <w:rsid w:val="44594F93"/>
    <w:rsid w:val="445F0161"/>
    <w:rsid w:val="44641FFC"/>
    <w:rsid w:val="446939DC"/>
    <w:rsid w:val="446F0108"/>
    <w:rsid w:val="44750F0D"/>
    <w:rsid w:val="447913E5"/>
    <w:rsid w:val="447F0332"/>
    <w:rsid w:val="44885A23"/>
    <w:rsid w:val="449665FC"/>
    <w:rsid w:val="44A35810"/>
    <w:rsid w:val="44A95EF1"/>
    <w:rsid w:val="44AC602C"/>
    <w:rsid w:val="44AE243C"/>
    <w:rsid w:val="44B60CA3"/>
    <w:rsid w:val="44B908C6"/>
    <w:rsid w:val="44B9138F"/>
    <w:rsid w:val="44CF385E"/>
    <w:rsid w:val="44D05419"/>
    <w:rsid w:val="44D4714B"/>
    <w:rsid w:val="44DF7945"/>
    <w:rsid w:val="44E8618A"/>
    <w:rsid w:val="44F13056"/>
    <w:rsid w:val="44F3782E"/>
    <w:rsid w:val="44F61862"/>
    <w:rsid w:val="45044C6C"/>
    <w:rsid w:val="45074398"/>
    <w:rsid w:val="450E2605"/>
    <w:rsid w:val="45192DF0"/>
    <w:rsid w:val="451C141A"/>
    <w:rsid w:val="452454C6"/>
    <w:rsid w:val="45264250"/>
    <w:rsid w:val="45303F06"/>
    <w:rsid w:val="453241E1"/>
    <w:rsid w:val="45335E75"/>
    <w:rsid w:val="45341DDC"/>
    <w:rsid w:val="45456638"/>
    <w:rsid w:val="454B75ED"/>
    <w:rsid w:val="456321DE"/>
    <w:rsid w:val="456D5F51"/>
    <w:rsid w:val="456D6431"/>
    <w:rsid w:val="45711C2B"/>
    <w:rsid w:val="45843C63"/>
    <w:rsid w:val="458E21AD"/>
    <w:rsid w:val="45955A36"/>
    <w:rsid w:val="459C1A26"/>
    <w:rsid w:val="459E0E29"/>
    <w:rsid w:val="45A35FCF"/>
    <w:rsid w:val="45B23338"/>
    <w:rsid w:val="45BB4E08"/>
    <w:rsid w:val="45C27194"/>
    <w:rsid w:val="45C4096D"/>
    <w:rsid w:val="45C40F7C"/>
    <w:rsid w:val="45C65FF3"/>
    <w:rsid w:val="45C71F3E"/>
    <w:rsid w:val="45DA333F"/>
    <w:rsid w:val="45F80104"/>
    <w:rsid w:val="45F87B3F"/>
    <w:rsid w:val="45FE75A7"/>
    <w:rsid w:val="46035A05"/>
    <w:rsid w:val="46044205"/>
    <w:rsid w:val="460A5621"/>
    <w:rsid w:val="460A6C38"/>
    <w:rsid w:val="461B4E7C"/>
    <w:rsid w:val="461E14AB"/>
    <w:rsid w:val="461E1F33"/>
    <w:rsid w:val="462E40B5"/>
    <w:rsid w:val="463056D8"/>
    <w:rsid w:val="463272E3"/>
    <w:rsid w:val="463821B7"/>
    <w:rsid w:val="464020C0"/>
    <w:rsid w:val="46452D01"/>
    <w:rsid w:val="46482BD6"/>
    <w:rsid w:val="464B5CA1"/>
    <w:rsid w:val="46500808"/>
    <w:rsid w:val="46544463"/>
    <w:rsid w:val="46562F43"/>
    <w:rsid w:val="465A400A"/>
    <w:rsid w:val="465D5D43"/>
    <w:rsid w:val="46640D4D"/>
    <w:rsid w:val="4667247B"/>
    <w:rsid w:val="466829C8"/>
    <w:rsid w:val="46690FE9"/>
    <w:rsid w:val="4685533F"/>
    <w:rsid w:val="468558C8"/>
    <w:rsid w:val="468766C8"/>
    <w:rsid w:val="46883B41"/>
    <w:rsid w:val="468C0D6B"/>
    <w:rsid w:val="468C5591"/>
    <w:rsid w:val="46901E0D"/>
    <w:rsid w:val="4690404D"/>
    <w:rsid w:val="46B2595B"/>
    <w:rsid w:val="46D555C9"/>
    <w:rsid w:val="46D77432"/>
    <w:rsid w:val="46DB3E15"/>
    <w:rsid w:val="46DF403F"/>
    <w:rsid w:val="46E26521"/>
    <w:rsid w:val="46E37D78"/>
    <w:rsid w:val="46F160F8"/>
    <w:rsid w:val="46F7568F"/>
    <w:rsid w:val="47000006"/>
    <w:rsid w:val="470934B2"/>
    <w:rsid w:val="47114EB3"/>
    <w:rsid w:val="47170814"/>
    <w:rsid w:val="471A19C4"/>
    <w:rsid w:val="471F43E7"/>
    <w:rsid w:val="4734059B"/>
    <w:rsid w:val="4740017B"/>
    <w:rsid w:val="475C0D5F"/>
    <w:rsid w:val="47604BE2"/>
    <w:rsid w:val="47682E92"/>
    <w:rsid w:val="47782F67"/>
    <w:rsid w:val="477C2D46"/>
    <w:rsid w:val="478A2EE4"/>
    <w:rsid w:val="47964C11"/>
    <w:rsid w:val="479D2B83"/>
    <w:rsid w:val="479F3A42"/>
    <w:rsid w:val="47A15A33"/>
    <w:rsid w:val="47A6199B"/>
    <w:rsid w:val="47A85A64"/>
    <w:rsid w:val="47C66737"/>
    <w:rsid w:val="47E544FF"/>
    <w:rsid w:val="47EA06C9"/>
    <w:rsid w:val="47ED57B7"/>
    <w:rsid w:val="47F247E1"/>
    <w:rsid w:val="47FC55CB"/>
    <w:rsid w:val="47FE2C48"/>
    <w:rsid w:val="48026293"/>
    <w:rsid w:val="480C030E"/>
    <w:rsid w:val="480F7E2E"/>
    <w:rsid w:val="481005F1"/>
    <w:rsid w:val="481A39C1"/>
    <w:rsid w:val="481F5927"/>
    <w:rsid w:val="48294635"/>
    <w:rsid w:val="482F1AD4"/>
    <w:rsid w:val="483075C6"/>
    <w:rsid w:val="4835221C"/>
    <w:rsid w:val="48381C6D"/>
    <w:rsid w:val="48462FFA"/>
    <w:rsid w:val="4848603E"/>
    <w:rsid w:val="484B6EA7"/>
    <w:rsid w:val="48555617"/>
    <w:rsid w:val="485D1BE6"/>
    <w:rsid w:val="485D7B1B"/>
    <w:rsid w:val="486152A9"/>
    <w:rsid w:val="4866104C"/>
    <w:rsid w:val="486A3DF9"/>
    <w:rsid w:val="486C35B7"/>
    <w:rsid w:val="487434A0"/>
    <w:rsid w:val="48775157"/>
    <w:rsid w:val="488009A2"/>
    <w:rsid w:val="48932115"/>
    <w:rsid w:val="48965F7B"/>
    <w:rsid w:val="489F77ED"/>
    <w:rsid w:val="489F7C4D"/>
    <w:rsid w:val="48A07D0A"/>
    <w:rsid w:val="48A55162"/>
    <w:rsid w:val="48AE1B4C"/>
    <w:rsid w:val="48B02643"/>
    <w:rsid w:val="48B940A6"/>
    <w:rsid w:val="48D041AD"/>
    <w:rsid w:val="48D168B4"/>
    <w:rsid w:val="48D50887"/>
    <w:rsid w:val="48D76F1E"/>
    <w:rsid w:val="48E13E44"/>
    <w:rsid w:val="48E9743A"/>
    <w:rsid w:val="48EA76C0"/>
    <w:rsid w:val="48F7079B"/>
    <w:rsid w:val="48F746F3"/>
    <w:rsid w:val="49066FEE"/>
    <w:rsid w:val="490D6071"/>
    <w:rsid w:val="492246DC"/>
    <w:rsid w:val="49245DB9"/>
    <w:rsid w:val="49335CFF"/>
    <w:rsid w:val="4938493C"/>
    <w:rsid w:val="493B12DB"/>
    <w:rsid w:val="493C1C09"/>
    <w:rsid w:val="495268E1"/>
    <w:rsid w:val="495D0F33"/>
    <w:rsid w:val="495F1DB5"/>
    <w:rsid w:val="495F4623"/>
    <w:rsid w:val="49605331"/>
    <w:rsid w:val="49675586"/>
    <w:rsid w:val="49723C7E"/>
    <w:rsid w:val="49751609"/>
    <w:rsid w:val="497B68A5"/>
    <w:rsid w:val="497C66E8"/>
    <w:rsid w:val="49A0452F"/>
    <w:rsid w:val="49AB7927"/>
    <w:rsid w:val="49AB7DAF"/>
    <w:rsid w:val="49B42851"/>
    <w:rsid w:val="49B60B46"/>
    <w:rsid w:val="49C61D74"/>
    <w:rsid w:val="49C76818"/>
    <w:rsid w:val="49C87BBE"/>
    <w:rsid w:val="49CC7FE2"/>
    <w:rsid w:val="49DC1892"/>
    <w:rsid w:val="49F2017D"/>
    <w:rsid w:val="49FC7FB5"/>
    <w:rsid w:val="49FD230A"/>
    <w:rsid w:val="49FD371B"/>
    <w:rsid w:val="49FE5BE8"/>
    <w:rsid w:val="4A0E023C"/>
    <w:rsid w:val="4A1D1A4C"/>
    <w:rsid w:val="4A1F7DF3"/>
    <w:rsid w:val="4A21585B"/>
    <w:rsid w:val="4A224E33"/>
    <w:rsid w:val="4A225A6F"/>
    <w:rsid w:val="4A2D37E9"/>
    <w:rsid w:val="4A3116BA"/>
    <w:rsid w:val="4A3242EF"/>
    <w:rsid w:val="4A3D6844"/>
    <w:rsid w:val="4A440B95"/>
    <w:rsid w:val="4A471385"/>
    <w:rsid w:val="4A7019FA"/>
    <w:rsid w:val="4A7C266E"/>
    <w:rsid w:val="4A7E7270"/>
    <w:rsid w:val="4A8A1553"/>
    <w:rsid w:val="4A8F3CED"/>
    <w:rsid w:val="4A973597"/>
    <w:rsid w:val="4AA029D7"/>
    <w:rsid w:val="4AA91EEB"/>
    <w:rsid w:val="4AB04812"/>
    <w:rsid w:val="4ABB31CC"/>
    <w:rsid w:val="4AC21729"/>
    <w:rsid w:val="4AC21EE1"/>
    <w:rsid w:val="4AC3432E"/>
    <w:rsid w:val="4AD11C44"/>
    <w:rsid w:val="4ADA12D3"/>
    <w:rsid w:val="4ADA6D09"/>
    <w:rsid w:val="4AE81967"/>
    <w:rsid w:val="4AFA0EE7"/>
    <w:rsid w:val="4B0A096D"/>
    <w:rsid w:val="4B0C65F6"/>
    <w:rsid w:val="4B1A4FA5"/>
    <w:rsid w:val="4B216D27"/>
    <w:rsid w:val="4B2A307F"/>
    <w:rsid w:val="4B2A4FFB"/>
    <w:rsid w:val="4B2B5971"/>
    <w:rsid w:val="4B3C19FD"/>
    <w:rsid w:val="4B453981"/>
    <w:rsid w:val="4B495D5B"/>
    <w:rsid w:val="4B4E509F"/>
    <w:rsid w:val="4B531E57"/>
    <w:rsid w:val="4B571E58"/>
    <w:rsid w:val="4B587BCC"/>
    <w:rsid w:val="4B5A6ADF"/>
    <w:rsid w:val="4B5B5DEA"/>
    <w:rsid w:val="4B5D42A8"/>
    <w:rsid w:val="4B5E0B8C"/>
    <w:rsid w:val="4B6612D5"/>
    <w:rsid w:val="4B6D6AED"/>
    <w:rsid w:val="4B785900"/>
    <w:rsid w:val="4B920155"/>
    <w:rsid w:val="4B972518"/>
    <w:rsid w:val="4BA02765"/>
    <w:rsid w:val="4BAE5F05"/>
    <w:rsid w:val="4BBB016A"/>
    <w:rsid w:val="4BBD105D"/>
    <w:rsid w:val="4BBF3323"/>
    <w:rsid w:val="4BD110CD"/>
    <w:rsid w:val="4BEE58B1"/>
    <w:rsid w:val="4BF76C86"/>
    <w:rsid w:val="4C0736B0"/>
    <w:rsid w:val="4C076A6F"/>
    <w:rsid w:val="4C123AC0"/>
    <w:rsid w:val="4C172C82"/>
    <w:rsid w:val="4C1F6A8A"/>
    <w:rsid w:val="4C231C43"/>
    <w:rsid w:val="4C281223"/>
    <w:rsid w:val="4C313783"/>
    <w:rsid w:val="4C3C79B9"/>
    <w:rsid w:val="4C3D448D"/>
    <w:rsid w:val="4C417542"/>
    <w:rsid w:val="4C4C4156"/>
    <w:rsid w:val="4C573C9B"/>
    <w:rsid w:val="4C5746BB"/>
    <w:rsid w:val="4C585DC5"/>
    <w:rsid w:val="4C5A6881"/>
    <w:rsid w:val="4C5C6574"/>
    <w:rsid w:val="4C761806"/>
    <w:rsid w:val="4C857368"/>
    <w:rsid w:val="4C861ACC"/>
    <w:rsid w:val="4C8E5B3B"/>
    <w:rsid w:val="4C9143D4"/>
    <w:rsid w:val="4C975013"/>
    <w:rsid w:val="4C9B2DA8"/>
    <w:rsid w:val="4C9D0E1F"/>
    <w:rsid w:val="4C9D4C68"/>
    <w:rsid w:val="4CA13D10"/>
    <w:rsid w:val="4CA55278"/>
    <w:rsid w:val="4CA8756B"/>
    <w:rsid w:val="4CAA18EE"/>
    <w:rsid w:val="4CAA4911"/>
    <w:rsid w:val="4CAC6EED"/>
    <w:rsid w:val="4CBD78B3"/>
    <w:rsid w:val="4CD46B56"/>
    <w:rsid w:val="4CDD0EE5"/>
    <w:rsid w:val="4CE16B8F"/>
    <w:rsid w:val="4CE3089D"/>
    <w:rsid w:val="4CE46DA5"/>
    <w:rsid w:val="4CE57BD3"/>
    <w:rsid w:val="4CE66C4A"/>
    <w:rsid w:val="4CF51B03"/>
    <w:rsid w:val="4D0F4E55"/>
    <w:rsid w:val="4D0F5D61"/>
    <w:rsid w:val="4D1B216F"/>
    <w:rsid w:val="4D222AA8"/>
    <w:rsid w:val="4D2B3B47"/>
    <w:rsid w:val="4D367DCD"/>
    <w:rsid w:val="4D3E72AE"/>
    <w:rsid w:val="4D5C1DD2"/>
    <w:rsid w:val="4D6156D3"/>
    <w:rsid w:val="4D6D4AFF"/>
    <w:rsid w:val="4D767DAB"/>
    <w:rsid w:val="4D7B4719"/>
    <w:rsid w:val="4D813FBC"/>
    <w:rsid w:val="4D8430BE"/>
    <w:rsid w:val="4D854889"/>
    <w:rsid w:val="4D881F4A"/>
    <w:rsid w:val="4D8D6246"/>
    <w:rsid w:val="4D9842A5"/>
    <w:rsid w:val="4D986BA7"/>
    <w:rsid w:val="4D986C99"/>
    <w:rsid w:val="4D9C0C33"/>
    <w:rsid w:val="4DA41BD9"/>
    <w:rsid w:val="4DAF2388"/>
    <w:rsid w:val="4DB006D3"/>
    <w:rsid w:val="4DB01926"/>
    <w:rsid w:val="4DB31A86"/>
    <w:rsid w:val="4DB35A26"/>
    <w:rsid w:val="4DB714F0"/>
    <w:rsid w:val="4DC12243"/>
    <w:rsid w:val="4DC16F24"/>
    <w:rsid w:val="4DC453F8"/>
    <w:rsid w:val="4DD64FEA"/>
    <w:rsid w:val="4DE31A66"/>
    <w:rsid w:val="4DE42C9A"/>
    <w:rsid w:val="4DF12777"/>
    <w:rsid w:val="4DF76B62"/>
    <w:rsid w:val="4DFE29B1"/>
    <w:rsid w:val="4E015E4D"/>
    <w:rsid w:val="4E07681F"/>
    <w:rsid w:val="4E253EE8"/>
    <w:rsid w:val="4E286F46"/>
    <w:rsid w:val="4E3F37CF"/>
    <w:rsid w:val="4E4A5830"/>
    <w:rsid w:val="4E4B5088"/>
    <w:rsid w:val="4E4D7679"/>
    <w:rsid w:val="4E586E43"/>
    <w:rsid w:val="4E5B7B0B"/>
    <w:rsid w:val="4E717E84"/>
    <w:rsid w:val="4E7241BF"/>
    <w:rsid w:val="4E7709D8"/>
    <w:rsid w:val="4E8D39C6"/>
    <w:rsid w:val="4E902D60"/>
    <w:rsid w:val="4E9135EE"/>
    <w:rsid w:val="4E9867AD"/>
    <w:rsid w:val="4E9C732C"/>
    <w:rsid w:val="4E9D0D97"/>
    <w:rsid w:val="4E9E7534"/>
    <w:rsid w:val="4EB1570A"/>
    <w:rsid w:val="4EB22CAA"/>
    <w:rsid w:val="4EB4629D"/>
    <w:rsid w:val="4EBA3FB1"/>
    <w:rsid w:val="4ED51790"/>
    <w:rsid w:val="4EDA112B"/>
    <w:rsid w:val="4EDC3380"/>
    <w:rsid w:val="4EE4453D"/>
    <w:rsid w:val="4EE573A6"/>
    <w:rsid w:val="4EE62DA5"/>
    <w:rsid w:val="4EF73FD6"/>
    <w:rsid w:val="4EFE715E"/>
    <w:rsid w:val="4F024EDA"/>
    <w:rsid w:val="4F0477E3"/>
    <w:rsid w:val="4F1B2488"/>
    <w:rsid w:val="4F2315D5"/>
    <w:rsid w:val="4F231B06"/>
    <w:rsid w:val="4F392ADF"/>
    <w:rsid w:val="4F420D43"/>
    <w:rsid w:val="4F4516A1"/>
    <w:rsid w:val="4F4D0CBD"/>
    <w:rsid w:val="4F4D69AC"/>
    <w:rsid w:val="4F4F63B9"/>
    <w:rsid w:val="4F567D34"/>
    <w:rsid w:val="4F5D134A"/>
    <w:rsid w:val="4F693B5C"/>
    <w:rsid w:val="4F6F52E2"/>
    <w:rsid w:val="4F7C077C"/>
    <w:rsid w:val="4F8454FB"/>
    <w:rsid w:val="4F887314"/>
    <w:rsid w:val="4F945987"/>
    <w:rsid w:val="4F957C5C"/>
    <w:rsid w:val="4F9F2904"/>
    <w:rsid w:val="4FAC769D"/>
    <w:rsid w:val="4FAE2CB0"/>
    <w:rsid w:val="4FB97DC6"/>
    <w:rsid w:val="4FCE707A"/>
    <w:rsid w:val="4FDA0CAA"/>
    <w:rsid w:val="4FDB162C"/>
    <w:rsid w:val="4FE3081B"/>
    <w:rsid w:val="4FE64AFA"/>
    <w:rsid w:val="4FF30E93"/>
    <w:rsid w:val="4FFA27E3"/>
    <w:rsid w:val="4FFE6187"/>
    <w:rsid w:val="500D5F13"/>
    <w:rsid w:val="500F5FF1"/>
    <w:rsid w:val="501C0109"/>
    <w:rsid w:val="501C63A8"/>
    <w:rsid w:val="501E5A08"/>
    <w:rsid w:val="50223B01"/>
    <w:rsid w:val="502C66B4"/>
    <w:rsid w:val="503266FC"/>
    <w:rsid w:val="50496BDB"/>
    <w:rsid w:val="504D217E"/>
    <w:rsid w:val="50500888"/>
    <w:rsid w:val="505A4E8B"/>
    <w:rsid w:val="506828ED"/>
    <w:rsid w:val="506B4C38"/>
    <w:rsid w:val="507A2838"/>
    <w:rsid w:val="507D0387"/>
    <w:rsid w:val="508D2B32"/>
    <w:rsid w:val="50901426"/>
    <w:rsid w:val="509D2BA6"/>
    <w:rsid w:val="50AD3187"/>
    <w:rsid w:val="50AF7CAE"/>
    <w:rsid w:val="50B475C8"/>
    <w:rsid w:val="50CB1E84"/>
    <w:rsid w:val="50CC6ED3"/>
    <w:rsid w:val="50CE4655"/>
    <w:rsid w:val="50D64191"/>
    <w:rsid w:val="50E24013"/>
    <w:rsid w:val="50E51D75"/>
    <w:rsid w:val="50F45ACA"/>
    <w:rsid w:val="51064AB0"/>
    <w:rsid w:val="510906E7"/>
    <w:rsid w:val="51150E11"/>
    <w:rsid w:val="511F2E16"/>
    <w:rsid w:val="511F370E"/>
    <w:rsid w:val="512303D2"/>
    <w:rsid w:val="5125787A"/>
    <w:rsid w:val="512B6301"/>
    <w:rsid w:val="512C1A33"/>
    <w:rsid w:val="512C2FD4"/>
    <w:rsid w:val="51312D88"/>
    <w:rsid w:val="513A7B18"/>
    <w:rsid w:val="513E4B16"/>
    <w:rsid w:val="5147749B"/>
    <w:rsid w:val="515404FC"/>
    <w:rsid w:val="51544F51"/>
    <w:rsid w:val="515E1B2F"/>
    <w:rsid w:val="51664E39"/>
    <w:rsid w:val="516C6074"/>
    <w:rsid w:val="516C6B3E"/>
    <w:rsid w:val="51761463"/>
    <w:rsid w:val="51776B38"/>
    <w:rsid w:val="517E6753"/>
    <w:rsid w:val="517E720C"/>
    <w:rsid w:val="51934412"/>
    <w:rsid w:val="51971B27"/>
    <w:rsid w:val="519E078A"/>
    <w:rsid w:val="51A02F67"/>
    <w:rsid w:val="51A746FF"/>
    <w:rsid w:val="51AC1AF1"/>
    <w:rsid w:val="51AD6BEF"/>
    <w:rsid w:val="51B16ADA"/>
    <w:rsid w:val="51B22E67"/>
    <w:rsid w:val="51BB74AC"/>
    <w:rsid w:val="51C609D3"/>
    <w:rsid w:val="51C901D0"/>
    <w:rsid w:val="51E43809"/>
    <w:rsid w:val="51EE5095"/>
    <w:rsid w:val="51F07144"/>
    <w:rsid w:val="51F27747"/>
    <w:rsid w:val="52055709"/>
    <w:rsid w:val="522C67CB"/>
    <w:rsid w:val="522C69EE"/>
    <w:rsid w:val="523007DA"/>
    <w:rsid w:val="5234117E"/>
    <w:rsid w:val="52382BBD"/>
    <w:rsid w:val="524B7D2C"/>
    <w:rsid w:val="524C4802"/>
    <w:rsid w:val="5260103D"/>
    <w:rsid w:val="52661FCB"/>
    <w:rsid w:val="5280062E"/>
    <w:rsid w:val="52847FD9"/>
    <w:rsid w:val="528A6FBD"/>
    <w:rsid w:val="528D2B54"/>
    <w:rsid w:val="529B17AE"/>
    <w:rsid w:val="529C23FC"/>
    <w:rsid w:val="52A240ED"/>
    <w:rsid w:val="52AB664C"/>
    <w:rsid w:val="52AD072E"/>
    <w:rsid w:val="52AF72A3"/>
    <w:rsid w:val="52B263B6"/>
    <w:rsid w:val="52B775CE"/>
    <w:rsid w:val="52BC477D"/>
    <w:rsid w:val="52D20D9F"/>
    <w:rsid w:val="52D74F47"/>
    <w:rsid w:val="52D82643"/>
    <w:rsid w:val="52D84A64"/>
    <w:rsid w:val="52DC5692"/>
    <w:rsid w:val="52DF484B"/>
    <w:rsid w:val="52E04D06"/>
    <w:rsid w:val="52E103C1"/>
    <w:rsid w:val="52E66B67"/>
    <w:rsid w:val="52E727B5"/>
    <w:rsid w:val="52E74611"/>
    <w:rsid w:val="52E95946"/>
    <w:rsid w:val="52E96EA0"/>
    <w:rsid w:val="52ED2B91"/>
    <w:rsid w:val="52EF2E92"/>
    <w:rsid w:val="52F179CF"/>
    <w:rsid w:val="52F34E66"/>
    <w:rsid w:val="52F62FBE"/>
    <w:rsid w:val="52F83949"/>
    <w:rsid w:val="52FE38E8"/>
    <w:rsid w:val="52FF3408"/>
    <w:rsid w:val="530216BF"/>
    <w:rsid w:val="53024C05"/>
    <w:rsid w:val="53092E2D"/>
    <w:rsid w:val="5318220E"/>
    <w:rsid w:val="531B4DA9"/>
    <w:rsid w:val="531F3D78"/>
    <w:rsid w:val="5324455A"/>
    <w:rsid w:val="53275FF1"/>
    <w:rsid w:val="535254EB"/>
    <w:rsid w:val="53652EB3"/>
    <w:rsid w:val="536D0B52"/>
    <w:rsid w:val="53727700"/>
    <w:rsid w:val="538653F8"/>
    <w:rsid w:val="538B1846"/>
    <w:rsid w:val="538C5A95"/>
    <w:rsid w:val="53900083"/>
    <w:rsid w:val="539A07B8"/>
    <w:rsid w:val="53A037CC"/>
    <w:rsid w:val="53AA2BAA"/>
    <w:rsid w:val="53AC064A"/>
    <w:rsid w:val="53BB4F78"/>
    <w:rsid w:val="53C43567"/>
    <w:rsid w:val="53C964C6"/>
    <w:rsid w:val="53CF1ECB"/>
    <w:rsid w:val="53D311B8"/>
    <w:rsid w:val="53DF4D18"/>
    <w:rsid w:val="53E13C92"/>
    <w:rsid w:val="53E5421C"/>
    <w:rsid w:val="53E66584"/>
    <w:rsid w:val="53E71200"/>
    <w:rsid w:val="53E84738"/>
    <w:rsid w:val="53F36D02"/>
    <w:rsid w:val="53F97800"/>
    <w:rsid w:val="54020070"/>
    <w:rsid w:val="540748FD"/>
    <w:rsid w:val="54103736"/>
    <w:rsid w:val="54142B3D"/>
    <w:rsid w:val="541B1A34"/>
    <w:rsid w:val="541C7131"/>
    <w:rsid w:val="541D2DAE"/>
    <w:rsid w:val="541D3659"/>
    <w:rsid w:val="541F1DB5"/>
    <w:rsid w:val="542225E3"/>
    <w:rsid w:val="5423082C"/>
    <w:rsid w:val="5425060C"/>
    <w:rsid w:val="5429337D"/>
    <w:rsid w:val="54366CDC"/>
    <w:rsid w:val="543A6125"/>
    <w:rsid w:val="54475101"/>
    <w:rsid w:val="545A0DC0"/>
    <w:rsid w:val="545A1945"/>
    <w:rsid w:val="545B2B1B"/>
    <w:rsid w:val="546472FD"/>
    <w:rsid w:val="546B0EAB"/>
    <w:rsid w:val="546D2E1D"/>
    <w:rsid w:val="54751D46"/>
    <w:rsid w:val="54752CAF"/>
    <w:rsid w:val="54797B26"/>
    <w:rsid w:val="54844EC7"/>
    <w:rsid w:val="5489473D"/>
    <w:rsid w:val="548A5C53"/>
    <w:rsid w:val="5495782F"/>
    <w:rsid w:val="549773DC"/>
    <w:rsid w:val="549C1D2A"/>
    <w:rsid w:val="549F7B4D"/>
    <w:rsid w:val="54AF66FB"/>
    <w:rsid w:val="54B040F7"/>
    <w:rsid w:val="54BB2A03"/>
    <w:rsid w:val="54BF4F51"/>
    <w:rsid w:val="54C53E0D"/>
    <w:rsid w:val="54C7650B"/>
    <w:rsid w:val="54CD3CA5"/>
    <w:rsid w:val="54CF7628"/>
    <w:rsid w:val="54D15233"/>
    <w:rsid w:val="54D449EC"/>
    <w:rsid w:val="54D77C68"/>
    <w:rsid w:val="54DA5645"/>
    <w:rsid w:val="55017CFC"/>
    <w:rsid w:val="55031E26"/>
    <w:rsid w:val="55044017"/>
    <w:rsid w:val="551768A1"/>
    <w:rsid w:val="552A3056"/>
    <w:rsid w:val="552C347C"/>
    <w:rsid w:val="552E5E39"/>
    <w:rsid w:val="553172C6"/>
    <w:rsid w:val="553502D6"/>
    <w:rsid w:val="5536724F"/>
    <w:rsid w:val="553E0DC8"/>
    <w:rsid w:val="554137C9"/>
    <w:rsid w:val="55517C7F"/>
    <w:rsid w:val="5552474F"/>
    <w:rsid w:val="55561813"/>
    <w:rsid w:val="556A3A32"/>
    <w:rsid w:val="556B6338"/>
    <w:rsid w:val="55714220"/>
    <w:rsid w:val="557A63A6"/>
    <w:rsid w:val="558876D5"/>
    <w:rsid w:val="55922D78"/>
    <w:rsid w:val="559B30E7"/>
    <w:rsid w:val="55AB7097"/>
    <w:rsid w:val="55B3059B"/>
    <w:rsid w:val="55B37E97"/>
    <w:rsid w:val="55BA4955"/>
    <w:rsid w:val="55BB17AC"/>
    <w:rsid w:val="55C71696"/>
    <w:rsid w:val="55D66E0B"/>
    <w:rsid w:val="55DC7083"/>
    <w:rsid w:val="55E56009"/>
    <w:rsid w:val="55E94819"/>
    <w:rsid w:val="55EA0B21"/>
    <w:rsid w:val="55F146B5"/>
    <w:rsid w:val="55F718A7"/>
    <w:rsid w:val="55FD4D16"/>
    <w:rsid w:val="56023CF3"/>
    <w:rsid w:val="56064A4E"/>
    <w:rsid w:val="56074BD0"/>
    <w:rsid w:val="56114042"/>
    <w:rsid w:val="56130B72"/>
    <w:rsid w:val="562A11A9"/>
    <w:rsid w:val="563379C4"/>
    <w:rsid w:val="56407459"/>
    <w:rsid w:val="56463456"/>
    <w:rsid w:val="56463883"/>
    <w:rsid w:val="56466071"/>
    <w:rsid w:val="565902F1"/>
    <w:rsid w:val="5673384A"/>
    <w:rsid w:val="5674261F"/>
    <w:rsid w:val="567A473C"/>
    <w:rsid w:val="5697384D"/>
    <w:rsid w:val="56991F6E"/>
    <w:rsid w:val="569C382F"/>
    <w:rsid w:val="56A63BE2"/>
    <w:rsid w:val="56A82337"/>
    <w:rsid w:val="56A85DD7"/>
    <w:rsid w:val="56AF011F"/>
    <w:rsid w:val="56B21FB9"/>
    <w:rsid w:val="56BC062C"/>
    <w:rsid w:val="56BD56FA"/>
    <w:rsid w:val="56BE1686"/>
    <w:rsid w:val="56C776F9"/>
    <w:rsid w:val="56C93EAD"/>
    <w:rsid w:val="56CA4A55"/>
    <w:rsid w:val="56D1363A"/>
    <w:rsid w:val="56D53F41"/>
    <w:rsid w:val="56DB66A6"/>
    <w:rsid w:val="56DC30A6"/>
    <w:rsid w:val="56E6251F"/>
    <w:rsid w:val="56E66A66"/>
    <w:rsid w:val="56FF388E"/>
    <w:rsid w:val="57001D72"/>
    <w:rsid w:val="5716739B"/>
    <w:rsid w:val="572A081F"/>
    <w:rsid w:val="572C7A7E"/>
    <w:rsid w:val="5740107D"/>
    <w:rsid w:val="57456F39"/>
    <w:rsid w:val="574702E0"/>
    <w:rsid w:val="574F5A25"/>
    <w:rsid w:val="576F3F9C"/>
    <w:rsid w:val="57702EF7"/>
    <w:rsid w:val="577F0688"/>
    <w:rsid w:val="578237F3"/>
    <w:rsid w:val="578E3481"/>
    <w:rsid w:val="578F3821"/>
    <w:rsid w:val="5797361E"/>
    <w:rsid w:val="57AB024C"/>
    <w:rsid w:val="57AF500B"/>
    <w:rsid w:val="57B07F85"/>
    <w:rsid w:val="57B4222D"/>
    <w:rsid w:val="57B5493F"/>
    <w:rsid w:val="57BD292B"/>
    <w:rsid w:val="57D3239D"/>
    <w:rsid w:val="57DA41E5"/>
    <w:rsid w:val="57E15BEC"/>
    <w:rsid w:val="57E7566C"/>
    <w:rsid w:val="57E807D9"/>
    <w:rsid w:val="57EB7F6E"/>
    <w:rsid w:val="57ED2FDA"/>
    <w:rsid w:val="57F040C7"/>
    <w:rsid w:val="57F04F49"/>
    <w:rsid w:val="57FA4148"/>
    <w:rsid w:val="58066962"/>
    <w:rsid w:val="580924FA"/>
    <w:rsid w:val="5812201C"/>
    <w:rsid w:val="581F3A77"/>
    <w:rsid w:val="5822508B"/>
    <w:rsid w:val="582B0403"/>
    <w:rsid w:val="58361F13"/>
    <w:rsid w:val="58376D58"/>
    <w:rsid w:val="583B231F"/>
    <w:rsid w:val="583C01A1"/>
    <w:rsid w:val="584215E9"/>
    <w:rsid w:val="584468BB"/>
    <w:rsid w:val="58471D0F"/>
    <w:rsid w:val="584D2AFE"/>
    <w:rsid w:val="58562175"/>
    <w:rsid w:val="585B24D2"/>
    <w:rsid w:val="58675895"/>
    <w:rsid w:val="588231FE"/>
    <w:rsid w:val="58853E48"/>
    <w:rsid w:val="58871576"/>
    <w:rsid w:val="58AD65CF"/>
    <w:rsid w:val="58B93FF0"/>
    <w:rsid w:val="58BB0902"/>
    <w:rsid w:val="58CF58F8"/>
    <w:rsid w:val="58D537D2"/>
    <w:rsid w:val="58D736D6"/>
    <w:rsid w:val="58DD56F9"/>
    <w:rsid w:val="58FC55CA"/>
    <w:rsid w:val="590C34E2"/>
    <w:rsid w:val="590F7334"/>
    <w:rsid w:val="59196834"/>
    <w:rsid w:val="592E1005"/>
    <w:rsid w:val="593B0B43"/>
    <w:rsid w:val="594127D8"/>
    <w:rsid w:val="594F1FDA"/>
    <w:rsid w:val="59536026"/>
    <w:rsid w:val="5971656C"/>
    <w:rsid w:val="597240A3"/>
    <w:rsid w:val="597B7726"/>
    <w:rsid w:val="59877250"/>
    <w:rsid w:val="59A32419"/>
    <w:rsid w:val="59B35B09"/>
    <w:rsid w:val="59B6711E"/>
    <w:rsid w:val="59C31133"/>
    <w:rsid w:val="59D04385"/>
    <w:rsid w:val="59E43037"/>
    <w:rsid w:val="59EC2E50"/>
    <w:rsid w:val="59EC5BC4"/>
    <w:rsid w:val="59ED4AC9"/>
    <w:rsid w:val="59EE43E8"/>
    <w:rsid w:val="5A065922"/>
    <w:rsid w:val="5A141031"/>
    <w:rsid w:val="5A185898"/>
    <w:rsid w:val="5A3670E2"/>
    <w:rsid w:val="5A3748D4"/>
    <w:rsid w:val="5A386414"/>
    <w:rsid w:val="5A404457"/>
    <w:rsid w:val="5A482EC1"/>
    <w:rsid w:val="5A484A49"/>
    <w:rsid w:val="5A5D1F0A"/>
    <w:rsid w:val="5A6417AA"/>
    <w:rsid w:val="5A720B34"/>
    <w:rsid w:val="5A7A4A1D"/>
    <w:rsid w:val="5A8024E6"/>
    <w:rsid w:val="5A83321E"/>
    <w:rsid w:val="5A8711DD"/>
    <w:rsid w:val="5A8C1C9F"/>
    <w:rsid w:val="5A9170A5"/>
    <w:rsid w:val="5A987519"/>
    <w:rsid w:val="5A993F34"/>
    <w:rsid w:val="5A9A45D6"/>
    <w:rsid w:val="5AA335A7"/>
    <w:rsid w:val="5AA831C4"/>
    <w:rsid w:val="5AAF41D4"/>
    <w:rsid w:val="5AB3613E"/>
    <w:rsid w:val="5AB46BF1"/>
    <w:rsid w:val="5AB95296"/>
    <w:rsid w:val="5AC924EB"/>
    <w:rsid w:val="5AC92E9E"/>
    <w:rsid w:val="5ACB1A0A"/>
    <w:rsid w:val="5AE93207"/>
    <w:rsid w:val="5AEB01E5"/>
    <w:rsid w:val="5AEC26C6"/>
    <w:rsid w:val="5AED35ED"/>
    <w:rsid w:val="5AEE0292"/>
    <w:rsid w:val="5AEF1D4A"/>
    <w:rsid w:val="5AF10D22"/>
    <w:rsid w:val="5AFF3757"/>
    <w:rsid w:val="5B104AC5"/>
    <w:rsid w:val="5B1139AB"/>
    <w:rsid w:val="5B1470C2"/>
    <w:rsid w:val="5B1A5AA9"/>
    <w:rsid w:val="5B230E65"/>
    <w:rsid w:val="5B253E4B"/>
    <w:rsid w:val="5B260865"/>
    <w:rsid w:val="5B3227BD"/>
    <w:rsid w:val="5B3256E6"/>
    <w:rsid w:val="5B36713B"/>
    <w:rsid w:val="5B40045B"/>
    <w:rsid w:val="5B526DE0"/>
    <w:rsid w:val="5B5B2B1D"/>
    <w:rsid w:val="5B651DE1"/>
    <w:rsid w:val="5B6C557D"/>
    <w:rsid w:val="5B7F01FA"/>
    <w:rsid w:val="5B9D0584"/>
    <w:rsid w:val="5BA72B9F"/>
    <w:rsid w:val="5BAC5872"/>
    <w:rsid w:val="5BAC5B52"/>
    <w:rsid w:val="5BB257AF"/>
    <w:rsid w:val="5BBC1586"/>
    <w:rsid w:val="5BC11A1A"/>
    <w:rsid w:val="5BDE25AE"/>
    <w:rsid w:val="5BE252E7"/>
    <w:rsid w:val="5BEE5E0F"/>
    <w:rsid w:val="5BF25DFB"/>
    <w:rsid w:val="5BF75365"/>
    <w:rsid w:val="5C0F2198"/>
    <w:rsid w:val="5C0F3D24"/>
    <w:rsid w:val="5C1825FF"/>
    <w:rsid w:val="5C2320CD"/>
    <w:rsid w:val="5C32654D"/>
    <w:rsid w:val="5C332FE3"/>
    <w:rsid w:val="5C437B73"/>
    <w:rsid w:val="5C4C51F0"/>
    <w:rsid w:val="5C50547A"/>
    <w:rsid w:val="5C514C9E"/>
    <w:rsid w:val="5C5A7869"/>
    <w:rsid w:val="5C5E5E59"/>
    <w:rsid w:val="5C6959A2"/>
    <w:rsid w:val="5C784F36"/>
    <w:rsid w:val="5C7D4D55"/>
    <w:rsid w:val="5C7F453A"/>
    <w:rsid w:val="5C8C46DC"/>
    <w:rsid w:val="5C8E41BE"/>
    <w:rsid w:val="5C984187"/>
    <w:rsid w:val="5C9A53BC"/>
    <w:rsid w:val="5C9A6F33"/>
    <w:rsid w:val="5C9D0B22"/>
    <w:rsid w:val="5C9D4DE7"/>
    <w:rsid w:val="5C9F5C6D"/>
    <w:rsid w:val="5CA25863"/>
    <w:rsid w:val="5CB26597"/>
    <w:rsid w:val="5CB71E38"/>
    <w:rsid w:val="5CCA18D1"/>
    <w:rsid w:val="5CD133E9"/>
    <w:rsid w:val="5CD71166"/>
    <w:rsid w:val="5CE0005E"/>
    <w:rsid w:val="5CE170D5"/>
    <w:rsid w:val="5CE75966"/>
    <w:rsid w:val="5CEA2592"/>
    <w:rsid w:val="5CED0685"/>
    <w:rsid w:val="5CED40D8"/>
    <w:rsid w:val="5CF14FBA"/>
    <w:rsid w:val="5CF30D5E"/>
    <w:rsid w:val="5D022B62"/>
    <w:rsid w:val="5D0C12D0"/>
    <w:rsid w:val="5D1C30AE"/>
    <w:rsid w:val="5D3A7FDF"/>
    <w:rsid w:val="5D4022E6"/>
    <w:rsid w:val="5D463DCA"/>
    <w:rsid w:val="5D47160B"/>
    <w:rsid w:val="5D48714D"/>
    <w:rsid w:val="5D4C6B26"/>
    <w:rsid w:val="5D4F0390"/>
    <w:rsid w:val="5D524D3B"/>
    <w:rsid w:val="5D536C0E"/>
    <w:rsid w:val="5D5C06AA"/>
    <w:rsid w:val="5D627980"/>
    <w:rsid w:val="5D6D38E2"/>
    <w:rsid w:val="5D762ED0"/>
    <w:rsid w:val="5D7F3E1A"/>
    <w:rsid w:val="5D946FBA"/>
    <w:rsid w:val="5DA602F3"/>
    <w:rsid w:val="5DAB57AA"/>
    <w:rsid w:val="5DB06C87"/>
    <w:rsid w:val="5DB360B0"/>
    <w:rsid w:val="5DB9399D"/>
    <w:rsid w:val="5DC86E03"/>
    <w:rsid w:val="5DD33649"/>
    <w:rsid w:val="5DE378D5"/>
    <w:rsid w:val="5DF7613E"/>
    <w:rsid w:val="5E0A1272"/>
    <w:rsid w:val="5E1623FF"/>
    <w:rsid w:val="5E1D3E0D"/>
    <w:rsid w:val="5E247F84"/>
    <w:rsid w:val="5E250A50"/>
    <w:rsid w:val="5E2B00B3"/>
    <w:rsid w:val="5E32617C"/>
    <w:rsid w:val="5E3945C6"/>
    <w:rsid w:val="5E3A1410"/>
    <w:rsid w:val="5E3F55C0"/>
    <w:rsid w:val="5E3F567F"/>
    <w:rsid w:val="5E404D1C"/>
    <w:rsid w:val="5E4361F0"/>
    <w:rsid w:val="5E4862E3"/>
    <w:rsid w:val="5E61188D"/>
    <w:rsid w:val="5E617CCB"/>
    <w:rsid w:val="5E662FB1"/>
    <w:rsid w:val="5E676889"/>
    <w:rsid w:val="5E6C631C"/>
    <w:rsid w:val="5E742F76"/>
    <w:rsid w:val="5E790D25"/>
    <w:rsid w:val="5E7D6EA1"/>
    <w:rsid w:val="5E9E6C78"/>
    <w:rsid w:val="5EA96779"/>
    <w:rsid w:val="5EAF4AF6"/>
    <w:rsid w:val="5EB4428D"/>
    <w:rsid w:val="5ECB4316"/>
    <w:rsid w:val="5ECC4C1A"/>
    <w:rsid w:val="5ED74A78"/>
    <w:rsid w:val="5ED86779"/>
    <w:rsid w:val="5EDE32A7"/>
    <w:rsid w:val="5EDE41B3"/>
    <w:rsid w:val="5EDF471C"/>
    <w:rsid w:val="5EE6748E"/>
    <w:rsid w:val="5EED449B"/>
    <w:rsid w:val="5EFA3780"/>
    <w:rsid w:val="5F0E7D2B"/>
    <w:rsid w:val="5F133CEB"/>
    <w:rsid w:val="5F142C9B"/>
    <w:rsid w:val="5F1B6A67"/>
    <w:rsid w:val="5F272C9F"/>
    <w:rsid w:val="5F2856FD"/>
    <w:rsid w:val="5F2F7ABC"/>
    <w:rsid w:val="5F357D6E"/>
    <w:rsid w:val="5F3630E5"/>
    <w:rsid w:val="5F4021C7"/>
    <w:rsid w:val="5F433491"/>
    <w:rsid w:val="5F590007"/>
    <w:rsid w:val="5F6E2FEC"/>
    <w:rsid w:val="5F722E2E"/>
    <w:rsid w:val="5F754DB5"/>
    <w:rsid w:val="5F7F573C"/>
    <w:rsid w:val="5F8455D3"/>
    <w:rsid w:val="5F8B1C16"/>
    <w:rsid w:val="5F915B92"/>
    <w:rsid w:val="5F9F20CB"/>
    <w:rsid w:val="5FCB3601"/>
    <w:rsid w:val="5FCB4689"/>
    <w:rsid w:val="5FCF0310"/>
    <w:rsid w:val="5FCF7108"/>
    <w:rsid w:val="5FDD7DA3"/>
    <w:rsid w:val="5FE307E2"/>
    <w:rsid w:val="5FE53DA2"/>
    <w:rsid w:val="5FEB50F2"/>
    <w:rsid w:val="5FF14605"/>
    <w:rsid w:val="5FF15D0A"/>
    <w:rsid w:val="5FF46838"/>
    <w:rsid w:val="5FF61046"/>
    <w:rsid w:val="5FF801F5"/>
    <w:rsid w:val="601C0B6E"/>
    <w:rsid w:val="601E3631"/>
    <w:rsid w:val="60253F37"/>
    <w:rsid w:val="602E6C2B"/>
    <w:rsid w:val="602F4646"/>
    <w:rsid w:val="60326B1A"/>
    <w:rsid w:val="6033787B"/>
    <w:rsid w:val="60421B80"/>
    <w:rsid w:val="604647AD"/>
    <w:rsid w:val="604D6C9B"/>
    <w:rsid w:val="6051475F"/>
    <w:rsid w:val="60531B20"/>
    <w:rsid w:val="605673F7"/>
    <w:rsid w:val="6059333E"/>
    <w:rsid w:val="605A3EF1"/>
    <w:rsid w:val="606206D7"/>
    <w:rsid w:val="609A11A7"/>
    <w:rsid w:val="609A3BCF"/>
    <w:rsid w:val="60A04051"/>
    <w:rsid w:val="60AD116A"/>
    <w:rsid w:val="60B32B91"/>
    <w:rsid w:val="60C04A3D"/>
    <w:rsid w:val="60D05A81"/>
    <w:rsid w:val="60EB39AA"/>
    <w:rsid w:val="60F01A36"/>
    <w:rsid w:val="60F17CF0"/>
    <w:rsid w:val="61000B82"/>
    <w:rsid w:val="61131CAB"/>
    <w:rsid w:val="61207A69"/>
    <w:rsid w:val="61314C7E"/>
    <w:rsid w:val="6137715C"/>
    <w:rsid w:val="61472BC1"/>
    <w:rsid w:val="614A3049"/>
    <w:rsid w:val="61584F46"/>
    <w:rsid w:val="61611C28"/>
    <w:rsid w:val="61631929"/>
    <w:rsid w:val="61677179"/>
    <w:rsid w:val="61690D70"/>
    <w:rsid w:val="616A4796"/>
    <w:rsid w:val="6178213C"/>
    <w:rsid w:val="617C30AD"/>
    <w:rsid w:val="617E0DEB"/>
    <w:rsid w:val="61815CBE"/>
    <w:rsid w:val="61924E1B"/>
    <w:rsid w:val="619A7C67"/>
    <w:rsid w:val="61A0627F"/>
    <w:rsid w:val="61A51DA8"/>
    <w:rsid w:val="61AC2B36"/>
    <w:rsid w:val="61B4098C"/>
    <w:rsid w:val="61BA34E5"/>
    <w:rsid w:val="61C430BD"/>
    <w:rsid w:val="61CA2204"/>
    <w:rsid w:val="61D52350"/>
    <w:rsid w:val="61E91BF6"/>
    <w:rsid w:val="61EB1AAD"/>
    <w:rsid w:val="61F00D74"/>
    <w:rsid w:val="61FF5EB2"/>
    <w:rsid w:val="62012894"/>
    <w:rsid w:val="620D0795"/>
    <w:rsid w:val="62131812"/>
    <w:rsid w:val="62216B63"/>
    <w:rsid w:val="62221DBC"/>
    <w:rsid w:val="622B7232"/>
    <w:rsid w:val="62315B3F"/>
    <w:rsid w:val="6235026B"/>
    <w:rsid w:val="623B160D"/>
    <w:rsid w:val="624E6F55"/>
    <w:rsid w:val="62584DCD"/>
    <w:rsid w:val="625C7E61"/>
    <w:rsid w:val="625F4F13"/>
    <w:rsid w:val="6263278A"/>
    <w:rsid w:val="62747C91"/>
    <w:rsid w:val="627C6855"/>
    <w:rsid w:val="62835F83"/>
    <w:rsid w:val="62866842"/>
    <w:rsid w:val="62937B3D"/>
    <w:rsid w:val="62A94AF0"/>
    <w:rsid w:val="62A95451"/>
    <w:rsid w:val="62AC19E1"/>
    <w:rsid w:val="62B1549B"/>
    <w:rsid w:val="62B16114"/>
    <w:rsid w:val="62B9406A"/>
    <w:rsid w:val="62BC5D40"/>
    <w:rsid w:val="62C4706C"/>
    <w:rsid w:val="62D36D8A"/>
    <w:rsid w:val="62DC165D"/>
    <w:rsid w:val="62E607FD"/>
    <w:rsid w:val="62ED258A"/>
    <w:rsid w:val="62EF64B1"/>
    <w:rsid w:val="62F6464B"/>
    <w:rsid w:val="630900E9"/>
    <w:rsid w:val="63176C23"/>
    <w:rsid w:val="63196FB1"/>
    <w:rsid w:val="631C7775"/>
    <w:rsid w:val="632566D2"/>
    <w:rsid w:val="63325E68"/>
    <w:rsid w:val="633A325E"/>
    <w:rsid w:val="633E645D"/>
    <w:rsid w:val="634706A8"/>
    <w:rsid w:val="63546B89"/>
    <w:rsid w:val="635C34AE"/>
    <w:rsid w:val="635D4CBB"/>
    <w:rsid w:val="635D7326"/>
    <w:rsid w:val="635E4C33"/>
    <w:rsid w:val="63602CFF"/>
    <w:rsid w:val="63607D2C"/>
    <w:rsid w:val="6363405B"/>
    <w:rsid w:val="63657B08"/>
    <w:rsid w:val="63673295"/>
    <w:rsid w:val="6367546A"/>
    <w:rsid w:val="636C59CF"/>
    <w:rsid w:val="636F048C"/>
    <w:rsid w:val="637013A0"/>
    <w:rsid w:val="63845D1A"/>
    <w:rsid w:val="63846301"/>
    <w:rsid w:val="638807F8"/>
    <w:rsid w:val="63B029D0"/>
    <w:rsid w:val="63B568F4"/>
    <w:rsid w:val="63B65BB3"/>
    <w:rsid w:val="63B67242"/>
    <w:rsid w:val="63B6730B"/>
    <w:rsid w:val="63C929A2"/>
    <w:rsid w:val="63F6464F"/>
    <w:rsid w:val="63F8155E"/>
    <w:rsid w:val="640522DE"/>
    <w:rsid w:val="640744A7"/>
    <w:rsid w:val="640901DF"/>
    <w:rsid w:val="641F79E2"/>
    <w:rsid w:val="642207E0"/>
    <w:rsid w:val="64241502"/>
    <w:rsid w:val="6424779B"/>
    <w:rsid w:val="6425262C"/>
    <w:rsid w:val="64317077"/>
    <w:rsid w:val="644E1CC1"/>
    <w:rsid w:val="64506794"/>
    <w:rsid w:val="645540FE"/>
    <w:rsid w:val="64676FE0"/>
    <w:rsid w:val="646B35AA"/>
    <w:rsid w:val="646E1470"/>
    <w:rsid w:val="64774664"/>
    <w:rsid w:val="6483428B"/>
    <w:rsid w:val="648A3525"/>
    <w:rsid w:val="64931060"/>
    <w:rsid w:val="649E6B46"/>
    <w:rsid w:val="64A97955"/>
    <w:rsid w:val="64AA4D2D"/>
    <w:rsid w:val="64AD3A11"/>
    <w:rsid w:val="64AF6CDE"/>
    <w:rsid w:val="64B20379"/>
    <w:rsid w:val="64B2617B"/>
    <w:rsid w:val="64B26A5E"/>
    <w:rsid w:val="64B65417"/>
    <w:rsid w:val="64B71803"/>
    <w:rsid w:val="64C653DF"/>
    <w:rsid w:val="64D306C3"/>
    <w:rsid w:val="64DC72A8"/>
    <w:rsid w:val="64E121B7"/>
    <w:rsid w:val="64E33164"/>
    <w:rsid w:val="64F42EB0"/>
    <w:rsid w:val="64F678FF"/>
    <w:rsid w:val="650829C8"/>
    <w:rsid w:val="65180F7E"/>
    <w:rsid w:val="65222C78"/>
    <w:rsid w:val="65301072"/>
    <w:rsid w:val="65332700"/>
    <w:rsid w:val="654D0589"/>
    <w:rsid w:val="654E5FF2"/>
    <w:rsid w:val="65601EB7"/>
    <w:rsid w:val="658307E6"/>
    <w:rsid w:val="658C5A94"/>
    <w:rsid w:val="658E1357"/>
    <w:rsid w:val="659773EF"/>
    <w:rsid w:val="65A8299A"/>
    <w:rsid w:val="65AC0175"/>
    <w:rsid w:val="65AC3108"/>
    <w:rsid w:val="65C010E6"/>
    <w:rsid w:val="65CA41D2"/>
    <w:rsid w:val="65CB15EF"/>
    <w:rsid w:val="65CB5B2B"/>
    <w:rsid w:val="65CC4D77"/>
    <w:rsid w:val="65D24CD7"/>
    <w:rsid w:val="65D37CD8"/>
    <w:rsid w:val="65DA6545"/>
    <w:rsid w:val="65DF30B9"/>
    <w:rsid w:val="65E03136"/>
    <w:rsid w:val="65E250EA"/>
    <w:rsid w:val="65E774B4"/>
    <w:rsid w:val="65EA2BC5"/>
    <w:rsid w:val="65EE441C"/>
    <w:rsid w:val="65F21F76"/>
    <w:rsid w:val="65F629F5"/>
    <w:rsid w:val="65F65127"/>
    <w:rsid w:val="65F8307C"/>
    <w:rsid w:val="6601623D"/>
    <w:rsid w:val="66076EC8"/>
    <w:rsid w:val="660A4B2E"/>
    <w:rsid w:val="6616535C"/>
    <w:rsid w:val="66166582"/>
    <w:rsid w:val="661844EC"/>
    <w:rsid w:val="661A1887"/>
    <w:rsid w:val="661A1D62"/>
    <w:rsid w:val="661A6E3D"/>
    <w:rsid w:val="66242EE1"/>
    <w:rsid w:val="6625702D"/>
    <w:rsid w:val="662A5676"/>
    <w:rsid w:val="66313386"/>
    <w:rsid w:val="66380EE0"/>
    <w:rsid w:val="664136B6"/>
    <w:rsid w:val="6641546F"/>
    <w:rsid w:val="66437EF1"/>
    <w:rsid w:val="664710E1"/>
    <w:rsid w:val="664F7E81"/>
    <w:rsid w:val="66521E6D"/>
    <w:rsid w:val="665A50BD"/>
    <w:rsid w:val="665D0CCD"/>
    <w:rsid w:val="666127AD"/>
    <w:rsid w:val="66656236"/>
    <w:rsid w:val="667C58DB"/>
    <w:rsid w:val="667F28DB"/>
    <w:rsid w:val="668168A3"/>
    <w:rsid w:val="66821FBE"/>
    <w:rsid w:val="66837F7B"/>
    <w:rsid w:val="66845949"/>
    <w:rsid w:val="668537C6"/>
    <w:rsid w:val="66CA26A9"/>
    <w:rsid w:val="66CB4B3F"/>
    <w:rsid w:val="66CD0240"/>
    <w:rsid w:val="66D15B88"/>
    <w:rsid w:val="66D31031"/>
    <w:rsid w:val="66D348A7"/>
    <w:rsid w:val="66D55156"/>
    <w:rsid w:val="66D66764"/>
    <w:rsid w:val="66DB7545"/>
    <w:rsid w:val="66E33B44"/>
    <w:rsid w:val="66E91840"/>
    <w:rsid w:val="66EF518E"/>
    <w:rsid w:val="66F5302C"/>
    <w:rsid w:val="66F85CBB"/>
    <w:rsid w:val="67021DDD"/>
    <w:rsid w:val="6710594D"/>
    <w:rsid w:val="672A0A49"/>
    <w:rsid w:val="673A0212"/>
    <w:rsid w:val="673B187B"/>
    <w:rsid w:val="67483927"/>
    <w:rsid w:val="674B26F5"/>
    <w:rsid w:val="674D09A5"/>
    <w:rsid w:val="67504EF5"/>
    <w:rsid w:val="67504F6C"/>
    <w:rsid w:val="675A2892"/>
    <w:rsid w:val="675F3F44"/>
    <w:rsid w:val="676540B7"/>
    <w:rsid w:val="676A2F12"/>
    <w:rsid w:val="676A6618"/>
    <w:rsid w:val="676F0650"/>
    <w:rsid w:val="677E228B"/>
    <w:rsid w:val="678A57AF"/>
    <w:rsid w:val="678E4434"/>
    <w:rsid w:val="67903F0E"/>
    <w:rsid w:val="679051C9"/>
    <w:rsid w:val="67AC53A9"/>
    <w:rsid w:val="67AF2760"/>
    <w:rsid w:val="67B107C7"/>
    <w:rsid w:val="67B561CC"/>
    <w:rsid w:val="67C34578"/>
    <w:rsid w:val="67D04B7C"/>
    <w:rsid w:val="67D90298"/>
    <w:rsid w:val="67DD4A53"/>
    <w:rsid w:val="67EE1AA4"/>
    <w:rsid w:val="67F03036"/>
    <w:rsid w:val="67F8515E"/>
    <w:rsid w:val="67F936CA"/>
    <w:rsid w:val="67FA75FD"/>
    <w:rsid w:val="67FC2A76"/>
    <w:rsid w:val="67FE4CCE"/>
    <w:rsid w:val="680222B9"/>
    <w:rsid w:val="680C72D5"/>
    <w:rsid w:val="682053B5"/>
    <w:rsid w:val="6825701E"/>
    <w:rsid w:val="68257035"/>
    <w:rsid w:val="682D4F2C"/>
    <w:rsid w:val="683132BD"/>
    <w:rsid w:val="68394714"/>
    <w:rsid w:val="684A0319"/>
    <w:rsid w:val="685218AF"/>
    <w:rsid w:val="68587642"/>
    <w:rsid w:val="685E70BE"/>
    <w:rsid w:val="685F19E3"/>
    <w:rsid w:val="687D703D"/>
    <w:rsid w:val="687F3050"/>
    <w:rsid w:val="68826B06"/>
    <w:rsid w:val="688C37DC"/>
    <w:rsid w:val="689A66DB"/>
    <w:rsid w:val="68A03E62"/>
    <w:rsid w:val="68A7756C"/>
    <w:rsid w:val="68A802E1"/>
    <w:rsid w:val="68B068CD"/>
    <w:rsid w:val="68B43B08"/>
    <w:rsid w:val="68BA2AAD"/>
    <w:rsid w:val="68C06641"/>
    <w:rsid w:val="68CF4FD7"/>
    <w:rsid w:val="68D0684E"/>
    <w:rsid w:val="68D67903"/>
    <w:rsid w:val="68E659F1"/>
    <w:rsid w:val="68F02EA3"/>
    <w:rsid w:val="68F8503E"/>
    <w:rsid w:val="69067C17"/>
    <w:rsid w:val="690C5814"/>
    <w:rsid w:val="691633E5"/>
    <w:rsid w:val="691C0C5C"/>
    <w:rsid w:val="691E78CC"/>
    <w:rsid w:val="69321C7A"/>
    <w:rsid w:val="69373638"/>
    <w:rsid w:val="696848C8"/>
    <w:rsid w:val="696E659F"/>
    <w:rsid w:val="6974390F"/>
    <w:rsid w:val="698015BA"/>
    <w:rsid w:val="6980737F"/>
    <w:rsid w:val="69905B87"/>
    <w:rsid w:val="69946A1B"/>
    <w:rsid w:val="699C2D10"/>
    <w:rsid w:val="69A624A1"/>
    <w:rsid w:val="69A828FB"/>
    <w:rsid w:val="69AF7A5A"/>
    <w:rsid w:val="69C06030"/>
    <w:rsid w:val="69C12822"/>
    <w:rsid w:val="69C26982"/>
    <w:rsid w:val="69C633BC"/>
    <w:rsid w:val="69D0160A"/>
    <w:rsid w:val="69D433CE"/>
    <w:rsid w:val="69DA765E"/>
    <w:rsid w:val="69DF2A6D"/>
    <w:rsid w:val="69E04C02"/>
    <w:rsid w:val="69E2426D"/>
    <w:rsid w:val="69E407A6"/>
    <w:rsid w:val="6A0168D7"/>
    <w:rsid w:val="6A04369C"/>
    <w:rsid w:val="6A0800AC"/>
    <w:rsid w:val="6A0C5E1F"/>
    <w:rsid w:val="6A131A69"/>
    <w:rsid w:val="6A2478AA"/>
    <w:rsid w:val="6A362845"/>
    <w:rsid w:val="6A37048A"/>
    <w:rsid w:val="6A3B5CED"/>
    <w:rsid w:val="6A422574"/>
    <w:rsid w:val="6A4E7735"/>
    <w:rsid w:val="6A564DE0"/>
    <w:rsid w:val="6A581F1F"/>
    <w:rsid w:val="6A591C1B"/>
    <w:rsid w:val="6A5D5716"/>
    <w:rsid w:val="6A624008"/>
    <w:rsid w:val="6A6C5198"/>
    <w:rsid w:val="6A706001"/>
    <w:rsid w:val="6A7B4B8B"/>
    <w:rsid w:val="6A8315E7"/>
    <w:rsid w:val="6A9A544A"/>
    <w:rsid w:val="6AA940A4"/>
    <w:rsid w:val="6AB11E3C"/>
    <w:rsid w:val="6AB5696C"/>
    <w:rsid w:val="6ABE398B"/>
    <w:rsid w:val="6AC96BB3"/>
    <w:rsid w:val="6AD95A44"/>
    <w:rsid w:val="6ADF1565"/>
    <w:rsid w:val="6AE6248F"/>
    <w:rsid w:val="6AFC5AF6"/>
    <w:rsid w:val="6B0B3A6E"/>
    <w:rsid w:val="6B0B62BA"/>
    <w:rsid w:val="6B126933"/>
    <w:rsid w:val="6B29747B"/>
    <w:rsid w:val="6B3949B6"/>
    <w:rsid w:val="6B3B5B81"/>
    <w:rsid w:val="6B3F2084"/>
    <w:rsid w:val="6B404DDB"/>
    <w:rsid w:val="6B4D1302"/>
    <w:rsid w:val="6B4D4FBD"/>
    <w:rsid w:val="6B5716B6"/>
    <w:rsid w:val="6B5A4639"/>
    <w:rsid w:val="6B5A7632"/>
    <w:rsid w:val="6B624B91"/>
    <w:rsid w:val="6B665854"/>
    <w:rsid w:val="6B674C49"/>
    <w:rsid w:val="6B6822E6"/>
    <w:rsid w:val="6B69471E"/>
    <w:rsid w:val="6B6F571B"/>
    <w:rsid w:val="6B742A16"/>
    <w:rsid w:val="6B7F1AA2"/>
    <w:rsid w:val="6B8005E5"/>
    <w:rsid w:val="6B832D18"/>
    <w:rsid w:val="6B855FA3"/>
    <w:rsid w:val="6B8A5946"/>
    <w:rsid w:val="6B8B44A7"/>
    <w:rsid w:val="6B900955"/>
    <w:rsid w:val="6BB0233B"/>
    <w:rsid w:val="6BB07340"/>
    <w:rsid w:val="6BB61310"/>
    <w:rsid w:val="6BB6701E"/>
    <w:rsid w:val="6BBFF40C"/>
    <w:rsid w:val="6BC936EF"/>
    <w:rsid w:val="6BD5204E"/>
    <w:rsid w:val="6BE2475D"/>
    <w:rsid w:val="6BEC29BB"/>
    <w:rsid w:val="6BF33587"/>
    <w:rsid w:val="6BF37E0B"/>
    <w:rsid w:val="6BF47F83"/>
    <w:rsid w:val="6BF92B87"/>
    <w:rsid w:val="6BFC6C80"/>
    <w:rsid w:val="6C01257F"/>
    <w:rsid w:val="6C0F7E1F"/>
    <w:rsid w:val="6C2746B7"/>
    <w:rsid w:val="6C300724"/>
    <w:rsid w:val="6C3D3782"/>
    <w:rsid w:val="6C421335"/>
    <w:rsid w:val="6C431398"/>
    <w:rsid w:val="6C567C1C"/>
    <w:rsid w:val="6C5F095D"/>
    <w:rsid w:val="6C6052E7"/>
    <w:rsid w:val="6C616A83"/>
    <w:rsid w:val="6C7B464C"/>
    <w:rsid w:val="6C8039F5"/>
    <w:rsid w:val="6C922B9C"/>
    <w:rsid w:val="6C983964"/>
    <w:rsid w:val="6CA03971"/>
    <w:rsid w:val="6CA549EA"/>
    <w:rsid w:val="6CAF4443"/>
    <w:rsid w:val="6CB41C36"/>
    <w:rsid w:val="6CB41F7C"/>
    <w:rsid w:val="6CD2592A"/>
    <w:rsid w:val="6CD333EF"/>
    <w:rsid w:val="6CDE4DEA"/>
    <w:rsid w:val="6CE4668B"/>
    <w:rsid w:val="6CE46B72"/>
    <w:rsid w:val="6CE62A47"/>
    <w:rsid w:val="6CE63437"/>
    <w:rsid w:val="6CEC07FC"/>
    <w:rsid w:val="6CF12FBF"/>
    <w:rsid w:val="6CF445E9"/>
    <w:rsid w:val="6CFA32BF"/>
    <w:rsid w:val="6CFA76BA"/>
    <w:rsid w:val="6CFE117E"/>
    <w:rsid w:val="6CFF5627"/>
    <w:rsid w:val="6D070B29"/>
    <w:rsid w:val="6D1E30E3"/>
    <w:rsid w:val="6D2870A2"/>
    <w:rsid w:val="6D2C05E4"/>
    <w:rsid w:val="6D2D7633"/>
    <w:rsid w:val="6D2E7882"/>
    <w:rsid w:val="6D366556"/>
    <w:rsid w:val="6D38381A"/>
    <w:rsid w:val="6D3F705E"/>
    <w:rsid w:val="6D4103D4"/>
    <w:rsid w:val="6D4B1CB7"/>
    <w:rsid w:val="6D505EE9"/>
    <w:rsid w:val="6D543221"/>
    <w:rsid w:val="6D694D96"/>
    <w:rsid w:val="6D6B6608"/>
    <w:rsid w:val="6D6C51DE"/>
    <w:rsid w:val="6D752271"/>
    <w:rsid w:val="6D797689"/>
    <w:rsid w:val="6D7B11C3"/>
    <w:rsid w:val="6D832BA6"/>
    <w:rsid w:val="6D84466D"/>
    <w:rsid w:val="6D8454BB"/>
    <w:rsid w:val="6D853D22"/>
    <w:rsid w:val="6D8C2CF0"/>
    <w:rsid w:val="6D8D638A"/>
    <w:rsid w:val="6DA15F80"/>
    <w:rsid w:val="6DAB04CE"/>
    <w:rsid w:val="6DAB61A6"/>
    <w:rsid w:val="6DAD57D6"/>
    <w:rsid w:val="6DAE60A8"/>
    <w:rsid w:val="6DAE6FDF"/>
    <w:rsid w:val="6DB45A74"/>
    <w:rsid w:val="6DB776A3"/>
    <w:rsid w:val="6DC47043"/>
    <w:rsid w:val="6DD70355"/>
    <w:rsid w:val="6DDD73DB"/>
    <w:rsid w:val="6DEB07A8"/>
    <w:rsid w:val="6DEC220A"/>
    <w:rsid w:val="6DEC7A87"/>
    <w:rsid w:val="6DED502C"/>
    <w:rsid w:val="6DF80729"/>
    <w:rsid w:val="6DFB1D94"/>
    <w:rsid w:val="6E0531AE"/>
    <w:rsid w:val="6E084922"/>
    <w:rsid w:val="6E0B6C82"/>
    <w:rsid w:val="6E137637"/>
    <w:rsid w:val="6E22399B"/>
    <w:rsid w:val="6E3246A4"/>
    <w:rsid w:val="6E34520C"/>
    <w:rsid w:val="6E3941DE"/>
    <w:rsid w:val="6E3C03CE"/>
    <w:rsid w:val="6E433720"/>
    <w:rsid w:val="6E681BAE"/>
    <w:rsid w:val="6E6B0A8F"/>
    <w:rsid w:val="6E706EE5"/>
    <w:rsid w:val="6E7D4995"/>
    <w:rsid w:val="6E84579E"/>
    <w:rsid w:val="6E8617E4"/>
    <w:rsid w:val="6E882432"/>
    <w:rsid w:val="6E9721E7"/>
    <w:rsid w:val="6E9D728A"/>
    <w:rsid w:val="6EAD65EF"/>
    <w:rsid w:val="6EC81B93"/>
    <w:rsid w:val="6ECB1B80"/>
    <w:rsid w:val="6ECC70DB"/>
    <w:rsid w:val="6ED15B0D"/>
    <w:rsid w:val="6EE15EC1"/>
    <w:rsid w:val="6EE67A70"/>
    <w:rsid w:val="6EF35210"/>
    <w:rsid w:val="6F112BDF"/>
    <w:rsid w:val="6F156666"/>
    <w:rsid w:val="6F160C23"/>
    <w:rsid w:val="6F231B45"/>
    <w:rsid w:val="6F281EE2"/>
    <w:rsid w:val="6F2E39C6"/>
    <w:rsid w:val="6F2F6243"/>
    <w:rsid w:val="6F374840"/>
    <w:rsid w:val="6F4B3D9B"/>
    <w:rsid w:val="6F6E789A"/>
    <w:rsid w:val="6F7611B0"/>
    <w:rsid w:val="6F781F7E"/>
    <w:rsid w:val="6F7D2B40"/>
    <w:rsid w:val="6F7D5CD6"/>
    <w:rsid w:val="6F986450"/>
    <w:rsid w:val="6F9A5A94"/>
    <w:rsid w:val="6F9B50F8"/>
    <w:rsid w:val="6FA74786"/>
    <w:rsid w:val="6FAD405D"/>
    <w:rsid w:val="6FAE5D19"/>
    <w:rsid w:val="6FB06F8F"/>
    <w:rsid w:val="6FB976DA"/>
    <w:rsid w:val="6FBB2BDF"/>
    <w:rsid w:val="6FC4765D"/>
    <w:rsid w:val="6FC611B5"/>
    <w:rsid w:val="6FE824C1"/>
    <w:rsid w:val="6FED1AE6"/>
    <w:rsid w:val="6FEF2BBE"/>
    <w:rsid w:val="6FF706EC"/>
    <w:rsid w:val="6FF84FD9"/>
    <w:rsid w:val="700A203A"/>
    <w:rsid w:val="700A3E50"/>
    <w:rsid w:val="700F0746"/>
    <w:rsid w:val="70101B0A"/>
    <w:rsid w:val="70156A71"/>
    <w:rsid w:val="701870D3"/>
    <w:rsid w:val="70251ED3"/>
    <w:rsid w:val="702A3F13"/>
    <w:rsid w:val="702E0F71"/>
    <w:rsid w:val="703652DE"/>
    <w:rsid w:val="70403C2B"/>
    <w:rsid w:val="70420CD5"/>
    <w:rsid w:val="70481279"/>
    <w:rsid w:val="704B01D1"/>
    <w:rsid w:val="70500065"/>
    <w:rsid w:val="705818A2"/>
    <w:rsid w:val="705B0EC6"/>
    <w:rsid w:val="705F5AF4"/>
    <w:rsid w:val="707243F0"/>
    <w:rsid w:val="7073105C"/>
    <w:rsid w:val="708E11FE"/>
    <w:rsid w:val="709412C3"/>
    <w:rsid w:val="70952446"/>
    <w:rsid w:val="709C208B"/>
    <w:rsid w:val="70A347BD"/>
    <w:rsid w:val="70B25527"/>
    <w:rsid w:val="70B90555"/>
    <w:rsid w:val="70C25530"/>
    <w:rsid w:val="70C31F01"/>
    <w:rsid w:val="70CA1262"/>
    <w:rsid w:val="70E305C5"/>
    <w:rsid w:val="70E57944"/>
    <w:rsid w:val="70E71D90"/>
    <w:rsid w:val="70F01D72"/>
    <w:rsid w:val="71004EF1"/>
    <w:rsid w:val="710F19C6"/>
    <w:rsid w:val="71245F7C"/>
    <w:rsid w:val="713708D6"/>
    <w:rsid w:val="713F702F"/>
    <w:rsid w:val="714D613F"/>
    <w:rsid w:val="71506ACE"/>
    <w:rsid w:val="71545456"/>
    <w:rsid w:val="71614D81"/>
    <w:rsid w:val="71666D9E"/>
    <w:rsid w:val="716F1AC8"/>
    <w:rsid w:val="716F20AC"/>
    <w:rsid w:val="717A1AA8"/>
    <w:rsid w:val="71802930"/>
    <w:rsid w:val="718076BC"/>
    <w:rsid w:val="718445FD"/>
    <w:rsid w:val="71860BC1"/>
    <w:rsid w:val="71957488"/>
    <w:rsid w:val="719703C6"/>
    <w:rsid w:val="71A30C39"/>
    <w:rsid w:val="71B32A09"/>
    <w:rsid w:val="71B96475"/>
    <w:rsid w:val="71C258DF"/>
    <w:rsid w:val="71C40E57"/>
    <w:rsid w:val="71C97D25"/>
    <w:rsid w:val="71DE1BCB"/>
    <w:rsid w:val="71FE5870"/>
    <w:rsid w:val="720263F8"/>
    <w:rsid w:val="72050933"/>
    <w:rsid w:val="720917DA"/>
    <w:rsid w:val="72111391"/>
    <w:rsid w:val="721763A2"/>
    <w:rsid w:val="72226FE5"/>
    <w:rsid w:val="72317625"/>
    <w:rsid w:val="723C27BD"/>
    <w:rsid w:val="72442E30"/>
    <w:rsid w:val="72444124"/>
    <w:rsid w:val="72462FAD"/>
    <w:rsid w:val="724A1374"/>
    <w:rsid w:val="724C1DFD"/>
    <w:rsid w:val="725A6054"/>
    <w:rsid w:val="726570B3"/>
    <w:rsid w:val="727B555F"/>
    <w:rsid w:val="729B5526"/>
    <w:rsid w:val="72A56F1D"/>
    <w:rsid w:val="72C927FA"/>
    <w:rsid w:val="72D77E8D"/>
    <w:rsid w:val="72E303BC"/>
    <w:rsid w:val="72F27945"/>
    <w:rsid w:val="72F32E54"/>
    <w:rsid w:val="72F75724"/>
    <w:rsid w:val="72FF1A61"/>
    <w:rsid w:val="730B6D5D"/>
    <w:rsid w:val="73117477"/>
    <w:rsid w:val="73176F7E"/>
    <w:rsid w:val="73184A82"/>
    <w:rsid w:val="7318711B"/>
    <w:rsid w:val="73207FDB"/>
    <w:rsid w:val="732477AC"/>
    <w:rsid w:val="73326121"/>
    <w:rsid w:val="7333103D"/>
    <w:rsid w:val="73484442"/>
    <w:rsid w:val="734E1888"/>
    <w:rsid w:val="734F4A4A"/>
    <w:rsid w:val="73580548"/>
    <w:rsid w:val="735B5E41"/>
    <w:rsid w:val="735D72B3"/>
    <w:rsid w:val="736149CB"/>
    <w:rsid w:val="7363739B"/>
    <w:rsid w:val="73770F4A"/>
    <w:rsid w:val="737D4446"/>
    <w:rsid w:val="73836FC9"/>
    <w:rsid w:val="738C72E6"/>
    <w:rsid w:val="73955B94"/>
    <w:rsid w:val="73A46846"/>
    <w:rsid w:val="73A77DF2"/>
    <w:rsid w:val="73B15744"/>
    <w:rsid w:val="73B366B1"/>
    <w:rsid w:val="73B43E16"/>
    <w:rsid w:val="73B74255"/>
    <w:rsid w:val="73BE008B"/>
    <w:rsid w:val="73C6318A"/>
    <w:rsid w:val="73CA3D83"/>
    <w:rsid w:val="73D321C1"/>
    <w:rsid w:val="73D43C99"/>
    <w:rsid w:val="73DE7299"/>
    <w:rsid w:val="73EA4C02"/>
    <w:rsid w:val="73FE1020"/>
    <w:rsid w:val="740F3D36"/>
    <w:rsid w:val="74115EB5"/>
    <w:rsid w:val="742106C4"/>
    <w:rsid w:val="742929B8"/>
    <w:rsid w:val="743B5DE5"/>
    <w:rsid w:val="743D3DA6"/>
    <w:rsid w:val="744E5D05"/>
    <w:rsid w:val="745036D2"/>
    <w:rsid w:val="745159CA"/>
    <w:rsid w:val="74595C69"/>
    <w:rsid w:val="745C0649"/>
    <w:rsid w:val="745C65E3"/>
    <w:rsid w:val="746D07B8"/>
    <w:rsid w:val="747405C4"/>
    <w:rsid w:val="74792E69"/>
    <w:rsid w:val="747D7985"/>
    <w:rsid w:val="7489400A"/>
    <w:rsid w:val="748C1E3C"/>
    <w:rsid w:val="749661F3"/>
    <w:rsid w:val="74A548D6"/>
    <w:rsid w:val="74AA3573"/>
    <w:rsid w:val="74AE2F9D"/>
    <w:rsid w:val="74B34047"/>
    <w:rsid w:val="74C155CF"/>
    <w:rsid w:val="74C704CB"/>
    <w:rsid w:val="74CA6E7A"/>
    <w:rsid w:val="74E25C75"/>
    <w:rsid w:val="74E65659"/>
    <w:rsid w:val="74F03C71"/>
    <w:rsid w:val="74FB39A8"/>
    <w:rsid w:val="75046F66"/>
    <w:rsid w:val="75084ABC"/>
    <w:rsid w:val="751971DD"/>
    <w:rsid w:val="75272E3C"/>
    <w:rsid w:val="752A557A"/>
    <w:rsid w:val="752C288F"/>
    <w:rsid w:val="752F72EF"/>
    <w:rsid w:val="75302EE3"/>
    <w:rsid w:val="753A3D13"/>
    <w:rsid w:val="753C225D"/>
    <w:rsid w:val="753D1D5B"/>
    <w:rsid w:val="75440880"/>
    <w:rsid w:val="754450AC"/>
    <w:rsid w:val="754F05CE"/>
    <w:rsid w:val="75537176"/>
    <w:rsid w:val="755C2C1C"/>
    <w:rsid w:val="75787F6A"/>
    <w:rsid w:val="757A3018"/>
    <w:rsid w:val="758B6161"/>
    <w:rsid w:val="758D24E2"/>
    <w:rsid w:val="75920B93"/>
    <w:rsid w:val="759239C6"/>
    <w:rsid w:val="759B573D"/>
    <w:rsid w:val="759D195D"/>
    <w:rsid w:val="75A64209"/>
    <w:rsid w:val="75AE125F"/>
    <w:rsid w:val="75B56B94"/>
    <w:rsid w:val="75BE0441"/>
    <w:rsid w:val="75BE7886"/>
    <w:rsid w:val="75BF2B97"/>
    <w:rsid w:val="75D70767"/>
    <w:rsid w:val="75D877CD"/>
    <w:rsid w:val="75D91AFB"/>
    <w:rsid w:val="75DC5F7F"/>
    <w:rsid w:val="75DD4DBA"/>
    <w:rsid w:val="75E74549"/>
    <w:rsid w:val="75EB4F45"/>
    <w:rsid w:val="75F35D5E"/>
    <w:rsid w:val="75FC5549"/>
    <w:rsid w:val="75FF54AA"/>
    <w:rsid w:val="760F4C2C"/>
    <w:rsid w:val="76101135"/>
    <w:rsid w:val="76212EDE"/>
    <w:rsid w:val="763A244F"/>
    <w:rsid w:val="763C3F79"/>
    <w:rsid w:val="76403350"/>
    <w:rsid w:val="76482461"/>
    <w:rsid w:val="76482A42"/>
    <w:rsid w:val="764F2FFD"/>
    <w:rsid w:val="765417A9"/>
    <w:rsid w:val="7662598F"/>
    <w:rsid w:val="766C7D9D"/>
    <w:rsid w:val="767C1C9C"/>
    <w:rsid w:val="767C267C"/>
    <w:rsid w:val="767E09C4"/>
    <w:rsid w:val="7687331B"/>
    <w:rsid w:val="7691496A"/>
    <w:rsid w:val="769218C9"/>
    <w:rsid w:val="769E469E"/>
    <w:rsid w:val="76A01B45"/>
    <w:rsid w:val="76A44EAF"/>
    <w:rsid w:val="76A92184"/>
    <w:rsid w:val="76AF6469"/>
    <w:rsid w:val="76BA1E5C"/>
    <w:rsid w:val="76BC3217"/>
    <w:rsid w:val="76BC5EB5"/>
    <w:rsid w:val="76C04C53"/>
    <w:rsid w:val="76C40E69"/>
    <w:rsid w:val="76C7009C"/>
    <w:rsid w:val="76D2150F"/>
    <w:rsid w:val="76DE1054"/>
    <w:rsid w:val="76E7191D"/>
    <w:rsid w:val="76E71C32"/>
    <w:rsid w:val="76F721BC"/>
    <w:rsid w:val="76FC0452"/>
    <w:rsid w:val="76FD50F2"/>
    <w:rsid w:val="77032516"/>
    <w:rsid w:val="771632BC"/>
    <w:rsid w:val="77220409"/>
    <w:rsid w:val="77440BF9"/>
    <w:rsid w:val="77442876"/>
    <w:rsid w:val="774E72EA"/>
    <w:rsid w:val="77531B51"/>
    <w:rsid w:val="77541E09"/>
    <w:rsid w:val="776759E7"/>
    <w:rsid w:val="776B4129"/>
    <w:rsid w:val="776B44D0"/>
    <w:rsid w:val="776B51D1"/>
    <w:rsid w:val="777E2DC5"/>
    <w:rsid w:val="778808DE"/>
    <w:rsid w:val="77882159"/>
    <w:rsid w:val="778E3523"/>
    <w:rsid w:val="779470A2"/>
    <w:rsid w:val="779563B3"/>
    <w:rsid w:val="77A54CCA"/>
    <w:rsid w:val="77B75588"/>
    <w:rsid w:val="77C06EBE"/>
    <w:rsid w:val="77CE7E43"/>
    <w:rsid w:val="77D84986"/>
    <w:rsid w:val="77DA5605"/>
    <w:rsid w:val="77E55771"/>
    <w:rsid w:val="77E84382"/>
    <w:rsid w:val="78086831"/>
    <w:rsid w:val="78143509"/>
    <w:rsid w:val="781C2632"/>
    <w:rsid w:val="78281F82"/>
    <w:rsid w:val="782F7AC0"/>
    <w:rsid w:val="78305288"/>
    <w:rsid w:val="78306311"/>
    <w:rsid w:val="783C76C6"/>
    <w:rsid w:val="783F2EC5"/>
    <w:rsid w:val="78474734"/>
    <w:rsid w:val="784E5280"/>
    <w:rsid w:val="785117B0"/>
    <w:rsid w:val="785402CC"/>
    <w:rsid w:val="7854751E"/>
    <w:rsid w:val="78593287"/>
    <w:rsid w:val="785B09DF"/>
    <w:rsid w:val="78794152"/>
    <w:rsid w:val="788A27B3"/>
    <w:rsid w:val="788E0BF6"/>
    <w:rsid w:val="78912785"/>
    <w:rsid w:val="78960D63"/>
    <w:rsid w:val="78992E9D"/>
    <w:rsid w:val="789D6B11"/>
    <w:rsid w:val="789F3B9F"/>
    <w:rsid w:val="78A071F7"/>
    <w:rsid w:val="78A66D20"/>
    <w:rsid w:val="78C02EB5"/>
    <w:rsid w:val="78C155D3"/>
    <w:rsid w:val="78C80AF2"/>
    <w:rsid w:val="78CA38D3"/>
    <w:rsid w:val="78E619D5"/>
    <w:rsid w:val="78EB6DF2"/>
    <w:rsid w:val="78F514A8"/>
    <w:rsid w:val="790717DA"/>
    <w:rsid w:val="79076C9E"/>
    <w:rsid w:val="791A0B3D"/>
    <w:rsid w:val="791E4B57"/>
    <w:rsid w:val="79213294"/>
    <w:rsid w:val="793F73D5"/>
    <w:rsid w:val="794D7A0C"/>
    <w:rsid w:val="794F0814"/>
    <w:rsid w:val="7955789D"/>
    <w:rsid w:val="79596917"/>
    <w:rsid w:val="796B5923"/>
    <w:rsid w:val="796B6E5C"/>
    <w:rsid w:val="79783266"/>
    <w:rsid w:val="797D1463"/>
    <w:rsid w:val="797D5260"/>
    <w:rsid w:val="797E5305"/>
    <w:rsid w:val="79807457"/>
    <w:rsid w:val="798C3C5F"/>
    <w:rsid w:val="79A17E13"/>
    <w:rsid w:val="79AB283F"/>
    <w:rsid w:val="79AB5E01"/>
    <w:rsid w:val="79AE5696"/>
    <w:rsid w:val="79BD7B61"/>
    <w:rsid w:val="79CF68C5"/>
    <w:rsid w:val="79D8761D"/>
    <w:rsid w:val="79DC3D9F"/>
    <w:rsid w:val="79E26AAF"/>
    <w:rsid w:val="79EC32FB"/>
    <w:rsid w:val="79F24F21"/>
    <w:rsid w:val="79FB37D0"/>
    <w:rsid w:val="7A0151AA"/>
    <w:rsid w:val="7A032359"/>
    <w:rsid w:val="7A090955"/>
    <w:rsid w:val="7A105EED"/>
    <w:rsid w:val="7A10603C"/>
    <w:rsid w:val="7A1066C7"/>
    <w:rsid w:val="7A180BDA"/>
    <w:rsid w:val="7A19580E"/>
    <w:rsid w:val="7A1D1D3B"/>
    <w:rsid w:val="7A2658D0"/>
    <w:rsid w:val="7A3912E7"/>
    <w:rsid w:val="7A3E5490"/>
    <w:rsid w:val="7A481613"/>
    <w:rsid w:val="7A587CC0"/>
    <w:rsid w:val="7A5A6682"/>
    <w:rsid w:val="7A6B4907"/>
    <w:rsid w:val="7A6D7D9D"/>
    <w:rsid w:val="7A710BD7"/>
    <w:rsid w:val="7A7A1053"/>
    <w:rsid w:val="7A8A22E2"/>
    <w:rsid w:val="7A8D5BBF"/>
    <w:rsid w:val="7AA21FBF"/>
    <w:rsid w:val="7AA77583"/>
    <w:rsid w:val="7AA95FB1"/>
    <w:rsid w:val="7AAE2CC5"/>
    <w:rsid w:val="7AB951F5"/>
    <w:rsid w:val="7ABA5FCF"/>
    <w:rsid w:val="7ACE5DF9"/>
    <w:rsid w:val="7AD05FBE"/>
    <w:rsid w:val="7AD83181"/>
    <w:rsid w:val="7ADA3941"/>
    <w:rsid w:val="7AE316A8"/>
    <w:rsid w:val="7AF25C0C"/>
    <w:rsid w:val="7AF31707"/>
    <w:rsid w:val="7AF504E7"/>
    <w:rsid w:val="7AF6201F"/>
    <w:rsid w:val="7B0309EA"/>
    <w:rsid w:val="7B0B5D84"/>
    <w:rsid w:val="7B0E7B11"/>
    <w:rsid w:val="7B126A09"/>
    <w:rsid w:val="7B1A6211"/>
    <w:rsid w:val="7B2B620D"/>
    <w:rsid w:val="7B3330E9"/>
    <w:rsid w:val="7B3B2ED7"/>
    <w:rsid w:val="7B3F6DC2"/>
    <w:rsid w:val="7B466224"/>
    <w:rsid w:val="7B47228F"/>
    <w:rsid w:val="7B5853BF"/>
    <w:rsid w:val="7B5B0403"/>
    <w:rsid w:val="7B5B61C4"/>
    <w:rsid w:val="7B622754"/>
    <w:rsid w:val="7B6D1AA8"/>
    <w:rsid w:val="7B844BC3"/>
    <w:rsid w:val="7B8613BA"/>
    <w:rsid w:val="7B932670"/>
    <w:rsid w:val="7B9C1DC5"/>
    <w:rsid w:val="7BAD2741"/>
    <w:rsid w:val="7BAE0AC4"/>
    <w:rsid w:val="7BAE5B29"/>
    <w:rsid w:val="7BAE60A5"/>
    <w:rsid w:val="7BAF2E9D"/>
    <w:rsid w:val="7BB21066"/>
    <w:rsid w:val="7BC7529A"/>
    <w:rsid w:val="7BCE16E2"/>
    <w:rsid w:val="7BD156E7"/>
    <w:rsid w:val="7BD51756"/>
    <w:rsid w:val="7BD82650"/>
    <w:rsid w:val="7BE36EFC"/>
    <w:rsid w:val="7BEE1F1B"/>
    <w:rsid w:val="7BF019F3"/>
    <w:rsid w:val="7BF072BD"/>
    <w:rsid w:val="7BF523ED"/>
    <w:rsid w:val="7BFF0463"/>
    <w:rsid w:val="7C00152C"/>
    <w:rsid w:val="7C006225"/>
    <w:rsid w:val="7C08250D"/>
    <w:rsid w:val="7C1C1517"/>
    <w:rsid w:val="7C2206F4"/>
    <w:rsid w:val="7C230B73"/>
    <w:rsid w:val="7C2837C4"/>
    <w:rsid w:val="7C3445B4"/>
    <w:rsid w:val="7C382D24"/>
    <w:rsid w:val="7C3D0DE2"/>
    <w:rsid w:val="7C3F595C"/>
    <w:rsid w:val="7C403D85"/>
    <w:rsid w:val="7C4C410F"/>
    <w:rsid w:val="7C4D6FF8"/>
    <w:rsid w:val="7C5C6012"/>
    <w:rsid w:val="7C5C6D8A"/>
    <w:rsid w:val="7C650AB8"/>
    <w:rsid w:val="7C765D07"/>
    <w:rsid w:val="7C8A12A7"/>
    <w:rsid w:val="7C915B6C"/>
    <w:rsid w:val="7C96206C"/>
    <w:rsid w:val="7C9C433A"/>
    <w:rsid w:val="7CA1618E"/>
    <w:rsid w:val="7CA43902"/>
    <w:rsid w:val="7CA56CD0"/>
    <w:rsid w:val="7CAD44B9"/>
    <w:rsid w:val="7CC07FA2"/>
    <w:rsid w:val="7CD60E3F"/>
    <w:rsid w:val="7CE3378D"/>
    <w:rsid w:val="7CEA6BB6"/>
    <w:rsid w:val="7CEB5252"/>
    <w:rsid w:val="7CF25D0C"/>
    <w:rsid w:val="7CF4529E"/>
    <w:rsid w:val="7D023497"/>
    <w:rsid w:val="7D0338A2"/>
    <w:rsid w:val="7D0C2EC6"/>
    <w:rsid w:val="7D0D4239"/>
    <w:rsid w:val="7D121E63"/>
    <w:rsid w:val="7D1B3CD3"/>
    <w:rsid w:val="7D2A580B"/>
    <w:rsid w:val="7D4C428D"/>
    <w:rsid w:val="7D4C5540"/>
    <w:rsid w:val="7D6213D1"/>
    <w:rsid w:val="7D682CF3"/>
    <w:rsid w:val="7D7A2CA9"/>
    <w:rsid w:val="7D7E2891"/>
    <w:rsid w:val="7D881EB0"/>
    <w:rsid w:val="7D8A4EC4"/>
    <w:rsid w:val="7D8B38D3"/>
    <w:rsid w:val="7DA01FA7"/>
    <w:rsid w:val="7DA51726"/>
    <w:rsid w:val="7DB05EDA"/>
    <w:rsid w:val="7DB51A26"/>
    <w:rsid w:val="7DB54A75"/>
    <w:rsid w:val="7DB57406"/>
    <w:rsid w:val="7DBE55C7"/>
    <w:rsid w:val="7DCE76EF"/>
    <w:rsid w:val="7DE07BC5"/>
    <w:rsid w:val="7DEF14EA"/>
    <w:rsid w:val="7DF01335"/>
    <w:rsid w:val="7DF77D9F"/>
    <w:rsid w:val="7DF94A62"/>
    <w:rsid w:val="7DFF2CDF"/>
    <w:rsid w:val="7E08523C"/>
    <w:rsid w:val="7E1512B7"/>
    <w:rsid w:val="7E1A3DE0"/>
    <w:rsid w:val="7E1B21CE"/>
    <w:rsid w:val="7E2214AB"/>
    <w:rsid w:val="7E223A49"/>
    <w:rsid w:val="7E2631B5"/>
    <w:rsid w:val="7E3D4165"/>
    <w:rsid w:val="7E4258D5"/>
    <w:rsid w:val="7E4D5AD4"/>
    <w:rsid w:val="7E62252C"/>
    <w:rsid w:val="7E6F48E6"/>
    <w:rsid w:val="7E866BAB"/>
    <w:rsid w:val="7E8828B6"/>
    <w:rsid w:val="7E8D1018"/>
    <w:rsid w:val="7E8E0ABD"/>
    <w:rsid w:val="7E9539A8"/>
    <w:rsid w:val="7E953AD7"/>
    <w:rsid w:val="7E9B4D7D"/>
    <w:rsid w:val="7EA33800"/>
    <w:rsid w:val="7EBB3875"/>
    <w:rsid w:val="7EC7614A"/>
    <w:rsid w:val="7EC9558A"/>
    <w:rsid w:val="7ECB515F"/>
    <w:rsid w:val="7EEC7656"/>
    <w:rsid w:val="7EED1AB8"/>
    <w:rsid w:val="7EF2100E"/>
    <w:rsid w:val="7EF330BE"/>
    <w:rsid w:val="7EFB2368"/>
    <w:rsid w:val="7EFE61A6"/>
    <w:rsid w:val="7F025CF2"/>
    <w:rsid w:val="7F265F57"/>
    <w:rsid w:val="7F3B3E92"/>
    <w:rsid w:val="7F45199A"/>
    <w:rsid w:val="7F477001"/>
    <w:rsid w:val="7F5157C6"/>
    <w:rsid w:val="7F524F8D"/>
    <w:rsid w:val="7F59140C"/>
    <w:rsid w:val="7F5A0CB7"/>
    <w:rsid w:val="7F62261D"/>
    <w:rsid w:val="7F67434A"/>
    <w:rsid w:val="7F677C0A"/>
    <w:rsid w:val="7F6846A0"/>
    <w:rsid w:val="7F737F5B"/>
    <w:rsid w:val="7F750062"/>
    <w:rsid w:val="7F770E62"/>
    <w:rsid w:val="7F7A0C66"/>
    <w:rsid w:val="7F7A14D0"/>
    <w:rsid w:val="7F81207B"/>
    <w:rsid w:val="7F860AF3"/>
    <w:rsid w:val="7F965C77"/>
    <w:rsid w:val="7F984003"/>
    <w:rsid w:val="7FA521FE"/>
    <w:rsid w:val="7FA67BDA"/>
    <w:rsid w:val="7FB62CE0"/>
    <w:rsid w:val="7FC640CB"/>
    <w:rsid w:val="7FCF3C52"/>
    <w:rsid w:val="7FDE135B"/>
    <w:rsid w:val="7FE732F5"/>
    <w:rsid w:val="7FFA19B9"/>
    <w:rsid w:val="7FFA7791"/>
    <w:rsid w:val="7FFD060B"/>
    <w:rsid w:val="7FFE7E32"/>
    <w:rsid w:val="7FFF196A"/>
    <w:rsid w:val="ECDB3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outlineLvl w:val="1"/>
    </w:pPr>
    <w:rPr>
      <w:rFonts w:eastAsia="黑体" w:cs="宋体"/>
    </w:rPr>
  </w:style>
  <w:style w:type="paragraph" w:styleId="4">
    <w:name w:val="heading 3"/>
    <w:basedOn w:val="1"/>
    <w:next w:val="1"/>
    <w:qFormat/>
    <w:uiPriority w:val="0"/>
    <w:pPr>
      <w:keepNext/>
      <w:keepLines/>
      <w:autoSpaceDE w:val="0"/>
      <w:autoSpaceDN w:val="0"/>
      <w:textAlignment w:val="baseline"/>
      <w:outlineLvl w:val="2"/>
    </w:pPr>
    <w:rPr>
      <w:b/>
      <w:szCs w:val="20"/>
    </w:rPr>
  </w:style>
  <w:style w:type="paragraph" w:styleId="5">
    <w:name w:val="heading 4"/>
    <w:basedOn w:val="1"/>
    <w:next w:val="1"/>
    <w:link w:val="37"/>
    <w:qFormat/>
    <w:uiPriority w:val="0"/>
    <w:pPr>
      <w:outlineLvl w:val="3"/>
    </w:pPr>
    <w:rPr>
      <w:rFonts w:cs="宋体"/>
      <w:b/>
    </w:rPr>
  </w:style>
  <w:style w:type="paragraph" w:styleId="6">
    <w:name w:val="heading 5"/>
    <w:basedOn w:val="5"/>
    <w:next w:val="1"/>
    <w:qFormat/>
    <w:uiPriority w:val="0"/>
    <w:pPr>
      <w:jc w:val="center"/>
      <w:outlineLvl w:val="4"/>
    </w:pPr>
  </w:style>
  <w:style w:type="paragraph" w:styleId="7">
    <w:name w:val="heading 6"/>
    <w:basedOn w:val="6"/>
    <w:next w:val="1"/>
    <w:qFormat/>
    <w:uiPriority w:val="0"/>
    <w:pPr>
      <w:outlineLvl w:val="5"/>
    </w:pPr>
  </w:style>
  <w:style w:type="paragraph" w:styleId="8">
    <w:name w:val="heading 7"/>
    <w:basedOn w:val="7"/>
    <w:next w:val="1"/>
    <w:qFormat/>
    <w:uiPriority w:val="0"/>
    <w:pPr>
      <w:outlineLvl w:val="6"/>
    </w:pPr>
    <w:rPr>
      <w:b w:val="0"/>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5"/>
    <w:qFormat/>
    <w:uiPriority w:val="99"/>
    <w:pPr>
      <w:ind w:firstLine="420"/>
    </w:pPr>
  </w:style>
  <w:style w:type="paragraph" w:styleId="10">
    <w:name w:val="caption"/>
    <w:basedOn w:val="1"/>
    <w:next w:val="1"/>
    <w:unhideWhenUsed/>
    <w:qFormat/>
    <w:uiPriority w:val="35"/>
    <w:rPr>
      <w:rFonts w:ascii="Calibri Light" w:hAnsi="Calibri Light" w:eastAsia="黑体"/>
      <w:sz w:val="20"/>
      <w:szCs w:val="20"/>
    </w:rPr>
  </w:style>
  <w:style w:type="paragraph" w:styleId="11">
    <w:name w:val="toa heading"/>
    <w:basedOn w:val="1"/>
    <w:next w:val="1"/>
    <w:qFormat/>
    <w:uiPriority w:val="0"/>
    <w:pPr>
      <w:spacing w:before="120"/>
    </w:pPr>
    <w:rPr>
      <w:rFonts w:ascii="Arial" w:hAnsi="Arial" w:cs="Arial" w:eastAsiaTheme="minorEastAsia"/>
    </w:rPr>
  </w:style>
  <w:style w:type="paragraph" w:styleId="12">
    <w:name w:val="annotation text"/>
    <w:basedOn w:val="1"/>
    <w:link w:val="38"/>
    <w:qFormat/>
    <w:uiPriority w:val="99"/>
    <w:pPr>
      <w:jc w:val="left"/>
    </w:pPr>
  </w:style>
  <w:style w:type="paragraph" w:styleId="13">
    <w:name w:val="Body Text"/>
    <w:basedOn w:val="1"/>
    <w:next w:val="14"/>
    <w:qFormat/>
    <w:uiPriority w:val="0"/>
    <w:pPr>
      <w:spacing w:after="120"/>
    </w:pPr>
    <w:rPr>
      <w:rFonts w:ascii="Calibri" w:hAnsi="Calibri"/>
    </w:rPr>
  </w:style>
  <w:style w:type="paragraph" w:styleId="14">
    <w:name w:val="List Bullet 5"/>
    <w:basedOn w:val="1"/>
    <w:qFormat/>
    <w:uiPriority w:val="0"/>
    <w:pPr>
      <w:numPr>
        <w:ilvl w:val="0"/>
        <w:numId w:val="1"/>
      </w:numPr>
    </w:pPr>
  </w:style>
  <w:style w:type="paragraph" w:styleId="15">
    <w:name w:val="Body Text Indent"/>
    <w:basedOn w:val="1"/>
    <w:next w:val="16"/>
    <w:link w:val="40"/>
    <w:qFormat/>
    <w:uiPriority w:val="0"/>
    <w:pPr>
      <w:spacing w:after="120"/>
      <w:ind w:left="420" w:leftChars="200"/>
    </w:pPr>
  </w:style>
  <w:style w:type="paragraph" w:styleId="16">
    <w:name w:val="header"/>
    <w:basedOn w:val="1"/>
    <w:next w:val="1"/>
    <w:link w:val="39"/>
    <w:qFormat/>
    <w:uiPriority w:val="99"/>
    <w:pPr>
      <w:pBdr>
        <w:bottom w:val="single" w:color="auto" w:sz="6" w:space="1"/>
      </w:pBdr>
      <w:tabs>
        <w:tab w:val="center" w:pos="4153"/>
        <w:tab w:val="right" w:pos="8306"/>
      </w:tabs>
      <w:snapToGrid w:val="0"/>
      <w:jc w:val="center"/>
    </w:pPr>
    <w:rPr>
      <w:sz w:val="18"/>
      <w:szCs w:val="18"/>
    </w:rPr>
  </w:style>
  <w:style w:type="paragraph" w:styleId="17">
    <w:name w:val="Block Text"/>
    <w:basedOn w:val="1"/>
    <w:qFormat/>
    <w:uiPriority w:val="0"/>
    <w:pPr>
      <w:spacing w:line="500" w:lineRule="exact"/>
      <w:ind w:left="420" w:right="340" w:firstLine="570"/>
    </w:pPr>
    <w:rPr>
      <w:rFonts w:ascii="宋体"/>
      <w:sz w:val="28"/>
      <w:szCs w:val="20"/>
    </w:rPr>
  </w:style>
  <w:style w:type="paragraph" w:styleId="18">
    <w:name w:val="Plain Text"/>
    <w:basedOn w:val="1"/>
    <w:link w:val="41"/>
    <w:qFormat/>
    <w:uiPriority w:val="0"/>
    <w:rPr>
      <w:rFonts w:ascii="宋体" w:hAnsi="Courier New" w:eastAsia="等线"/>
      <w:szCs w:val="20"/>
    </w:rPr>
  </w:style>
  <w:style w:type="paragraph" w:styleId="19">
    <w:name w:val="toc 8"/>
    <w:basedOn w:val="1"/>
    <w:next w:val="1"/>
    <w:qFormat/>
    <w:uiPriority w:val="39"/>
    <w:pPr>
      <w:spacing w:line="500" w:lineRule="exact"/>
      <w:ind w:left="1680"/>
      <w:jc w:val="left"/>
    </w:pPr>
    <w:rPr>
      <w:sz w:val="18"/>
      <w:szCs w:val="18"/>
    </w:rPr>
  </w:style>
  <w:style w:type="paragraph" w:styleId="20">
    <w:name w:val="Date"/>
    <w:basedOn w:val="1"/>
    <w:next w:val="1"/>
    <w:link w:val="42"/>
    <w:qFormat/>
    <w:uiPriority w:val="0"/>
    <w:rPr>
      <w:rFonts w:ascii="Calibri" w:hAnsi="Calibri" w:eastAsiaTheme="minorEastAsia"/>
      <w:sz w:val="28"/>
      <w:szCs w:val="20"/>
    </w:rPr>
  </w:style>
  <w:style w:type="paragraph" w:styleId="21">
    <w:name w:val="Body Text Indent 2"/>
    <w:basedOn w:val="1"/>
    <w:next w:val="1"/>
    <w:qFormat/>
    <w:uiPriority w:val="0"/>
    <w:pPr>
      <w:ind w:firstLine="560"/>
    </w:pPr>
    <w:rPr>
      <w:rFonts w:ascii="宋体" w:hAnsi="宋体"/>
      <w:sz w:val="28"/>
      <w:szCs w:val="20"/>
    </w:rPr>
  </w:style>
  <w:style w:type="paragraph" w:styleId="22">
    <w:name w:val="Balloon Text"/>
    <w:basedOn w:val="1"/>
    <w:link w:val="43"/>
    <w:qFormat/>
    <w:uiPriority w:val="0"/>
    <w:rPr>
      <w:rFonts w:ascii="Calibri" w:hAnsi="Calibri" w:eastAsia="等线"/>
      <w:sz w:val="18"/>
      <w:szCs w:val="18"/>
    </w:rPr>
  </w:style>
  <w:style w:type="paragraph" w:styleId="23">
    <w:name w:val="footer"/>
    <w:basedOn w:val="1"/>
    <w:link w:val="44"/>
    <w:qFormat/>
    <w:uiPriority w:val="99"/>
    <w:pPr>
      <w:tabs>
        <w:tab w:val="center" w:pos="4153"/>
        <w:tab w:val="right" w:pos="8306"/>
      </w:tabs>
      <w:snapToGrid w:val="0"/>
      <w:jc w:val="left"/>
    </w:pPr>
    <w:rPr>
      <w:sz w:val="18"/>
      <w:szCs w:val="18"/>
    </w:rPr>
  </w:style>
  <w:style w:type="paragraph" w:styleId="24">
    <w:name w:val="toc 1"/>
    <w:basedOn w:val="1"/>
    <w:next w:val="1"/>
    <w:qFormat/>
    <w:uiPriority w:val="39"/>
  </w:style>
  <w:style w:type="paragraph" w:styleId="25">
    <w:name w:val="table of figures"/>
    <w:basedOn w:val="1"/>
    <w:next w:val="1"/>
    <w:qFormat/>
    <w:uiPriority w:val="0"/>
    <w:pPr>
      <w:ind w:left="420" w:hanging="420"/>
      <w:jc w:val="left"/>
    </w:pPr>
    <w:rPr>
      <w:smallCaps/>
      <w:sz w:val="20"/>
      <w:szCs w:val="20"/>
    </w:rPr>
  </w:style>
  <w:style w:type="paragraph" w:styleId="26">
    <w:name w:val="Normal (Web)"/>
    <w:basedOn w:val="1"/>
    <w:link w:val="45"/>
    <w:qFormat/>
    <w:uiPriority w:val="0"/>
    <w:pPr>
      <w:widowControl/>
      <w:spacing w:before="100" w:beforeAutospacing="1" w:after="100" w:afterAutospacing="1"/>
      <w:jc w:val="left"/>
    </w:pPr>
    <w:rPr>
      <w:rFonts w:ascii="宋体" w:hAnsi="宋体"/>
      <w:kern w:val="0"/>
    </w:rPr>
  </w:style>
  <w:style w:type="paragraph" w:styleId="27">
    <w:name w:val="annotation subject"/>
    <w:basedOn w:val="12"/>
    <w:next w:val="12"/>
    <w:link w:val="46"/>
    <w:qFormat/>
    <w:uiPriority w:val="0"/>
    <w:rPr>
      <w:b/>
      <w:bCs/>
    </w:rPr>
  </w:style>
  <w:style w:type="paragraph" w:styleId="28">
    <w:name w:val="Body Text First Indent"/>
    <w:basedOn w:val="13"/>
    <w:qFormat/>
    <w:uiPriority w:val="99"/>
    <w:pPr>
      <w:ind w:firstLine="420" w:firstLineChars="100"/>
    </w:pPr>
    <w:rPr>
      <w:rFonts w:ascii="Times New Roman" w:hAnsi="Times New Roman"/>
      <w:sz w:val="21"/>
    </w:rPr>
  </w:style>
  <w:style w:type="paragraph" w:styleId="29">
    <w:name w:val="Body Text First Indent 2"/>
    <w:basedOn w:val="15"/>
    <w:qFormat/>
    <w:uiPriority w:val="0"/>
    <w:pPr>
      <w:spacing w:line="240" w:lineRule="auto"/>
      <w:ind w:firstLine="200"/>
    </w:pPr>
    <w:rPr>
      <w:sz w:val="21"/>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0"/>
    <w:rPr>
      <w:b/>
    </w:rPr>
  </w:style>
  <w:style w:type="character" w:styleId="34">
    <w:name w:val="page number"/>
    <w:basedOn w:val="32"/>
    <w:qFormat/>
    <w:uiPriority w:val="0"/>
  </w:style>
  <w:style w:type="character" w:styleId="35">
    <w:name w:val="Hyperlink"/>
    <w:basedOn w:val="32"/>
    <w:unhideWhenUsed/>
    <w:qFormat/>
    <w:uiPriority w:val="99"/>
    <w:rPr>
      <w:color w:val="0563C1" w:themeColor="hyperlink"/>
      <w:u w:val="single"/>
      <w14:textFill>
        <w14:solidFill>
          <w14:schemeClr w14:val="hlink"/>
        </w14:solidFill>
      </w14:textFill>
    </w:rPr>
  </w:style>
  <w:style w:type="character" w:styleId="36">
    <w:name w:val="annotation reference"/>
    <w:basedOn w:val="32"/>
    <w:qFormat/>
    <w:uiPriority w:val="0"/>
    <w:rPr>
      <w:sz w:val="21"/>
      <w:szCs w:val="21"/>
    </w:rPr>
  </w:style>
  <w:style w:type="character" w:customStyle="1" w:styleId="37">
    <w:name w:val="标题 4 字符"/>
    <w:link w:val="5"/>
    <w:qFormat/>
    <w:uiPriority w:val="0"/>
    <w:rPr>
      <w:rFonts w:cs="宋体"/>
      <w:b/>
      <w:szCs w:val="24"/>
    </w:rPr>
  </w:style>
  <w:style w:type="character" w:customStyle="1" w:styleId="38">
    <w:name w:val="批注文字 字符"/>
    <w:basedOn w:val="32"/>
    <w:link w:val="12"/>
    <w:qFormat/>
    <w:uiPriority w:val="99"/>
    <w:rPr>
      <w:kern w:val="2"/>
      <w:sz w:val="21"/>
      <w:szCs w:val="24"/>
    </w:rPr>
  </w:style>
  <w:style w:type="character" w:customStyle="1" w:styleId="39">
    <w:name w:val="页眉 字符"/>
    <w:basedOn w:val="32"/>
    <w:link w:val="16"/>
    <w:qFormat/>
    <w:uiPriority w:val="99"/>
    <w:rPr>
      <w:kern w:val="2"/>
      <w:sz w:val="18"/>
      <w:szCs w:val="18"/>
    </w:rPr>
  </w:style>
  <w:style w:type="character" w:customStyle="1" w:styleId="40">
    <w:name w:val="正文文本缩进 字符"/>
    <w:basedOn w:val="32"/>
    <w:link w:val="15"/>
    <w:qFormat/>
    <w:uiPriority w:val="0"/>
    <w:rPr>
      <w:kern w:val="2"/>
      <w:sz w:val="21"/>
      <w:szCs w:val="24"/>
    </w:rPr>
  </w:style>
  <w:style w:type="character" w:customStyle="1" w:styleId="41">
    <w:name w:val="纯文本 字符"/>
    <w:basedOn w:val="32"/>
    <w:link w:val="18"/>
    <w:qFormat/>
    <w:uiPriority w:val="0"/>
    <w:rPr>
      <w:rFonts w:ascii="宋体" w:hAnsi="Courier New" w:eastAsia="等线"/>
      <w:kern w:val="2"/>
      <w:sz w:val="21"/>
    </w:rPr>
  </w:style>
  <w:style w:type="character" w:customStyle="1" w:styleId="42">
    <w:name w:val="日期 字符"/>
    <w:basedOn w:val="32"/>
    <w:link w:val="20"/>
    <w:qFormat/>
    <w:uiPriority w:val="0"/>
    <w:rPr>
      <w:rFonts w:ascii="Calibri" w:hAnsi="Calibri" w:eastAsiaTheme="minorEastAsia"/>
      <w:kern w:val="2"/>
      <w:sz w:val="28"/>
    </w:rPr>
  </w:style>
  <w:style w:type="character" w:customStyle="1" w:styleId="43">
    <w:name w:val="批注框文本 字符"/>
    <w:basedOn w:val="32"/>
    <w:link w:val="22"/>
    <w:qFormat/>
    <w:uiPriority w:val="0"/>
    <w:rPr>
      <w:rFonts w:ascii="Calibri" w:hAnsi="Calibri" w:eastAsia="等线"/>
      <w:kern w:val="2"/>
      <w:sz w:val="18"/>
      <w:szCs w:val="18"/>
    </w:rPr>
  </w:style>
  <w:style w:type="character" w:customStyle="1" w:styleId="44">
    <w:name w:val="页脚 字符"/>
    <w:basedOn w:val="32"/>
    <w:link w:val="23"/>
    <w:qFormat/>
    <w:uiPriority w:val="99"/>
    <w:rPr>
      <w:kern w:val="2"/>
      <w:sz w:val="18"/>
      <w:szCs w:val="18"/>
    </w:rPr>
  </w:style>
  <w:style w:type="character" w:customStyle="1" w:styleId="45">
    <w:name w:val="普通(网站) 字符"/>
    <w:link w:val="26"/>
    <w:qFormat/>
    <w:uiPriority w:val="0"/>
    <w:rPr>
      <w:rFonts w:ascii="宋体" w:hAnsi="宋体"/>
      <w:sz w:val="24"/>
      <w:szCs w:val="24"/>
    </w:rPr>
  </w:style>
  <w:style w:type="character" w:customStyle="1" w:styleId="46">
    <w:name w:val="批注主题 字符"/>
    <w:basedOn w:val="38"/>
    <w:link w:val="27"/>
    <w:qFormat/>
    <w:uiPriority w:val="0"/>
    <w:rPr>
      <w:b/>
      <w:bCs/>
      <w:kern w:val="2"/>
      <w:sz w:val="21"/>
      <w:szCs w:val="24"/>
    </w:rPr>
  </w:style>
  <w:style w:type="paragraph" w:customStyle="1" w:styleId="47">
    <w:name w:val="Default"/>
    <w:next w:val="1"/>
    <w:qFormat/>
    <w:uiPriority w:val="0"/>
    <w:pPr>
      <w:widowControl w:val="0"/>
      <w:autoSpaceDE w:val="0"/>
      <w:autoSpaceDN w:val="0"/>
      <w:adjustRightInd w:val="0"/>
    </w:pPr>
    <w:rPr>
      <w:rFonts w:ascii="黑体" w:hAnsi="Calibri" w:eastAsia="黑体" w:cs="Times New Roman"/>
      <w:color w:val="000000"/>
      <w:sz w:val="24"/>
      <w:szCs w:val="24"/>
      <w:lang w:val="en-US" w:eastAsia="zh-CN" w:bidi="ar-SA"/>
    </w:rPr>
  </w:style>
  <w:style w:type="character" w:customStyle="1" w:styleId="48">
    <w:name w:val="fontstyle01"/>
    <w:basedOn w:val="32"/>
    <w:qFormat/>
    <w:uiPriority w:val="0"/>
    <w:rPr>
      <w:rFonts w:ascii="宋体" w:hAnsi="宋体" w:eastAsia="宋体" w:cs="宋体"/>
      <w:color w:val="000000"/>
      <w:sz w:val="28"/>
      <w:szCs w:val="28"/>
    </w:rPr>
  </w:style>
  <w:style w:type="character" w:customStyle="1" w:styleId="49">
    <w:name w:val="fontstyle21"/>
    <w:basedOn w:val="32"/>
    <w:qFormat/>
    <w:uiPriority w:val="0"/>
    <w:rPr>
      <w:rFonts w:ascii="TimesNewRomanPSMT" w:hAnsi="TimesNewRomanPSMT" w:eastAsia="TimesNewRomanPSMT" w:cs="TimesNewRomanPSMT"/>
      <w:color w:val="000000"/>
      <w:sz w:val="28"/>
      <w:szCs w:val="28"/>
    </w:rPr>
  </w:style>
  <w:style w:type="character" w:customStyle="1" w:styleId="50">
    <w:name w:val="fontstyle11"/>
    <w:basedOn w:val="32"/>
    <w:qFormat/>
    <w:uiPriority w:val="0"/>
    <w:rPr>
      <w:rFonts w:ascii="TimesNewRomanPSMT" w:hAnsi="TimesNewRomanPSMT" w:eastAsia="TimesNewRomanPSMT" w:cs="TimesNewRomanPSMT"/>
      <w:color w:val="000000"/>
      <w:sz w:val="28"/>
      <w:szCs w:val="28"/>
    </w:rPr>
  </w:style>
  <w:style w:type="paragraph" w:customStyle="1" w:styleId="51">
    <w:name w:val="_Style 7"/>
    <w:qFormat/>
    <w:uiPriority w:val="1"/>
    <w:pPr>
      <w:widowControl w:val="0"/>
      <w:jc w:val="center"/>
    </w:pPr>
    <w:rPr>
      <w:rFonts w:eastAsia="宋体" w:asciiTheme="minorHAnsi" w:hAnsiTheme="minorHAnsi" w:cstheme="minorBidi"/>
      <w:kern w:val="2"/>
      <w:sz w:val="21"/>
      <w:szCs w:val="24"/>
      <w:lang w:val="en-US" w:eastAsia="zh-CN" w:bidi="ar-SA"/>
    </w:rPr>
  </w:style>
  <w:style w:type="paragraph" w:styleId="52">
    <w:name w:val="List Paragraph"/>
    <w:basedOn w:val="1"/>
    <w:qFormat/>
    <w:uiPriority w:val="34"/>
    <w:pPr>
      <w:ind w:firstLine="420"/>
    </w:pPr>
    <w:rPr>
      <w:rFonts w:ascii="Calibri" w:hAnsi="Calibri" w:eastAsiaTheme="minorEastAsia"/>
      <w:szCs w:val="22"/>
    </w:rPr>
  </w:style>
  <w:style w:type="paragraph" w:customStyle="1" w:styleId="53">
    <w:name w:val="真·正文"/>
    <w:basedOn w:val="1"/>
    <w:next w:val="1"/>
    <w:qFormat/>
    <w:uiPriority w:val="0"/>
    <w:pPr>
      <w:adjustRightInd w:val="0"/>
      <w:snapToGrid w:val="0"/>
      <w:ind w:firstLine="200"/>
      <w:jc w:val="left"/>
    </w:pPr>
    <w:rPr>
      <w:szCs w:val="21"/>
    </w:rPr>
  </w:style>
  <w:style w:type="paragraph" w:customStyle="1" w:styleId="54">
    <w:name w:val="Table Paragraph"/>
    <w:basedOn w:val="1"/>
    <w:qFormat/>
    <w:uiPriority w:val="0"/>
    <w:pPr>
      <w:jc w:val="left"/>
    </w:pPr>
    <w:rPr>
      <w:rFonts w:ascii="Calibri" w:hAnsi="Calibri"/>
      <w:kern w:val="0"/>
      <w:sz w:val="22"/>
      <w:szCs w:val="22"/>
      <w:lang w:eastAsia="en-US"/>
    </w:rPr>
  </w:style>
  <w:style w:type="paragraph" w:customStyle="1" w:styleId="55">
    <w:name w:val="序2—表"/>
    <w:basedOn w:val="1"/>
    <w:next w:val="1"/>
    <w:qFormat/>
    <w:uiPriority w:val="0"/>
    <w:pPr>
      <w:adjustRightInd w:val="0"/>
      <w:snapToGrid w:val="0"/>
      <w:jc w:val="center"/>
    </w:pPr>
    <w:rPr>
      <w:rFonts w:eastAsia="等线"/>
    </w:rPr>
  </w:style>
  <w:style w:type="paragraph" w:customStyle="1" w:styleId="56">
    <w:name w:val="列出段落1"/>
    <w:basedOn w:val="1"/>
    <w:qFormat/>
    <w:uiPriority w:val="34"/>
    <w:pPr>
      <w:ind w:firstLine="420"/>
    </w:pPr>
    <w:rPr>
      <w:rFonts w:ascii="Calibri" w:hAnsi="Calibri" w:eastAsia="等线"/>
    </w:rPr>
  </w:style>
  <w:style w:type="paragraph" w:customStyle="1" w:styleId="57">
    <w:name w:val="报告表格"/>
    <w:basedOn w:val="1"/>
    <w:qFormat/>
    <w:uiPriority w:val="0"/>
    <w:pPr>
      <w:autoSpaceDE w:val="0"/>
      <w:autoSpaceDN w:val="0"/>
      <w:adjustRightInd w:val="0"/>
      <w:spacing w:before="40" w:after="40"/>
      <w:jc w:val="center"/>
    </w:pPr>
    <w:rPr>
      <w:rFonts w:ascii="Calibri" w:hAnsi="Calibri" w:eastAsia="等线"/>
      <w:kern w:val="0"/>
      <w:szCs w:val="20"/>
    </w:rPr>
  </w:style>
  <w:style w:type="paragraph" w:customStyle="1" w:styleId="58">
    <w:name w:val="无间隔3"/>
    <w:qFormat/>
    <w:uiPriority w:val="0"/>
    <w:pPr>
      <w:adjustRightInd w:val="0"/>
      <w:snapToGrid w:val="0"/>
      <w:spacing w:line="360" w:lineRule="auto"/>
    </w:pPr>
    <w:rPr>
      <w:rFonts w:ascii="Times New Roman" w:hAnsi="Times New Roman" w:eastAsia="黑体" w:cs="Times New Roman"/>
      <w:sz w:val="24"/>
      <w:lang w:val="en-US" w:eastAsia="zh-CN" w:bidi="ar-SA"/>
    </w:rPr>
  </w:style>
  <w:style w:type="paragraph" w:customStyle="1" w:styleId="5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0">
    <w:name w:val="Char Char8"/>
    <w:basedOn w:val="1"/>
    <w:qFormat/>
    <w:uiPriority w:val="0"/>
    <w:pPr>
      <w:widowControl/>
      <w:snapToGrid w:val="0"/>
      <w:spacing w:line="440" w:lineRule="exact"/>
      <w:ind w:firstLine="200"/>
      <w:jc w:val="left"/>
    </w:pPr>
  </w:style>
  <w:style w:type="character" w:customStyle="1" w:styleId="61">
    <w:name w:val="表的内容 Char"/>
    <w:link w:val="62"/>
    <w:qFormat/>
    <w:locked/>
    <w:uiPriority w:val="0"/>
  </w:style>
  <w:style w:type="paragraph" w:customStyle="1" w:styleId="62">
    <w:name w:val="表的内容"/>
    <w:basedOn w:val="63"/>
    <w:link w:val="61"/>
    <w:qFormat/>
    <w:uiPriority w:val="0"/>
    <w:pPr>
      <w:jc w:val="center"/>
    </w:pPr>
    <w:rPr>
      <w:kern w:val="0"/>
      <w:sz w:val="20"/>
      <w:szCs w:val="20"/>
    </w:rPr>
  </w:style>
  <w:style w:type="paragraph" w:styleId="63">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表格内容"/>
    <w:basedOn w:val="65"/>
    <w:qFormat/>
    <w:uiPriority w:val="0"/>
    <w:pPr>
      <w:spacing w:line="240" w:lineRule="atLeast"/>
    </w:pPr>
    <w:rPr>
      <w:szCs w:val="21"/>
    </w:rPr>
  </w:style>
  <w:style w:type="paragraph" w:customStyle="1" w:styleId="65">
    <w:name w:val="表格标题"/>
    <w:basedOn w:val="10"/>
    <w:qFormat/>
    <w:uiPriority w:val="0"/>
    <w:pPr>
      <w:jc w:val="center"/>
    </w:pPr>
    <w:rPr>
      <w:rFonts w:eastAsia="宋体" w:cs="Arial"/>
      <w:b/>
      <w:sz w:val="21"/>
    </w:rPr>
  </w:style>
  <w:style w:type="paragraph" w:customStyle="1" w:styleId="66">
    <w:name w:val="图表名称"/>
    <w:basedOn w:val="1"/>
    <w:qFormat/>
    <w:uiPriority w:val="0"/>
    <w:pPr>
      <w:jc w:val="center"/>
    </w:pPr>
    <w:rPr>
      <w:b/>
    </w:rPr>
  </w:style>
  <w:style w:type="paragraph" w:customStyle="1" w:styleId="67">
    <w:name w:val="+++++正文"/>
    <w:basedOn w:val="1"/>
    <w:qFormat/>
    <w:uiPriority w:val="0"/>
    <w:pPr>
      <w:ind w:firstLine="200"/>
    </w:pPr>
    <w:rPr>
      <w:rFonts w:eastAsia="黑体"/>
      <w:b/>
      <w:color w:val="0000FF"/>
    </w:rPr>
  </w:style>
  <w:style w:type="paragraph" w:customStyle="1" w:styleId="68">
    <w:name w:val="首行缩进:  2 字符"/>
    <w:basedOn w:val="1"/>
    <w:qFormat/>
    <w:uiPriority w:val="0"/>
  </w:style>
  <w:style w:type="paragraph" w:customStyle="1" w:styleId="69">
    <w:name w:val="表格文字内容"/>
    <w:basedOn w:val="70"/>
    <w:qFormat/>
    <w:uiPriority w:val="0"/>
    <w:pPr>
      <w:spacing w:line="240" w:lineRule="auto"/>
      <w:ind w:left="0" w:firstLine="0" w:firstLineChars="0"/>
      <w:jc w:val="center"/>
    </w:pPr>
    <w:rPr>
      <w:snapToGrid w:val="0"/>
      <w:kern w:val="0"/>
    </w:rPr>
  </w:style>
  <w:style w:type="paragraph" w:customStyle="1" w:styleId="70">
    <w:name w:val="标、图注"/>
    <w:basedOn w:val="1"/>
    <w:qFormat/>
    <w:uiPriority w:val="0"/>
    <w:pPr>
      <w:spacing w:line="240" w:lineRule="exact"/>
      <w:ind w:left="360" w:hanging="360" w:hangingChars="200"/>
    </w:pPr>
    <w:rPr>
      <w:rFonts w:cs="宋体"/>
      <w:sz w:val="18"/>
      <w:szCs w:val="20"/>
    </w:rPr>
  </w:style>
  <w:style w:type="paragraph" w:customStyle="1" w:styleId="71">
    <w:name w:val="表格编号"/>
    <w:basedOn w:val="1"/>
    <w:qFormat/>
    <w:uiPriority w:val="0"/>
    <w:pPr>
      <w:spacing w:line="240" w:lineRule="auto"/>
      <w:ind w:firstLine="0" w:firstLineChars="0"/>
    </w:pPr>
    <w:rPr>
      <w:rFonts w:cs="宋体"/>
      <w:sz w:val="21"/>
      <w:szCs w:val="20"/>
    </w:rPr>
  </w:style>
  <w:style w:type="paragraph" w:customStyle="1" w:styleId="72">
    <w:name w:val="表头"/>
    <w:basedOn w:val="1"/>
    <w:qFormat/>
    <w:uiPriority w:val="0"/>
    <w:pPr>
      <w:spacing w:afterLines="50"/>
      <w:ind w:firstLine="0" w:firstLineChars="0"/>
      <w:jc w:val="center"/>
    </w:pPr>
    <w:rPr>
      <w:rFonts w:eastAsia="黑体" w:cs="宋体"/>
      <w:szCs w:val="20"/>
    </w:rPr>
  </w:style>
  <w:style w:type="character" w:customStyle="1" w:styleId="73">
    <w:name w:val="LT表格名称 Char"/>
    <w:link w:val="74"/>
    <w:qFormat/>
    <w:uiPriority w:val="0"/>
    <w:rPr>
      <w:kern w:val="0"/>
      <w:sz w:val="20"/>
      <w:szCs w:val="20"/>
    </w:rPr>
  </w:style>
  <w:style w:type="paragraph" w:customStyle="1" w:styleId="74">
    <w:name w:val="LT表格名称"/>
    <w:basedOn w:val="1"/>
    <w:link w:val="73"/>
    <w:qFormat/>
    <w:uiPriority w:val="0"/>
    <w:pPr>
      <w:adjustRightInd w:val="0"/>
      <w:snapToGrid w:val="0"/>
      <w:spacing w:line="240" w:lineRule="auto"/>
      <w:ind w:firstLine="0" w:firstLineChars="0"/>
      <w:jc w:val="center"/>
    </w:pPr>
    <w:rPr>
      <w:kern w:val="0"/>
      <w:sz w:val="20"/>
      <w:szCs w:val="20"/>
    </w:rPr>
  </w:style>
  <w:style w:type="paragraph" w:customStyle="1" w:styleId="75">
    <w:name w:val="样式10"/>
    <w:basedOn w:val="1"/>
    <w:qFormat/>
    <w:uiPriority w:val="0"/>
    <w:pPr>
      <w:widowControl/>
      <w:wordWrap w:val="0"/>
      <w:spacing w:line="500" w:lineRule="exact"/>
      <w:ind w:firstLine="0" w:firstLineChars="0"/>
      <w:jc w:val="left"/>
    </w:pPr>
    <w:rPr>
      <w:rFonts w:ascii="宋体" w:hAnsi="宋体"/>
      <w:lang w:val="zh-CN"/>
    </w:rPr>
  </w:style>
  <w:style w:type="paragraph" w:customStyle="1" w:styleId="76">
    <w:name w:val="+++ 表头"/>
    <w:basedOn w:val="1"/>
    <w:qFormat/>
    <w:uiPriority w:val="0"/>
    <w:pPr>
      <w:jc w:val="center"/>
    </w:pPr>
    <w:rPr>
      <w:b/>
      <w:bCs/>
      <w:color w:val="99CC00"/>
    </w:rPr>
  </w:style>
  <w:style w:type="paragraph" w:customStyle="1" w:styleId="77">
    <w:name w:val="样式 样式 样式 宋体 小四 行距: 1.5 倍行距 + 首行缩进:  2 字符 + 首行缩进:  2 字符"/>
    <w:basedOn w:val="1"/>
    <w:qFormat/>
    <w:uiPriority w:val="0"/>
    <w:pPr>
      <w:adjustRightInd w:val="0"/>
      <w:snapToGrid w:val="0"/>
      <w:ind w:firstLine="480"/>
    </w:pPr>
    <w:rPr>
      <w:rFonts w:eastAsia="华文中宋"/>
      <w:szCs w:val="20"/>
    </w:rPr>
  </w:style>
  <w:style w:type="paragraph" w:customStyle="1" w:styleId="78">
    <w:name w:val="1正文文本"/>
    <w:basedOn w:val="1"/>
    <w:qFormat/>
    <w:uiPriority w:val="0"/>
    <w:pPr>
      <w:ind w:firstLine="200"/>
    </w:pPr>
    <w:rPr>
      <w:rFonts w:hAnsi="宋体"/>
      <w:kern w:val="0"/>
    </w:rPr>
  </w:style>
  <w:style w:type="paragraph" w:customStyle="1" w:styleId="79">
    <w:name w:val="1表格样式"/>
    <w:basedOn w:val="1"/>
    <w:qFormat/>
    <w:uiPriority w:val="0"/>
    <w:pPr>
      <w:adjustRightInd w:val="0"/>
      <w:snapToGrid w:val="0"/>
      <w:spacing w:before="50" w:beforeLines="50"/>
      <w:ind w:firstLine="200"/>
      <w:jc w:val="center"/>
    </w:pPr>
    <w:rPr>
      <w:b/>
      <w:color w:val="000000"/>
      <w:sz w:val="21"/>
    </w:rPr>
  </w:style>
  <w:style w:type="paragraph" w:customStyle="1" w:styleId="80">
    <w:name w:val="0表格标题"/>
    <w:basedOn w:val="1"/>
    <w:qFormat/>
    <w:uiPriority w:val="0"/>
    <w:pPr>
      <w:widowControl/>
      <w:spacing w:before="50" w:beforeLines="50" w:line="240" w:lineRule="auto"/>
      <w:ind w:firstLine="0" w:firstLineChars="0"/>
      <w:contextualSpacing/>
      <w:jc w:val="center"/>
    </w:pPr>
    <w:rPr>
      <w:rFonts w:hAnsi="宋体"/>
      <w:b/>
      <w:sz w:val="21"/>
      <w:lang w:bidi="en-US"/>
    </w:rPr>
  </w:style>
  <w:style w:type="paragraph" w:customStyle="1" w:styleId="81">
    <w:name w:val="1表格"/>
    <w:basedOn w:val="1"/>
    <w:qFormat/>
    <w:uiPriority w:val="0"/>
    <w:pPr>
      <w:snapToGrid w:val="0"/>
      <w:spacing w:before="50" w:beforeLines="50"/>
      <w:jc w:val="center"/>
    </w:pPr>
    <w:rPr>
      <w:b/>
      <w:sz w:val="21"/>
      <w:szCs w:val="20"/>
    </w:rPr>
  </w:style>
  <w:style w:type="paragraph" w:customStyle="1" w:styleId="82">
    <w:name w:val="Normal_0"/>
    <w:qFormat/>
    <w:uiPriority w:val="0"/>
    <w:pPr>
      <w:widowControl w:val="0"/>
      <w:spacing w:line="360" w:lineRule="auto"/>
      <w:ind w:firstLine="200" w:firstLineChars="200"/>
      <w:jc w:val="both"/>
    </w:pPr>
    <w:rPr>
      <w:rFonts w:ascii="Times New Roman" w:hAnsi="Times New Roman" w:eastAsia="仿宋" w:cs="Times New Roman"/>
      <w:kern w:val="2"/>
      <w:sz w:val="28"/>
      <w:szCs w:val="21"/>
      <w:lang w:val="en-US" w:eastAsia="zh-CN" w:bidi="ar-SA"/>
    </w:rPr>
  </w:style>
  <w:style w:type="paragraph" w:customStyle="1" w:styleId="83">
    <w:name w:val="Normal_0_0"/>
    <w:qFormat/>
    <w:uiPriority w:val="0"/>
    <w:pPr>
      <w:widowControl w:val="0"/>
      <w:spacing w:line="360" w:lineRule="auto"/>
      <w:ind w:firstLine="200" w:firstLineChars="200"/>
      <w:jc w:val="both"/>
    </w:pPr>
    <w:rPr>
      <w:rFonts w:ascii="Times New Roman" w:hAnsi="Times New Roman" w:eastAsia="仿宋" w:cs="Times New Roman"/>
      <w:kern w:val="2"/>
      <w:sz w:val="28"/>
      <w:szCs w:val="21"/>
      <w:lang w:val="en-US" w:eastAsia="zh-CN" w:bidi="ar-SA"/>
    </w:rPr>
  </w:style>
  <w:style w:type="table" w:customStyle="1" w:styleId="84">
    <w:name w:val="Table Grid_0"/>
    <w:basedOn w:val="30"/>
    <w:qFormat/>
    <w:uiPriority w:val="0"/>
    <w:rPr>
      <w:rFonts w:eastAsia="仿宋"/>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5">
    <w:name w:val="表文"/>
    <w:basedOn w:val="1"/>
    <w:link w:val="86"/>
    <w:qFormat/>
    <w:uiPriority w:val="0"/>
    <w:pPr>
      <w:spacing w:line="240" w:lineRule="auto"/>
      <w:ind w:firstLine="0" w:firstLineChars="0"/>
      <w:jc w:val="center"/>
    </w:pPr>
    <w:rPr>
      <w:bCs/>
      <w:sz w:val="21"/>
    </w:rPr>
  </w:style>
  <w:style w:type="character" w:customStyle="1" w:styleId="86">
    <w:name w:val="表文 Char"/>
    <w:link w:val="85"/>
    <w:qFormat/>
    <w:uiPriority w:val="0"/>
    <w:rPr>
      <w:bCs/>
      <w:kern w:val="2"/>
      <w:sz w:val="21"/>
      <w:szCs w:val="24"/>
    </w:rPr>
  </w:style>
  <w:style w:type="paragraph" w:customStyle="1" w:styleId="87">
    <w:name w:val="图头"/>
    <w:basedOn w:val="72"/>
    <w:qFormat/>
    <w:uiPriority w:val="0"/>
    <w:pPr>
      <w:adjustRightInd w:val="0"/>
      <w:snapToGrid w:val="0"/>
      <w:outlineLvl w:val="8"/>
    </w:pPr>
  </w:style>
  <w:style w:type="paragraph" w:customStyle="1" w:styleId="88">
    <w:name w:val="+++正文、"/>
    <w:basedOn w:val="1"/>
    <w:qFormat/>
    <w:uiPriority w:val="0"/>
    <w:pPr>
      <w:autoSpaceDE w:val="0"/>
      <w:autoSpaceDN w:val="0"/>
      <w:adjustRightInd w:val="0"/>
      <w:ind w:firstLine="200"/>
    </w:pPr>
  </w:style>
  <w:style w:type="paragraph" w:customStyle="1" w:styleId="89">
    <w:name w:val="表格"/>
    <w:basedOn w:val="1"/>
    <w:next w:val="1"/>
    <w:qFormat/>
    <w:uiPriority w:val="0"/>
    <w:pPr>
      <w:adjustRightInd w:val="0"/>
      <w:snapToGrid w:val="0"/>
      <w:spacing w:before="10" w:beforeLines="10" w:after="10" w:afterLines="10" w:line="259" w:lineRule="auto"/>
      <w:jc w:val="center"/>
    </w:pPr>
    <w:rPr>
      <w:kern w:val="0"/>
      <w:sz w:val="21"/>
      <w:szCs w:val="21"/>
    </w:rPr>
  </w:style>
  <w:style w:type="paragraph" w:customStyle="1" w:styleId="90">
    <w:name w:val="表格正文"/>
    <w:basedOn w:val="1"/>
    <w:qFormat/>
    <w:uiPriority w:val="0"/>
    <w:pPr>
      <w:snapToGrid w:val="0"/>
      <w:jc w:val="center"/>
    </w:pPr>
  </w:style>
  <w:style w:type="paragraph" w:customStyle="1" w:styleId="91">
    <w:name w:val="表题"/>
    <w:basedOn w:val="1"/>
    <w:qFormat/>
    <w:uiPriority w:val="0"/>
    <w:pPr>
      <w:ind w:firstLine="0" w:firstLineChars="0"/>
      <w:jc w:val="center"/>
    </w:pPr>
    <w:rPr>
      <w:b/>
      <w:kern w:val="0"/>
      <w:szCs w:val="20"/>
    </w:rPr>
  </w:style>
  <w:style w:type="paragraph" w:customStyle="1" w:styleId="92">
    <w:name w:val="正文-报告表"/>
    <w:qFormat/>
    <w:uiPriority w:val="0"/>
    <w:pPr>
      <w:tabs>
        <w:tab w:val="center" w:pos="4320"/>
        <w:tab w:val="right" w:pos="8640"/>
      </w:tabs>
      <w:adjustRightInd w:val="0"/>
      <w:snapToGrid w:val="0"/>
      <w:spacing w:line="360" w:lineRule="auto"/>
      <w:ind w:firstLine="200" w:firstLineChars="200"/>
      <w:jc w:val="both"/>
      <w:textAlignment w:val="baseline"/>
    </w:pPr>
    <w:rPr>
      <w:rFonts w:ascii="Times New Roman" w:hAnsi="Times New Roman" w:eastAsia="Calibri" w:cs="Times New Roman"/>
      <w:kern w:val="2"/>
      <w:sz w:val="24"/>
      <w:szCs w:val="24"/>
      <w:lang w:val="en-US" w:eastAsia="zh-CN" w:bidi="ar-SA"/>
    </w:rPr>
  </w:style>
  <w:style w:type="paragraph" w:customStyle="1" w:styleId="93">
    <w:name w:val="表体"/>
    <w:basedOn w:val="1"/>
    <w:unhideWhenUsed/>
    <w:qFormat/>
    <w:uiPriority w:val="0"/>
    <w:pPr>
      <w:overflowPunct w:val="0"/>
      <w:adjustRightInd w:val="0"/>
      <w:spacing w:line="240" w:lineRule="auto"/>
      <w:ind w:firstLine="0" w:firstLineChars="0"/>
      <w:jc w:val="center"/>
      <w:textAlignment w:val="baseline"/>
    </w:pPr>
    <w:rPr>
      <w:color w:val="000000"/>
      <w:kern w:val="24"/>
      <w:sz w:val="21"/>
      <w:szCs w:val="20"/>
    </w:rPr>
  </w:style>
  <w:style w:type="paragraph" w:customStyle="1" w:styleId="94">
    <w:name w:val="AA表格文字内容"/>
    <w:basedOn w:val="70"/>
    <w:qFormat/>
    <w:uiPriority w:val="0"/>
    <w:pPr>
      <w:adjustRightInd w:val="0"/>
      <w:snapToGrid w:val="0"/>
      <w:spacing w:line="240" w:lineRule="auto"/>
      <w:ind w:left="0" w:firstLine="0" w:firstLineChars="0"/>
      <w:jc w:val="center"/>
    </w:pPr>
  </w:style>
  <w:style w:type="paragraph" w:customStyle="1" w:styleId="95">
    <w:name w:val="AA表格编号"/>
    <w:qFormat/>
    <w:uiPriority w:val="0"/>
    <w:pPr>
      <w:autoSpaceDE w:val="0"/>
      <w:autoSpaceDN w:val="0"/>
      <w:adjustRightInd w:val="0"/>
      <w:snapToGrid w:val="0"/>
    </w:pPr>
    <w:rPr>
      <w:rFonts w:ascii="Times New Roman" w:hAnsi="Times New Roman" w:eastAsia="宋体" w:cs="Times New Roman"/>
      <w:sz w:val="21"/>
      <w:szCs w:val="18"/>
      <w:lang w:val="en-US" w:eastAsia="zh-CN" w:bidi="ar-SA"/>
    </w:rPr>
  </w:style>
  <w:style w:type="paragraph" w:customStyle="1" w:styleId="96">
    <w:name w:val="AAAAA文本34"/>
    <w:basedOn w:val="1"/>
    <w:qFormat/>
    <w:uiPriority w:val="0"/>
    <w:pPr>
      <w:adjustRightInd w:val="0"/>
      <w:snapToGrid w:val="0"/>
      <w:ind w:firstLine="480"/>
    </w:pPr>
    <w:rPr>
      <w:kern w:val="0"/>
    </w:rPr>
  </w:style>
  <w:style w:type="character" w:customStyle="1" w:styleId="97">
    <w:name w:val="font61"/>
    <w:basedOn w:val="32"/>
    <w:qFormat/>
    <w:uiPriority w:val="0"/>
    <w:rPr>
      <w:rFonts w:hint="eastAsia" w:ascii="宋体" w:hAnsi="宋体" w:eastAsia="宋体" w:cs="宋体"/>
      <w:color w:val="000000"/>
      <w:sz w:val="20"/>
      <w:szCs w:val="20"/>
      <w:u w:val="none"/>
    </w:rPr>
  </w:style>
  <w:style w:type="paragraph" w:customStyle="1" w:styleId="98">
    <w:name w:val="1标题样式"/>
    <w:basedOn w:val="1"/>
    <w:link w:val="99"/>
    <w:qFormat/>
    <w:uiPriority w:val="0"/>
    <w:pPr>
      <w:adjustRightInd w:val="0"/>
      <w:snapToGrid w:val="0"/>
      <w:spacing w:before="50" w:beforeLines="50" w:line="240" w:lineRule="auto"/>
      <w:ind w:firstLine="0" w:firstLineChars="0"/>
      <w:jc w:val="center"/>
    </w:pPr>
    <w:rPr>
      <w:rFonts w:eastAsiaTheme="minorEastAsia"/>
      <w:b/>
      <w:bCs/>
      <w:sz w:val="21"/>
      <w:szCs w:val="48"/>
    </w:rPr>
  </w:style>
  <w:style w:type="character" w:customStyle="1" w:styleId="99">
    <w:name w:val="1标题样式 字符"/>
    <w:basedOn w:val="32"/>
    <w:link w:val="98"/>
    <w:qFormat/>
    <w:uiPriority w:val="0"/>
    <w:rPr>
      <w:rFonts w:eastAsiaTheme="minorEastAsia"/>
      <w:b/>
      <w:bCs/>
      <w:kern w:val="2"/>
      <w:sz w:val="21"/>
      <w:szCs w:val="48"/>
    </w:rPr>
  </w:style>
  <w:style w:type="paragraph" w:customStyle="1" w:styleId="100">
    <w:name w:val="表内格式"/>
    <w:next w:val="1"/>
    <w:qFormat/>
    <w:uiPriority w:val="0"/>
    <w:pPr>
      <w:widowControl w:val="0"/>
      <w:spacing w:line="240" w:lineRule="atLeast"/>
      <w:jc w:val="center"/>
    </w:pPr>
    <w:rPr>
      <w:rFonts w:ascii="Times New Roman" w:hAnsi="Times New Roman" w:eastAsia="宋体" w:cs="Times New Roman"/>
      <w:kern w:val="2"/>
      <w:sz w:val="21"/>
      <w:szCs w:val="21"/>
      <w:lang w:val="en-US" w:eastAsia="zh-CN" w:bidi="ar-SA"/>
    </w:rPr>
  </w:style>
  <w:style w:type="paragraph" w:customStyle="1" w:styleId="101">
    <w:name w:val="表格文字"/>
    <w:basedOn w:val="1"/>
    <w:qFormat/>
    <w:uiPriority w:val="0"/>
    <w:pPr>
      <w:widowControl/>
      <w:spacing w:line="240" w:lineRule="auto"/>
      <w:ind w:firstLine="0" w:firstLineChars="0"/>
      <w:jc w:val="center"/>
    </w:pPr>
    <w:rPr>
      <w:kern w:val="0"/>
      <w:sz w:val="21"/>
      <w:szCs w:val="21"/>
    </w:rPr>
  </w:style>
  <w:style w:type="paragraph" w:customStyle="1" w:styleId="102">
    <w:name w:val="表中字体"/>
    <w:basedOn w:val="1"/>
    <w:link w:val="103"/>
    <w:qFormat/>
    <w:uiPriority w:val="0"/>
    <w:pPr>
      <w:adjustRightInd w:val="0"/>
      <w:snapToGrid w:val="0"/>
      <w:spacing w:line="240" w:lineRule="auto"/>
      <w:ind w:firstLine="0" w:firstLineChars="0"/>
      <w:jc w:val="center"/>
    </w:pPr>
    <w:rPr>
      <w:rFonts w:eastAsiaTheme="minorEastAsia"/>
      <w:sz w:val="21"/>
      <w:szCs w:val="22"/>
    </w:rPr>
  </w:style>
  <w:style w:type="character" w:customStyle="1" w:styleId="103">
    <w:name w:val="表中字体 字符"/>
    <w:basedOn w:val="32"/>
    <w:link w:val="102"/>
    <w:qFormat/>
    <w:uiPriority w:val="0"/>
    <w:rPr>
      <w:rFonts w:eastAsiaTheme="minorEastAsia"/>
      <w:kern w:val="2"/>
      <w:sz w:val="21"/>
      <w:szCs w:val="22"/>
    </w:rPr>
  </w:style>
  <w:style w:type="character" w:customStyle="1" w:styleId="104">
    <w:name w:val="15"/>
    <w:basedOn w:val="32"/>
    <w:qFormat/>
    <w:uiPriority w:val="0"/>
    <w:rPr>
      <w:rFonts w:hint="default" w:ascii="Times New Roman" w:hAnsi="Times New Roman" w:cs="Times New Roman"/>
      <w:b/>
      <w:bCs/>
      <w:i/>
      <w:iCs/>
      <w:spacing w:val="5"/>
    </w:rPr>
  </w:style>
  <w:style w:type="paragraph" w:customStyle="1" w:styleId="105">
    <w:name w:val="LZ_表格Ctrl+2"/>
    <w:basedOn w:val="1"/>
    <w:next w:val="1"/>
    <w:qFormat/>
    <w:uiPriority w:val="0"/>
    <w:pPr>
      <w:widowControl/>
      <w:adjustRightInd w:val="0"/>
      <w:snapToGrid w:val="0"/>
      <w:spacing w:line="240" w:lineRule="auto"/>
      <w:ind w:firstLine="0" w:firstLineChars="0"/>
      <w:jc w:val="center"/>
    </w:pPr>
    <w:rPr>
      <w:sz w:val="21"/>
      <w:szCs w:val="21"/>
    </w:rPr>
  </w:style>
  <w:style w:type="table" w:customStyle="1" w:styleId="106">
    <w:name w:val="Table Normal"/>
    <w:basedOn w:val="30"/>
    <w:qFormat/>
    <w:uiPriority w:val="0"/>
    <w:rPr>
      <w:rFonts w:eastAsia="Times New Roman"/>
    </w:rPr>
    <w:tblPr>
      <w:tblCellMar>
        <w:left w:w="0" w:type="dxa"/>
        <w:right w:w="0" w:type="dxa"/>
      </w:tblCellMar>
    </w:tblPr>
  </w:style>
  <w:style w:type="paragraph" w:customStyle="1" w:styleId="107">
    <w:name w:val="LZ_表格标题Ctrl+3"/>
    <w:basedOn w:val="1"/>
    <w:next w:val="1"/>
    <w:qFormat/>
    <w:uiPriority w:val="0"/>
    <w:pPr>
      <w:widowControl/>
      <w:adjustRightInd w:val="0"/>
      <w:snapToGrid w:val="0"/>
      <w:ind w:firstLine="0" w:firstLineChars="0"/>
      <w:jc w:val="center"/>
    </w:pPr>
    <w:rPr>
      <w:rFonts w:cs="Arial"/>
      <w:b/>
    </w:rPr>
  </w:style>
  <w:style w:type="paragraph" w:customStyle="1" w:styleId="108">
    <w:name w:val="aa"/>
    <w:basedOn w:val="1"/>
    <w:unhideWhenUsed/>
    <w:qFormat/>
    <w:uiPriority w:val="0"/>
    <w:pPr>
      <w:widowControl/>
      <w:ind w:firstLine="480"/>
      <w:jc w:val="left"/>
    </w:pPr>
    <w:rPr>
      <w:rFonts w:ascii="宋体" w:hAnsi="宋体"/>
    </w:rPr>
  </w:style>
  <w:style w:type="paragraph" w:customStyle="1" w:styleId="109">
    <w:name w:val="A表文2"/>
    <w:basedOn w:val="1"/>
    <w:qFormat/>
    <w:uiPriority w:val="0"/>
    <w:pPr>
      <w:adjustRightInd w:val="0"/>
      <w:snapToGrid w:val="0"/>
      <w:spacing w:line="240" w:lineRule="auto"/>
      <w:ind w:firstLine="0" w:firstLineChars="0"/>
      <w:jc w:val="center"/>
    </w:pPr>
    <w:rPr>
      <w:sz w:val="18"/>
      <w:szCs w:val="18"/>
    </w:rPr>
  </w:style>
  <w:style w:type="paragraph" w:customStyle="1" w:styleId="110">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111">
    <w:name w:val="1项目正 文"/>
    <w:basedOn w:val="1"/>
    <w:qFormat/>
    <w:uiPriority w:val="0"/>
    <w:pPr>
      <w:widowControl/>
      <w:ind w:firstLine="480"/>
      <w:contextualSpacing/>
    </w:pPr>
    <w:rPr>
      <w:rFonts w:hAnsi="宋体"/>
      <w:lang w:bidi="en-US"/>
    </w:rPr>
  </w:style>
  <w:style w:type="paragraph" w:customStyle="1" w:styleId="112">
    <w:name w:val="1 表格标题"/>
    <w:link w:val="113"/>
    <w:qFormat/>
    <w:uiPriority w:val="0"/>
    <w:pPr>
      <w:widowControl w:val="0"/>
      <w:spacing w:before="50" w:beforeLines="50"/>
      <w:jc w:val="center"/>
    </w:pPr>
    <w:rPr>
      <w:rFonts w:ascii="Times New Roman" w:hAnsi="Times New Roman" w:eastAsia="宋体" w:cs="Times New Roman"/>
      <w:b/>
      <w:kern w:val="2"/>
      <w:sz w:val="21"/>
      <w:szCs w:val="28"/>
      <w:lang w:val="en-US" w:eastAsia="zh-CN" w:bidi="ar-SA"/>
    </w:rPr>
  </w:style>
  <w:style w:type="character" w:customStyle="1" w:styleId="113">
    <w:name w:val="1 表格标题 Char"/>
    <w:link w:val="112"/>
    <w:qFormat/>
    <w:uiPriority w:val="0"/>
    <w:rPr>
      <w:b/>
      <w:kern w:val="2"/>
      <w:sz w:val="21"/>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wmf"/><Relationship Id="rId21" Type="http://schemas.openxmlformats.org/officeDocument/2006/relationships/oleObject" Target="embeddings/oleObject2.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6.jpeg"/><Relationship Id="rId17" Type="http://schemas.openxmlformats.org/officeDocument/2006/relationships/image" Target="media/image5.emf"/><Relationship Id="rId16" Type="http://schemas.openxmlformats.org/officeDocument/2006/relationships/image" Target="media/image4.jpe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11126</Words>
  <Characters>63419</Characters>
  <Lines>528</Lines>
  <Paragraphs>148</Paragraphs>
  <TotalTime>6995</TotalTime>
  <ScaleCrop>false</ScaleCrop>
  <LinksUpToDate>false</LinksUpToDate>
  <CharactersWithSpaces>74397</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2021-05-26T06:51:00Z</dcterms:created>
  <dc:creator>USER</dc:creator>
  <cp:lastModifiedBy>user</cp:lastModifiedBy>
  <cp:lastPrinted>2026-09-03T23:17:00Z</cp:lastPrinted>
  <dcterms:modified xsi:type="dcterms:W3CDTF">2026-09-10T17:41:44Z</dcterms:modified>
  <cp:revision>851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78112DDD4FBD4D12953FE945C5D0ED9B_13</vt:lpwstr>
  </property>
  <property fmtid="{D5CDD505-2E9C-101B-9397-08002B2CF9AE}" pid="4" name="KSOTemplateDocerSaveRecord">
    <vt:lpwstr>eyJoZGlkIjoiYzk5OTJmMDZhNWI4NmU5M2M1MGNhYzg0ZDk0NDU2MGMiLCJ1c2VySWQiOiIxMjAzMzIxNjkxIn0=</vt:lpwstr>
  </property>
</Properties>
</file>