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9"/>
        <w:ind w:leftChars="0" w:left="0" w:firstLineChars="0" w:firstLine="0"/>
        <w:rPr>
          <w:rFonts w:ascii="黑体" w:eastAsia="黑体" w:cs="黑体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附件</w:t>
      </w:r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1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eastAsia="方正小标宋_GBK" w:cs="Times New Roman" w:hAnsi="Times New Roman"/>
          <w:b w:val="0"/>
          <w:bCs w:val="0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_GBK" w:cs="Times New Roman" w:hAnsi="Times New Roman"/>
          <w:b w:val="0"/>
          <w:bCs w:val="0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黑水县道地中药材</w:t>
      </w:r>
      <w:r>
        <w:rPr>
          <w:rFonts w:ascii="Times New Roman" w:eastAsia="方正小标宋_GBK" w:cs="Times New Roman" w:hAnsi="Times New Roman"/>
          <w:b w:val="0"/>
          <w:bCs w:val="0"/>
          <w:color w:val="000000"/>
          <w:sz w:val="44"/>
          <w:szCs w:val="44"/>
          <w14:textFill>
            <w14:solidFill>
              <w14:srgbClr w14:val="000000"/>
            </w14:solidFill>
          </w14:textFill>
          <w:lang w:eastAsia="zh-CN"/>
        </w:rPr>
        <w:t>产业发展工作</w:t>
      </w:r>
      <w:r>
        <w:rPr>
          <w:rFonts w:ascii="Times New Roman" w:eastAsia="方正小标宋_GBK" w:cs="Times New Roman" w:hAnsi="Times New Roman"/>
          <w:b w:val="0"/>
          <w:bCs w:val="0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eastAsia="仿宋" w:cs="Times New Roman" w:hAnsi="Times New Roman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9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组  长：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罗先全   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4" w:left="4158" w:hangingChars="1100" w:hanging="3520"/>
        <w:jc w:val="left"/>
        <w:textAlignment w:val="auto"/>
        <w:outlineLvl w:val="9"/>
        <w:rPr>
          <w:rFonts w:ascii="Times New Roman" w:eastAsia="仿宋_GB2312" w:cs="Times New Roman" w:hAnsi="Times New Roman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黑体" w:eastAsia="黑体" w:cs="黑体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副组长：</w:t>
      </w:r>
      <w:r>
        <w:rPr>
          <w:rFonts w:ascii="Times New Roman" w:eastAsia="仿宋_GB2312" w:cs="Times New Roman" w:hAnsi="Times New Roman" w:hint="eastAsia"/>
          <w:color w:val="000000"/>
          <w:spacing w:val="-6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马吉元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 </w:t>
      </w:r>
      <w:r>
        <w:rPr>
          <w:rFonts w:ascii="Times New Roman" w:eastAsia="仿宋_GB2312" w:cs="Times New Roman" w:hAnsi="Times New Roman"/>
          <w:color w:val="000000"/>
          <w:spacing w:val="-23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县人民政府副县长</w:t>
      </w:r>
      <w:r>
        <w:rPr>
          <w:rFonts w:ascii="Times New Roman" w:eastAsia="仿宋_GB2312" w:cs="Times New Roman" w:hAnsi="Times New Roman" w:hint="eastAsia"/>
          <w:color w:val="000000"/>
          <w:spacing w:val="-23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、县科农牧水局局长（兼）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8" w:left="1277"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何  军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县科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农牧水局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党委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</w:pPr>
      <w:r>
        <w:rPr>
          <w:rFonts w:ascii="黑体" w:eastAsia="黑体" w:cs="黑体"/>
          <w:b w:val="0"/>
          <w:bCs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成  员：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肖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勇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县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经信局局长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8" w:left="1277"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雷明全   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县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8" w:left="1277"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苏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拉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县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8" w:left="1277"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白丽霞   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县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中藏医院院长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8" w:left="1277" w:firstLineChars="200" w:firstLine="640"/>
        <w:textAlignment w:val="auto"/>
        <w:outlineLvl w:val="9"/>
        <w:rPr>
          <w:rFonts w:ascii="Times New Roman" w:cs="Times New Roman" w:hAnsi="Times New Roman"/>
          <w:color w:val="auto"/>
          <w:lang w:eastAsia="zh-CN"/>
        </w:rPr>
      </w:pP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苏拉木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县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8" w:left="1277" w:firstLineChars="200" w:firstLine="640"/>
        <w:textAlignment w:val="auto"/>
        <w:outlineLvl w:val="9"/>
        <w:rPr>
          <w:rFonts w:ascii="Times New Roman" w:eastAsia="仿宋_GB2312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二古基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县科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农牧水局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副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局长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608" w:left="1277"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color w:val="auto"/>
          <w:sz w:val="32"/>
          <w:szCs w:val="32"/>
          <w:lang w:val="en-US" w:eastAsia="zh-CN"/>
        </w:rPr>
        <w:t>龙恩国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县科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农牧水局副局长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杨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帆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县科技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何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飞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经作站站长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袁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欢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经作站副站长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冉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毅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科技股股长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  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周雪梅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科技股工作人员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段久富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科技股工作人员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杨富康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科技股工作人员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600" w:firstLine="192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各乡镇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乡镇长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sectPr>
          <w:footerReference w:type="default" r:id="rId2"/>
          <w:pgSz w:w="11906" w:h="16838"/>
          <w:pgMar w:top="2098" w:right="1474" w:bottom="1984" w:left="1587" w:header="851" w:footer="992" w:gutter="0"/>
          <w:pgNumType w:start="1"/>
          <w:docGrid w:type="lines" w:linePitch="312" w:charSpace="0"/>
        </w:sectPr>
      </w:pP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领导小组下设办公室在黑水县科学技术和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农业畜牧水务局科技服务中心中药材产业推进办公室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，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由何军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同志任办公室主任，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杨帆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同志任办公室副主任，具体工作由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何军、杨帆同志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具体负责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。</w:t>
      </w:r>
    </w:p>
    <w:tbl>
      <w:tblPr>
        <w:jc w:val="left"/>
        <w:tblInd w:w="0" w:type="dxa"/>
        <w:tblW w:w="14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16"/>
        <w:gridCol w:w="1071"/>
        <w:gridCol w:w="717"/>
        <w:gridCol w:w="1065"/>
        <w:gridCol w:w="1306"/>
        <w:gridCol w:w="766"/>
        <w:gridCol w:w="680"/>
        <w:gridCol w:w="766"/>
        <w:gridCol w:w="680"/>
        <w:gridCol w:w="2050"/>
        <w:gridCol w:w="717"/>
        <w:gridCol w:w="717"/>
        <w:gridCol w:w="717"/>
        <w:gridCol w:w="759"/>
        <w:gridCol w:w="725"/>
      </w:tblGrid>
      <w:tr>
        <w:trPr>
          <w:trHeight w:val="405"/>
        </w:trPr>
        <w:tc>
          <w:tcPr>
            <w:tcW w:w="13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570"/>
        </w:trPr>
        <w:tc>
          <w:tcPr>
            <w:tcW w:w="13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黑水县道地中药材产业发展项目规划表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00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建设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实施主体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规模</w:t>
            </w:r>
            <w:r>
              <w:rPr>
                <w:rStyle w:val="22"/>
                <w:rFonts w:eastAsia="宋体"/>
                <w:lang w:val="en-US" w:eastAsia="zh-CN"/>
              </w:rPr>
              <w:t>/</w:t>
            </w:r>
            <w:r>
              <w:rPr>
                <w:rStyle w:val="21"/>
                <w:lang w:val="en-US" w:eastAsia="zh-CN"/>
              </w:rPr>
              <w:t>内容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估算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到位资金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待争取资金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资金来源说明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时间进度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县级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责任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责任领导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责任人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配合股室</w:t>
            </w:r>
          </w:p>
        </w:tc>
      </w:tr>
      <w:tr>
        <w:trPr>
          <w:trHeight w:val="300"/>
        </w:trPr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  <w:tc>
          <w:tcPr>
            <w:tcW w:w="10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投资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0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责任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7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300"/>
        </w:trPr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3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0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领导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142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知木林镇中药材产业园区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瓦布贝母、红毛五加、黑水当归、古特大黄、秦艽资源圃建设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相关公司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新建瓦布贝母、红毛五加、黑水当归、古特大黄、秦艽资源圃各</w:t>
            </w:r>
            <w:r>
              <w:rPr>
                <w:rStyle w:val="22"/>
                <w:rFonts w:eastAsia="宋体"/>
                <w:lang w:val="en-US" w:eastAsia="zh-CN"/>
              </w:rPr>
              <w:t>5</w:t>
            </w:r>
            <w:r>
              <w:rPr>
                <w:rStyle w:val="21"/>
                <w:lang w:val="en-US" w:eastAsia="zh-CN"/>
              </w:rPr>
              <w:t>亩。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250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木都、瓦钵瓦布贝母育苗基地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新扩建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四川亿源农业有限公司、四川康华有限公司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扩建</w:t>
            </w:r>
            <w:r>
              <w:rPr>
                <w:rStyle w:val="22"/>
                <w:rFonts w:eastAsia="宋体"/>
                <w:lang w:val="en-US" w:eastAsia="zh-CN"/>
              </w:rPr>
              <w:t>20</w:t>
            </w:r>
            <w:r>
              <w:rPr>
                <w:rStyle w:val="21"/>
                <w:lang w:val="en-US" w:eastAsia="zh-CN"/>
              </w:rPr>
              <w:t>亩瓦布贝母育苗基地（包括</w:t>
            </w:r>
            <w:r>
              <w:rPr>
                <w:rStyle w:val="22"/>
                <w:rFonts w:eastAsia="宋体"/>
                <w:lang w:val="en-US" w:eastAsia="zh-CN"/>
              </w:rPr>
              <w:t>40</w:t>
            </w:r>
            <w:r>
              <w:rPr>
                <w:rStyle w:val="21"/>
                <w:lang w:val="en-US" w:eastAsia="zh-CN"/>
              </w:rPr>
              <w:t>栋育苗大棚、防护设施、灌溉设施、农资耗材、作业道、生产用房等基础设施），收集、筛选优良种子，技术培训与服务。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段久富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56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红毛五加育苗基地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黑水县纳鲁中药材种植有限公司、洛多贝母种植农民专业合作社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在洛多乡、卡龙镇扩建红毛五加基地</w:t>
            </w:r>
            <w:r>
              <w:rPr>
                <w:rStyle w:val="22"/>
                <w:rFonts w:eastAsia="宋体"/>
                <w:lang w:val="en-US" w:eastAsia="zh-CN"/>
              </w:rPr>
              <w:t>20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杨富康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36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知木林镇中药材产业园区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黑水当归育苗基地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阿坝州盛邦生态产业发展有限公司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在知木林新建黑水当归育苗基地</w:t>
            </w:r>
            <w:r>
              <w:rPr>
                <w:rStyle w:val="22"/>
                <w:rFonts w:eastAsia="宋体"/>
                <w:lang w:val="en-US" w:eastAsia="zh-CN"/>
              </w:rPr>
              <w:t>10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唐古特大黄育苗基地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四川亿源农业有限公司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在知木林扩建唐古特大黄育苗基地</w:t>
            </w:r>
            <w:r>
              <w:rPr>
                <w:rStyle w:val="22"/>
                <w:rFonts w:eastAsia="宋体"/>
                <w:lang w:val="en-US" w:eastAsia="zh-CN"/>
              </w:rPr>
              <w:t>10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段久富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56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秦艽育苗基地（</w:t>
            </w:r>
            <w:r>
              <w:rPr>
                <w:rStyle w:val="22"/>
                <w:rFonts w:eastAsia="宋体"/>
                <w:lang w:val="en-US" w:eastAsia="zh-CN"/>
              </w:rPr>
              <w:t>2</w:t>
            </w:r>
            <w:r>
              <w:rPr>
                <w:rStyle w:val="21"/>
                <w:lang w:val="en-US" w:eastAsia="zh-CN"/>
              </w:rPr>
              <w:t>年采收）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黑水县纳鲁中药材种植有限公司、洛多贝母种植农民专业合作社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在洛多乡、卡龙镇新建秦艽基地</w:t>
            </w:r>
            <w:r>
              <w:rPr>
                <w:rStyle w:val="22"/>
                <w:rFonts w:eastAsia="宋体"/>
                <w:lang w:val="en-US" w:eastAsia="zh-CN"/>
              </w:rPr>
              <w:t>20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66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黑水县瓦布贝母产业基地建设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四川亿源农业有限公司、四川康华有限公司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推广瓦布贝母大田栽培</w:t>
            </w:r>
            <w:r>
              <w:rPr>
                <w:rStyle w:val="22"/>
                <w:rFonts w:eastAsia="宋体"/>
                <w:lang w:val="en-US" w:eastAsia="zh-CN"/>
              </w:rPr>
              <w:t>200</w:t>
            </w:r>
            <w:r>
              <w:rPr>
                <w:rStyle w:val="21"/>
                <w:lang w:val="en-US" w:eastAsia="zh-CN"/>
              </w:rPr>
              <w:t>亩，配套基础设施建设、遮阳网、肥料等生产资料，标准化技术推广与应用。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段久富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58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知木林镇中药材产业园区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红毛五加种植推广基地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黑水县纳鲁中药材种植有限公司、洛多贝母种植农民专业合作社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在洛多乡、卡龙镇扩建红毛五加种植推广基地</w:t>
            </w:r>
            <w:r>
              <w:rPr>
                <w:rStyle w:val="22"/>
                <w:rFonts w:eastAsia="宋体"/>
                <w:lang w:val="en-US" w:eastAsia="zh-CN"/>
              </w:rPr>
              <w:t>200</w:t>
            </w:r>
            <w:r>
              <w:rPr>
                <w:rStyle w:val="21"/>
                <w:lang w:val="en-US" w:eastAsia="zh-CN"/>
              </w:rPr>
              <w:t>亩，并配套相关基础设施。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杨富康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黑水当归种植推广基地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阿坝州盛邦生态产业发展有限公司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在知木林新建黑水当归种植推广基地</w:t>
            </w:r>
            <w:r>
              <w:rPr>
                <w:rStyle w:val="22"/>
                <w:rFonts w:eastAsia="宋体"/>
                <w:lang w:val="en-US" w:eastAsia="zh-CN"/>
              </w:rPr>
              <w:t>150</w:t>
            </w:r>
            <w:r>
              <w:rPr>
                <w:rStyle w:val="21"/>
                <w:lang w:val="en-US" w:eastAsia="zh-CN"/>
              </w:rPr>
              <w:t>亩，并配套相关基础设施。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唐古特大黄种植推广基地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四川亿源农业有限公司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在知木林扩建唐古特大黄种植推广基地</w:t>
            </w:r>
            <w:r>
              <w:rPr>
                <w:rStyle w:val="22"/>
                <w:rFonts w:eastAsia="宋体"/>
                <w:lang w:val="en-US" w:eastAsia="zh-CN"/>
              </w:rPr>
              <w:t>200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段久富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68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黑水莨菪产业基地建设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成都第一制药有限责任公司、黑水县纳鲁中药材种植有限公司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推广莨菪大田栽培</w:t>
            </w:r>
            <w:r>
              <w:rPr>
                <w:rStyle w:val="22"/>
                <w:rFonts w:eastAsia="宋体"/>
                <w:lang w:val="en-US" w:eastAsia="zh-CN"/>
              </w:rPr>
              <w:t>100</w:t>
            </w:r>
            <w:r>
              <w:rPr>
                <w:rStyle w:val="21"/>
                <w:lang w:val="en-US" w:eastAsia="zh-CN"/>
              </w:rPr>
              <w:t>亩，补助种苗、肥料等生产资料，标准化技术推广与应用。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36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秦艽种植推广基地（</w:t>
            </w:r>
            <w:r>
              <w:rPr>
                <w:rStyle w:val="22"/>
                <w:rFonts w:eastAsia="宋体"/>
                <w:lang w:val="en-US" w:eastAsia="zh-CN"/>
              </w:rPr>
              <w:t>2</w:t>
            </w:r>
            <w:r>
              <w:rPr>
                <w:rStyle w:val="21"/>
                <w:lang w:val="en-US" w:eastAsia="zh-CN"/>
              </w:rPr>
              <w:t>年采收）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黑水县纳鲁中药材种植有限公司、洛多贝母种植农民专业合作社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在洛多乡、卡龙镇新建秦艽种植推广基地</w:t>
            </w:r>
            <w:r>
              <w:rPr>
                <w:rStyle w:val="22"/>
                <w:rFonts w:eastAsia="宋体"/>
                <w:lang w:val="en-US" w:eastAsia="zh-CN"/>
              </w:rPr>
              <w:t>200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64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芦花镇中药材产业园区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瓦布贝母、山莨菪、高山羌活、红毛五加、黑水当归资源圃建设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对应经营主体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新建瓦布贝母、山莨菪、高山羌活、红毛五加、黑水当归资源圃各</w:t>
            </w:r>
            <w:r>
              <w:rPr>
                <w:rStyle w:val="22"/>
                <w:rFonts w:eastAsia="宋体"/>
                <w:lang w:val="en-US" w:eastAsia="zh-CN"/>
              </w:rPr>
              <w:t>5</w:t>
            </w:r>
            <w:r>
              <w:rPr>
                <w:rStyle w:val="21"/>
                <w:lang w:val="en-US" w:eastAsia="zh-CN"/>
              </w:rPr>
              <w:t>亩。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段久富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瓦布贝母育苗基地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四川亿源农业有限公司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在芦花镇新建瓦布贝母育苗基</w:t>
            </w:r>
            <w:r>
              <w:rPr>
                <w:rStyle w:val="22"/>
                <w:rFonts w:eastAsia="宋体"/>
                <w:lang w:val="en-US" w:eastAsia="zh-CN"/>
              </w:rPr>
              <w:t>10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段久富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山莨菪育苗基地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成都第一制药有限责任公司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在沙石多镇扩建山莨菪育苗基地</w:t>
            </w:r>
            <w:r>
              <w:rPr>
                <w:rStyle w:val="22"/>
                <w:rFonts w:eastAsia="宋体"/>
                <w:lang w:val="en-US" w:eastAsia="zh-CN"/>
              </w:rPr>
              <w:t>10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红毛五加育苗基地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四川天沃农业有限公司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在芦花镇日多村扩建红毛五加基地</w:t>
            </w:r>
            <w:r>
              <w:rPr>
                <w:rStyle w:val="22"/>
                <w:rFonts w:eastAsia="宋体"/>
                <w:lang w:val="en-US" w:eastAsia="zh-CN"/>
              </w:rPr>
              <w:t>10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杨富康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黑水当归育苗基地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阿坝州盛邦生态产业发展有限公司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在西尔镇新建黑水当归育苗基地</w:t>
            </w:r>
            <w:r>
              <w:rPr>
                <w:rStyle w:val="22"/>
                <w:rFonts w:eastAsia="宋体"/>
                <w:lang w:val="en-US" w:eastAsia="zh-CN"/>
              </w:rPr>
              <w:t>10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39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黑水县高山羌活产业基地建设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四川诺托璞生态药材有限公司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推广高山羌活大田栽培</w:t>
            </w:r>
            <w:r>
              <w:rPr>
                <w:rStyle w:val="22"/>
                <w:rFonts w:eastAsia="宋体"/>
                <w:lang w:val="en-US" w:eastAsia="zh-CN"/>
              </w:rPr>
              <w:t>300</w:t>
            </w:r>
            <w:r>
              <w:rPr>
                <w:rStyle w:val="21"/>
                <w:lang w:val="en-US" w:eastAsia="zh-CN"/>
              </w:rPr>
              <w:t>亩，补助种苗、肥料等生产资料，标准化技术推广与应用。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杨富康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358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黑水县高山羌活良种繁育巩固提升项目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四川诺托璞生态药材有限公司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在黑水县沙石多镇杨柳秋</w:t>
            </w:r>
            <w:r>
              <w:rPr>
                <w:rStyle w:val="22"/>
                <w:rFonts w:eastAsia="宋体"/>
                <w:lang w:val="en-US" w:eastAsia="zh-CN"/>
              </w:rPr>
              <w:t>90</w:t>
            </w:r>
            <w:r>
              <w:rPr>
                <w:rStyle w:val="21"/>
                <w:lang w:val="en-US" w:eastAsia="zh-CN"/>
              </w:rPr>
              <w:t>亩高山羌活基地的基础上，扩建高山羌活繁育基地</w:t>
            </w:r>
            <w:r>
              <w:rPr>
                <w:rStyle w:val="22"/>
                <w:rFonts w:eastAsia="宋体"/>
                <w:lang w:val="en-US" w:eastAsia="zh-CN"/>
              </w:rPr>
              <w:t>50</w:t>
            </w:r>
            <w:r>
              <w:rPr>
                <w:rStyle w:val="21"/>
                <w:lang w:val="en-US" w:eastAsia="zh-CN"/>
              </w:rPr>
              <w:t>亩，新建基地业务用房，喷灌设施，开展病虫害防治，有机肥为主的地力培肥，新优品种试验示范，基地管理劳务，基地土地流转，生产材料购置等。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84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芦花镇中药材产业园区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黑水县瓦布贝母产业基地建设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四川亿源农业有限公司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推广瓦布贝母大田栽培</w:t>
            </w:r>
            <w:r>
              <w:rPr>
                <w:rStyle w:val="22"/>
                <w:rFonts w:eastAsia="宋体"/>
                <w:lang w:val="en-US" w:eastAsia="zh-CN"/>
              </w:rPr>
              <w:t>200</w:t>
            </w:r>
            <w:r>
              <w:rPr>
                <w:rStyle w:val="21"/>
                <w:lang w:val="en-US" w:eastAsia="zh-CN"/>
              </w:rPr>
              <w:t>亩，配套基础设施建设、遮阳网、肥料等生产资料，标准化技术推广与应用。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段久富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山莨菪种植推广基地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成都第一制药有限责任公司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在芦花镇扩建山莨菪种植推广基地</w:t>
            </w:r>
            <w:r>
              <w:rPr>
                <w:rStyle w:val="22"/>
                <w:rFonts w:eastAsia="宋体"/>
                <w:lang w:val="en-US" w:eastAsia="zh-CN"/>
              </w:rPr>
              <w:t>500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红毛五加种植推广基地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扩建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四川天沃农业有限公司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在芦花镇日多村扩建红毛五加种植推广基地</w:t>
            </w:r>
            <w:r>
              <w:rPr>
                <w:rStyle w:val="22"/>
                <w:rFonts w:eastAsia="宋体"/>
                <w:lang w:val="en-US" w:eastAsia="zh-CN"/>
              </w:rPr>
              <w:t>200</w:t>
            </w:r>
            <w:r>
              <w:rPr>
                <w:rStyle w:val="21"/>
                <w:lang w:val="en-US" w:eastAsia="zh-CN"/>
              </w:rPr>
              <w:t>亩，配套相关基础设施。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杨富康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125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黑水当归种植推广基地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阿坝州盛邦生态产业发展有限公司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在西尔镇新建黑水当归种植推广基地</w:t>
            </w:r>
            <w:r>
              <w:rPr>
                <w:rStyle w:val="22"/>
                <w:rFonts w:eastAsia="宋体"/>
                <w:lang w:val="en-US" w:eastAsia="zh-CN"/>
              </w:rPr>
              <w:t>150</w:t>
            </w:r>
            <w:r>
              <w:rPr>
                <w:rStyle w:val="21"/>
                <w:lang w:val="en-US" w:eastAsia="zh-CN"/>
              </w:rPr>
              <w:t>亩，并配套相关基础设施。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40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黑水中藏药材产业纳入彭州天府中药城规划及飞地园区建设项目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将黑水中藏药材产业纳入彭州天府中药城规划及飞地园区建设。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二古基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何飞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经作站、产业办、土肥站</w:t>
            </w:r>
          </w:p>
        </w:tc>
      </w:tr>
      <w:tr>
        <w:trPr>
          <w:trHeight w:val="165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沙石多中药材研发中心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新建沙石多药蜜谷研发中心，配套相关设施设备。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丁贵红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发展规划股</w:t>
            </w:r>
          </w:p>
        </w:tc>
      </w:tr>
      <w:tr>
        <w:trPr>
          <w:trHeight w:val="176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重点药材有效成分和土壤检测项目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对瓦布贝母、高山羌活、红毛五加、山莨菪等重点药材土壤农残、重金属、有效成分进行检测。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二古基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任春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农产品质量检测站、土肥站</w:t>
            </w:r>
          </w:p>
        </w:tc>
      </w:tr>
      <w:tr>
        <w:trPr>
          <w:trHeight w:val="246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道地中药材品牌建设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开展黑水当归、红毛五加等中药材地标申请，开展中药材产品营销等工作。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二古基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任春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农产品质量检测站</w:t>
            </w:r>
          </w:p>
        </w:tc>
      </w:tr>
      <w:tr>
        <w:trPr>
          <w:trHeight w:val="336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组建黑水中藏药产业发展专家团队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续建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组建黑水中藏药产业发展专家团队，开展品种改良，种植技术规范，指导中药企业、中藏药材种植</w:t>
            </w:r>
            <w:r>
              <w:rPr>
                <w:rStyle w:val="22"/>
                <w:rFonts w:eastAsia="宋体"/>
                <w:lang w:val="en-US" w:eastAsia="zh-CN"/>
              </w:rPr>
              <w:t>(</w:t>
            </w:r>
            <w:r>
              <w:rPr>
                <w:rStyle w:val="21"/>
                <w:lang w:val="en-US" w:eastAsia="zh-CN"/>
              </w:rPr>
              <w:t>养殖</w:t>
            </w:r>
            <w:r>
              <w:rPr>
                <w:rStyle w:val="22"/>
                <w:rFonts w:eastAsia="宋体"/>
                <w:lang w:val="en-US" w:eastAsia="zh-CN"/>
              </w:rPr>
              <w:t>)</w:t>
            </w:r>
            <w:r>
              <w:rPr>
                <w:rStyle w:val="21"/>
                <w:lang w:val="en-US" w:eastAsia="zh-CN"/>
              </w:rPr>
              <w:t>合作社和职业经理人等应用现代理念、技术、标准和设施，引领中藏药材产业提档升级。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三珠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农技推广站</w:t>
            </w:r>
          </w:p>
        </w:tc>
      </w:tr>
      <w:tr>
        <w:trPr>
          <w:trHeight w:val="174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黑水县中药材加工厂建设项目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引进一批中药材生产、加工机械化设备，建设中药材贮藏、分拣、加工车间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  <w:r>
              <w:rPr>
                <w:rStyle w:val="21"/>
                <w:lang w:val="en-US" w:eastAsia="zh-CN"/>
              </w:rPr>
              <w:t>家。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丁贵红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发展规划股</w:t>
            </w:r>
          </w:p>
        </w:tc>
      </w:tr>
      <w:tr>
        <w:trPr>
          <w:trHeight w:val="63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建立黑水县中药材产业推进办公室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办公业务经费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杨帆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冉毅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产业办</w:t>
            </w:r>
          </w:p>
        </w:tc>
      </w:tr>
      <w:tr>
        <w:trPr>
          <w:trHeight w:val="140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土地流转奖补资金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用于</w:t>
            </w:r>
            <w:r>
              <w:rPr>
                <w:rStyle w:val="22"/>
                <w:rFonts w:eastAsia="宋体"/>
                <w:lang w:val="en-US" w:eastAsia="zh-CN"/>
              </w:rPr>
              <w:t>2022-2025</w:t>
            </w:r>
            <w:r>
              <w:rPr>
                <w:rStyle w:val="21"/>
                <w:lang w:val="en-US" w:eastAsia="zh-CN"/>
              </w:rPr>
              <w:t>年中药材产业发展经营主体土地流转奖补费用。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二古基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何飞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经作站</w:t>
            </w:r>
          </w:p>
        </w:tc>
      </w:tr>
      <w:tr>
        <w:trPr>
          <w:trHeight w:val="1440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中药材种植推广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/>
              </w:rPr>
              <w:t>用于</w:t>
            </w:r>
            <w:r>
              <w:rPr>
                <w:rStyle w:val="22"/>
                <w:rFonts w:eastAsia="宋体"/>
                <w:lang w:val="en-US" w:eastAsia="zh-CN"/>
              </w:rPr>
              <w:t>2022-2025</w:t>
            </w:r>
            <w:r>
              <w:rPr>
                <w:rStyle w:val="21"/>
                <w:lang w:val="en-US" w:eastAsia="zh-CN"/>
              </w:rPr>
              <w:t>年中药材产业的种子种苗事后奖补资金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2021.1.1-2025.12.30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马吉元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县科农牧水局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二古基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何飞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产业办</w:t>
            </w:r>
          </w:p>
        </w:tc>
      </w:tr>
      <w:tr>
        <w:trPr>
          <w:trHeight w:val="330"/>
        </w:trPr>
        <w:tc>
          <w:tcPr>
            <w:tcW w:w="559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Times New Roman" w:cs="Times New Roman" w:hAnsi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pStyle w:val="1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eastAsia="黑体" w:cs="Times New Roman" w:hAnsi="Times New Roman"/>
          <w:sz w:val="28"/>
          <w:szCs w:val="28"/>
        </w:rPr>
      </w:pPr>
      <w:r>
        <w:rPr>
          <w:rFonts w:ascii="Times New Roman" w:eastAsia="黑体" w:cs="Times New Roman" w:hAnsi="Times New Roman"/>
          <w:sz w:val="28"/>
          <w:szCs w:val="28"/>
        </w:rPr>
        <w:t>信息公开选项</w:t>
      </w:r>
      <w:r>
        <w:rPr>
          <w:rFonts w:ascii="Times New Roman" w:eastAsia="宋体" w:cs="Times New Roman" w:hAnsi="Times New Roman"/>
          <w:sz w:val="28"/>
          <w:szCs w:val="28"/>
        </w:rPr>
        <w:t>：</w:t>
      </w:r>
      <w:r>
        <w:rPr>
          <w:rFonts w:ascii="Calibri" w:eastAsia="方正小标宋_GBK" w:cs="Times New Roman" w:hAnsi="Calibri" w:hint="eastAsia"/>
          <w:sz w:val="28"/>
          <w:szCs w:val="28"/>
          <w:lang w:eastAsia="zh-CN"/>
        </w:rPr>
        <w:t>主动公开</w:t>
      </w:r>
    </w:p>
    <w:tbl>
      <w:tblPr>
        <w:jc w:val="left"/>
        <w:tblInd w:w="7" w:type="dxa"/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>
        <w:tc>
          <w:tcPr>
            <w:tcW w:w="9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100" w:firstLine="280"/>
              <w:textAlignment w:val="auto"/>
              <w:outlineLvl w:val="9"/>
              <w:rPr>
                <w:rFonts w:ascii="Times New Roman" w:eastAsia="仿宋_GB2312" w:cs="Times New Roman" w:hAnsi="Times New Roman" w:hint="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 xml:space="preserve">黑水县人民政府办公室　　　　　　　       </w:t>
            </w:r>
            <w:r>
              <w:rPr>
                <w:rFonts w:ascii="Times New Roman" w:eastAsia="仿宋_GB2312" w:cs="Times New Roman" w:hAnsi="Times New Roman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日印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仿宋_GB2312"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ascii="Times New Roman" w:eastAsia="仿宋_GB2312" w:cs="Times New Roman" w:hAnsi="Times New Roman"/>
          <w:sz w:val="28"/>
          <w:szCs w:val="28"/>
        </w:rPr>
        <w:t>（共印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92</w:t>
      </w:r>
      <w:r>
        <w:rPr>
          <w:rFonts w:ascii="Times New Roman" w:eastAsia="仿宋_GB2312" w:cs="Times New Roman" w:hAnsi="Times New Roman"/>
          <w:sz w:val="28"/>
          <w:szCs w:val="28"/>
        </w:rPr>
        <w:t>份）</w:t>
      </w:r>
    </w:p>
    <w:sectPr>
      <w:pgSz w:w="11906" w:h="16838"/>
      <w:pgMar w:top="2098" w:right="1474" w:bottom="1984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1800" cy="230251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318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34.00001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next w:val="16"/>
    <w:pPr>
      <w:spacing w:after="120"/>
      <w:ind w:leftChars="200" w:left="200"/>
    </w:pPr>
  </w:style>
  <w:style w:type="paragraph" w:styleId="16">
    <w:name w:val="Body Text First Indent 2"/>
    <w:basedOn w:val="15"/>
    <w:next w:val="0"/>
    <w:pPr>
      <w:widowControl w:val="0"/>
      <w:spacing w:after="0"/>
      <w:ind w:firstLineChars="200" w:firstLine="200"/>
      <w:textAlignment w:val="auto"/>
    </w:pPr>
    <w:rPr>
      <w:rFonts w:cs="宋体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able of figures"/>
    <w:basedOn w:val="0"/>
    <w:next w:val="0"/>
    <w:pPr>
      <w:ind w:leftChars="200" w:left="400" w:hangingChars="200" w:hanging="200"/>
    </w:pPr>
    <w:rPr>
      <w:rFonts w:ascii="Times New Roman" w:hAnsi="Times New Roman"/>
    </w:rPr>
  </w:style>
  <w:style w:type="paragraph" w:customStyle="1" w:styleId="20">
    <w:name w:val="table of figures1"/>
    <w:basedOn w:val="0"/>
    <w:next w:val="0"/>
    <w:pPr>
      <w:ind w:leftChars="200" w:left="400" w:hangingChars="200" w:hanging="200"/>
    </w:pPr>
  </w:style>
  <w:style w:type="character" w:customStyle="1" w:styleId="21">
    <w:name w:val="font01"/>
    <w:basedOn w:val="1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0"/>
    <w:rPr>
      <w:rFonts w:ascii="Times New Roman" w:cs="Times New Roman" w:hAnsi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</TotalTime>
  <Application>Yozo_Office27021597764231179</Application>
  <Pages>27</Pages>
  <Words>3330</Words>
  <Characters>4100</Characters>
  <Lines>1322</Lines>
  <Paragraphs>472</Paragraphs>
  <CharactersWithSpaces>4241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user</cp:lastModifiedBy>
  <cp:revision>0</cp:revision>
  <dcterms:created xsi:type="dcterms:W3CDTF">2022-02-20T10:36:00Z</dcterms:created>
  <dcterms:modified xsi:type="dcterms:W3CDTF">2022-04-13T09:15:40Z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2052-10.1.0.7698</vt:lpwstr>
  </property>
  <property fmtid="{D5CDD505-2E9C-101B-9397-08002B2CF9AE}" pid="3" name="ICV">
    <vt:lpwstr>F6C9698770374146A670E7BBBD377FF2</vt:lpwstr>
  </property>
</Properties>
</file>