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1"/>
        <w:ind w:leftChars="0" w:left="0" w:firstLineChars="0" w:firstLine="0"/>
        <w:rPr>
          <w:rFonts w:ascii="黑体" w:eastAsia="黑体" w:cs="黑体" w:hint="eastAsia"/>
          <w:sz w:val="32"/>
          <w:szCs w:val="32"/>
          <w:lang w:val="en-US" w:eastAsia="zh-CN" w:bidi="ar-SA"/>
        </w:rPr>
      </w:pPr>
      <w:r>
        <w:rPr>
          <w:rFonts w:ascii="黑体" w:eastAsia="黑体" w:cs="黑体" w:hint="eastAsia"/>
          <w:sz w:val="32"/>
          <w:szCs w:val="32"/>
          <w:lang w:eastAsia="zh-CN" w:bidi="ar-SA"/>
        </w:rPr>
        <w:t>附件</w:t>
      </w:r>
      <w:r>
        <w:rPr>
          <w:rFonts w:ascii="黑体" w:eastAsia="黑体" w:cs="黑体" w:hint="eastAsia"/>
          <w:sz w:val="32"/>
          <w:szCs w:val="32"/>
          <w:lang w:val="en-US" w:eastAsia="zh-CN" w:bidi="ar-SA"/>
        </w:rPr>
        <w:t>1</w:t>
      </w:r>
    </w:p>
    <w:p>
      <w:pPr>
        <w:rPr>
          <w:rFonts w:hint="eastAsia"/>
          <w:lang w:eastAsia="zh-CN"/>
        </w:rPr>
      </w:pPr>
    </w:p>
    <w:p>
      <w:pPr>
        <w:pStyle w:val="22"/>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eastAsia="方正小标宋_GBK" w:cs="方正小标宋_GBK"/>
          <w:color w:val="000000"/>
          <w:sz w:val="44"/>
          <w:szCs w:val="44"/>
          <w14:textFill>
            <w14:solidFill>
              <w14:srgbClr w14:val="000000"/>
            </w14:solidFill>
          </w14:textFill>
          <w:lang w:val="en-US" w:eastAsia="zh-CN"/>
        </w:rPr>
      </w:pPr>
      <w:r>
        <w:rPr>
          <w:rFonts w:ascii="方正小标宋_GBK" w:eastAsia="方正小标宋_GBK" w:cs="方正小标宋_GBK" w:hint="eastAsia"/>
          <w:color w:val="000000"/>
          <w:sz w:val="44"/>
          <w:szCs w:val="44"/>
          <w14:textFill>
            <w14:solidFill>
              <w14:srgbClr w14:val="000000"/>
            </w14:solidFill>
          </w14:textFill>
          <w:lang w:val="en-US" w:eastAsia="zh-CN"/>
        </w:rPr>
        <w:t>黑水县</w:t>
      </w:r>
      <w:r>
        <w:rPr>
          <w:rFonts w:ascii="方正小标宋_GBK" w:eastAsia="方正小标宋_GBK" w:cs="方正小标宋_GBK"/>
          <w:color w:val="000000"/>
          <w:sz w:val="44"/>
          <w:szCs w:val="44"/>
          <w14:textFill>
            <w14:solidFill>
              <w14:srgbClr w14:val="000000"/>
            </w14:solidFill>
          </w14:textFill>
          <w:lang w:val="en-US" w:eastAsia="zh-CN"/>
        </w:rPr>
        <w:t>重要民生商品保供稳价工作分工方案</w:t>
      </w:r>
    </w:p>
    <w:tbl>
      <w:tblPr>
        <w:tblpPr w:leftFromText="180" w:rightFromText="180" w:vertAnchor="text" w:horzAnchor="page" w:tblpX="1744" w:tblpY="72"/>
        <w:tblOverlap w:val="never"/>
        <w:tblW w:w="1344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880"/>
        <w:gridCol w:w="1938"/>
        <w:gridCol w:w="2052"/>
        <w:gridCol w:w="6105"/>
        <w:gridCol w:w="1471"/>
      </w:tblGrid>
      <w:tr>
        <w:trPr>
          <w:trHeight w:val="516"/>
          <w:tblHeader/>
        </w:trPr>
        <w:tc>
          <w:tcPr>
            <w:tcW w:w="188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黑体" w:cs="Times New Roman" w:hAnsi="Times New Roman"/>
                <w:bCs/>
                <w:color w:val="auto"/>
                <w:sz w:val="24"/>
                <w:szCs w:val="24"/>
                <w:u w:val="none"/>
                <w:lang w:bidi="ar-SA"/>
                <w:highlight w:val="auto"/>
              </w:rPr>
            </w:pPr>
            <w:r>
              <w:rPr>
                <w:rFonts w:ascii="Times New Roman" w:eastAsia="黑体" w:cs="Times New Roman" w:hAnsi="Times New Roman"/>
                <w:bCs/>
                <w:color w:val="auto"/>
                <w:kern w:val="0"/>
                <w:sz w:val="24"/>
                <w:szCs w:val="24"/>
                <w:u w:val="none"/>
                <w:lang w:val="en-US" w:eastAsia="zh-CN"/>
                <w:highlight w:val="auto"/>
              </w:rPr>
              <w:t>重点政策</w:t>
            </w: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黑体" w:cs="Times New Roman" w:hAnsi="Times New Roman"/>
                <w:bCs/>
                <w:color w:val="auto"/>
                <w:sz w:val="24"/>
                <w:szCs w:val="24"/>
                <w:u w:val="none"/>
                <w:lang w:bidi="ar-SA"/>
                <w:highlight w:val="auto"/>
              </w:rPr>
            </w:pPr>
            <w:r>
              <w:rPr>
                <w:rFonts w:ascii="Times New Roman" w:eastAsia="黑体" w:cs="Times New Roman" w:hAnsi="Times New Roman"/>
                <w:bCs/>
                <w:color w:val="auto"/>
                <w:kern w:val="0"/>
                <w:sz w:val="24"/>
                <w:szCs w:val="24"/>
                <w:u w:val="none"/>
                <w:lang w:val="en-US" w:eastAsia="zh-CN"/>
                <w:highlight w:val="auto"/>
              </w:rPr>
              <w:t>主要任务</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黑体" w:cs="Times New Roman" w:hAnsi="Times New Roman"/>
                <w:bCs/>
                <w:color w:val="auto"/>
                <w:sz w:val="24"/>
                <w:szCs w:val="24"/>
                <w:u w:val="none"/>
                <w:lang w:bidi="ar-SA"/>
                <w:highlight w:val="auto"/>
              </w:rPr>
            </w:pPr>
            <w:r>
              <w:rPr>
                <w:rFonts w:ascii="Times New Roman" w:eastAsia="黑体" w:cs="Times New Roman" w:hAnsi="Times New Roman"/>
                <w:bCs/>
                <w:color w:val="auto"/>
                <w:kern w:val="0"/>
                <w:sz w:val="24"/>
                <w:szCs w:val="24"/>
                <w:u w:val="none"/>
                <w:lang w:val="en-US" w:eastAsia="zh-CN"/>
                <w:highlight w:val="auto"/>
              </w:rPr>
              <w:t>牵头单位</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黑体" w:cs="Times New Roman" w:hAnsi="Times New Roman"/>
                <w:bCs/>
                <w:color w:val="auto"/>
                <w:sz w:val="24"/>
                <w:szCs w:val="24"/>
                <w:u w:val="none"/>
                <w:lang w:bidi="ar-SA"/>
                <w:highlight w:val="auto"/>
              </w:rPr>
            </w:pPr>
            <w:r>
              <w:rPr>
                <w:rFonts w:ascii="Times New Roman" w:eastAsia="黑体" w:cs="Times New Roman" w:hAnsi="Times New Roman"/>
                <w:bCs/>
                <w:color w:val="auto"/>
                <w:kern w:val="0"/>
                <w:sz w:val="24"/>
                <w:szCs w:val="24"/>
                <w:u w:val="none"/>
                <w:lang w:val="en-US" w:eastAsia="zh-CN"/>
                <w:highlight w:val="auto"/>
              </w:rPr>
              <w:t>具体工作</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黑体" w:cs="Times New Roman" w:hAnsi="Times New Roman"/>
                <w:bCs/>
                <w:color w:val="auto"/>
                <w:sz w:val="24"/>
                <w:szCs w:val="24"/>
                <w:u w:val="none"/>
                <w:lang w:bidi="ar-SA"/>
                <w:highlight w:val="auto"/>
              </w:rPr>
            </w:pPr>
            <w:r>
              <w:rPr>
                <w:rFonts w:ascii="Times New Roman" w:eastAsia="黑体" w:cs="Times New Roman" w:hAnsi="Times New Roman"/>
                <w:bCs/>
                <w:color w:val="auto"/>
                <w:kern w:val="0"/>
                <w:sz w:val="24"/>
                <w:szCs w:val="24"/>
                <w:u w:val="none"/>
                <w:lang w:val="en-US" w:eastAsia="zh-CN"/>
                <w:highlight w:val="auto"/>
              </w:rPr>
              <w:t>时限要求</w:t>
            </w:r>
          </w:p>
        </w:tc>
      </w:tr>
      <w:tr>
        <w:trPr>
          <w:trHeight w:val="828"/>
        </w:trPr>
        <w:tc>
          <w:tcPr>
            <w:tcW w:w="1880" w:type="dxa"/>
            <w:tcBorders>
              <w:top w:val="single" w:sz="4" w:space="0" w:color="auto"/>
              <w:left w:val="single" w:sz="4" w:space="0" w:color="auto"/>
              <w:bottom w:val="nil"/>
              <w:right w:val="single" w:sz="4" w:space="0" w:color="auto"/>
            </w:tcBorders>
            <w:noWrap/>
            <w:vAlign w:val="center"/>
          </w:tcPr>
          <w:p>
            <w:pPr>
              <w:keepNext w:val="0"/>
              <w:keepLines w:val="0"/>
              <w:pageBreakBefore w:val="0"/>
              <w:widowControl w:val="0"/>
              <w:suppressLineNumbers w:val="0"/>
              <w:kinsoku/>
              <w:wordWrap/>
              <w:overflowPunct/>
              <w:topLinePunct w:val="0"/>
              <w:autoSpaceDE/>
              <w:autoSpaceDN/>
              <w:adjustRightInd/>
              <w:snapToGrid/>
              <w:spacing w:line="360" w:lineRule="exact"/>
              <w:textAlignment w:val="center"/>
              <w:rPr>
                <w:rFonts w:ascii="Times New Roman" w:eastAsia="仿宋_GB2312" w:cs="Times New Roman" w:hAnsi="Times New Roman"/>
                <w:color w:val="auto"/>
                <w:sz w:val="24"/>
                <w:szCs w:val="24"/>
                <w:u w:val="none"/>
                <w:lang w:bidi="ar-SA"/>
                <w:highlight w:val="auto"/>
              </w:rPr>
            </w:pPr>
            <w:r>
              <w:rPr>
                <w:rFonts w:ascii="Times New Roman" w:eastAsia="黑体" w:cs="Times New Roman" w:hAnsi="Times New Roman"/>
                <w:color w:val="auto"/>
                <w:kern w:val="0"/>
                <w:sz w:val="24"/>
                <w:szCs w:val="24"/>
                <w:u w:val="none"/>
                <w:lang w:val="en-US" w:eastAsia="zh-CN" w:bidi="ar-SA"/>
                <w:highlight w:val="auto"/>
              </w:rPr>
              <w:t>一、建立健全协同工作联席会议制度</w:t>
            </w: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kern w:val="0"/>
                <w:sz w:val="24"/>
                <w:szCs w:val="24"/>
                <w:u w:val="none"/>
                <w:lang w:val="en-US" w:eastAsia="zh-CN"/>
                <w:highlight w:val="auto"/>
              </w:rPr>
              <w:t>1.建立协同工作联席会议制度、召开联席会议</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u w:val="none"/>
                <w:lang w:eastAsia="zh-CN" w:bidi="ar-SA"/>
                <w:highlight w:val="auto"/>
              </w:rPr>
              <w:t>县发改局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sz w:val="24"/>
                <w:szCs w:val="24"/>
                <w:u w:val="none"/>
                <w:lang w:eastAsia="zh-CN" w:bidi="ar-SA"/>
                <w:highlight w:val="auto"/>
              </w:rPr>
              <w:t>建立健全部门联席协同工作联席会议制度、组织召开联席会议</w:t>
            </w:r>
            <w:r>
              <w:rPr>
                <w:rFonts w:ascii="Times New Roman" w:eastAsia="仿宋_GB2312" w:cs="Times New Roman" w:hAnsi="Times New Roman" w:hint="eastAsia"/>
                <w:color w:val="auto"/>
                <w:sz w:val="24"/>
                <w:szCs w:val="24"/>
                <w:u w:val="none"/>
                <w:lang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持续推进</w:t>
            </w:r>
          </w:p>
        </w:tc>
      </w:tr>
      <w:tr>
        <w:trPr>
          <w:trHeight w:val="788"/>
        </w:trPr>
        <w:tc>
          <w:tcPr>
            <w:tcW w:w="1880" w:type="dxa"/>
            <w:vMerge w:val="restart"/>
            <w:tcBorders>
              <w:top w:val="single" w:sz="4" w:space="0" w:color="auto"/>
              <w:left w:val="single" w:sz="4" w:space="0" w:color="auto"/>
              <w:bottom w:val="nil"/>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黑体" w:cs="Times New Roman" w:hAnsi="Times New Roman"/>
                <w:color w:val="auto"/>
                <w:kern w:val="0"/>
                <w:sz w:val="24"/>
                <w:szCs w:val="24"/>
                <w:u w:val="none"/>
                <w:lang w:val="en-US" w:eastAsia="zh-CN"/>
                <w:highlight w:val="auto"/>
              </w:rPr>
            </w:pPr>
            <w:r>
              <w:rPr>
                <w:rFonts w:ascii="Times New Roman" w:eastAsia="黑体" w:cs="Times New Roman" w:hAnsi="Times New Roman" w:hint="eastAsia"/>
                <w:color w:val="auto"/>
                <w:kern w:val="0"/>
                <w:sz w:val="24"/>
                <w:szCs w:val="24"/>
                <w:u w:val="none"/>
                <w:lang w:val="en-US" w:eastAsia="zh-CN"/>
                <w:highlight w:val="auto"/>
              </w:rPr>
              <w:t>二</w:t>
            </w:r>
            <w:r>
              <w:rPr>
                <w:rFonts w:ascii="Times New Roman" w:eastAsia="黑体" w:cs="Times New Roman" w:hAnsi="Times New Roman"/>
                <w:color w:val="auto"/>
                <w:kern w:val="0"/>
                <w:sz w:val="24"/>
                <w:szCs w:val="24"/>
                <w:u w:val="none"/>
                <w:lang w:val="en-US" w:eastAsia="zh-CN"/>
                <w:highlight w:val="auto"/>
              </w:rPr>
              <w:t>、建立健全保供稳价长效机制</w:t>
            </w:r>
          </w:p>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sz w:val="24"/>
                <w:szCs w:val="24"/>
                <w:u w:val="none"/>
                <w:lang w:bidi="ar-SA"/>
                <w:highlight w:val="auto"/>
              </w:rPr>
            </w:pPr>
          </w:p>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sz w:val="24"/>
                <w:szCs w:val="24"/>
                <w:u w:val="none"/>
                <w:lang w:bidi="ar-SA"/>
                <w:highlight w:val="auto"/>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lang w:val="en-US" w:eastAsia="zh-CN"/>
                <w:highlight w:val="auto"/>
              </w:rPr>
              <w:t>2. 建立重要民生商品保供稳价工作实施方案</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u w:val="none"/>
                <w:lang w:eastAsia="zh-CN" w:bidi="ar-SA"/>
                <w:highlight w:val="auto"/>
              </w:rPr>
              <w:t>县发改局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sz w:val="24"/>
                <w:szCs w:val="24"/>
                <w:u w:val="none"/>
                <w:lang w:eastAsia="zh-CN" w:bidi="ar-SA"/>
                <w:highlight w:val="auto"/>
              </w:rPr>
              <w:t>建立健全部门联席协同工作联席会议制度</w:t>
            </w:r>
            <w:r>
              <w:rPr>
                <w:rFonts w:ascii="Times New Roman" w:eastAsia="仿宋_GB2312" w:cs="Times New Roman" w:hAnsi="Times New Roman" w:hint="eastAsia"/>
                <w:color w:val="auto"/>
                <w:sz w:val="24"/>
                <w:szCs w:val="24"/>
                <w:u w:val="none"/>
                <w:lang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u w:val="none"/>
                <w:lang w:val="en-US" w:eastAsia="zh-CN" w:bidi="ar-SA"/>
                <w:highlight w:val="auto"/>
              </w:rPr>
              <w:t>8</w:t>
            </w:r>
            <w:r>
              <w:rPr>
                <w:rFonts w:ascii="Times New Roman" w:eastAsia="仿宋_GB2312" w:cs="Times New Roman" w:hAnsi="Times New Roman"/>
                <w:color w:val="auto"/>
                <w:sz w:val="24"/>
                <w:szCs w:val="24"/>
                <w:u w:val="none"/>
                <w:lang w:val="en-US" w:eastAsia="zh-CN" w:bidi="ar-SA"/>
                <w:highlight w:val="auto"/>
              </w:rPr>
              <w:t>月底前</w:t>
            </w:r>
          </w:p>
        </w:tc>
      </w:tr>
      <w:tr>
        <w:trPr>
          <w:trHeight w:val="680"/>
        </w:trPr>
        <w:tc>
          <w:tcPr>
            <w:tcW w:w="1880" w:type="dxa"/>
            <w:vMerge/>
            <w:tcBorders>
              <w:top w:val="nil"/>
              <w:left w:val="single" w:sz="4" w:space="0" w:color="auto"/>
              <w:bottom w:val="nil"/>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after="0" w:line="320" w:lineRule="exact"/>
              <w:ind w:left="0" w:right="0" w:firstLine="0"/>
              <w:jc w:val="both"/>
              <w:textAlignment w:val="center"/>
              <w:outlineLvl w:val="9"/>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vertAlign w:val="baseline"/>
                <w:lang w:val="en-US" w:eastAsia="zh-CN"/>
              </w:rPr>
              <w:t>3.</w:t>
            </w:r>
            <w:r>
              <w:rPr>
                <w:rFonts w:ascii="Times New Roman" w:eastAsia="仿宋_GB2312" w:cs="Times New Roman" w:hAnsi="Times New Roman"/>
                <w:color w:val="auto"/>
                <w:kern w:val="0"/>
                <w:sz w:val="24"/>
                <w:szCs w:val="24"/>
                <w:vertAlign w:val="baseline"/>
                <w:lang w:val="en-US" w:eastAsia="zh-CN"/>
              </w:rPr>
              <w:t xml:space="preserve"> 建立健全粮油保供稳价应急预案</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u w:val="none"/>
                <w:lang w:eastAsia="zh-CN" w:bidi="ar-SA"/>
                <w:highlight w:val="auto"/>
              </w:rPr>
              <w:t>县发改局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制定粮油保供稳价预案，指导建立相应预案</w:t>
            </w:r>
            <w:r>
              <w:rPr>
                <w:rFonts w:ascii="Times New Roman" w:eastAsia="仿宋_GB2312" w:cs="Times New Roman" w:hAnsi="Times New Roman" w:hint="eastAsia"/>
                <w:color w:val="auto"/>
                <w:sz w:val="24"/>
                <w:szCs w:val="24"/>
                <w:u w:val="none"/>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8</w:t>
            </w:r>
            <w:r>
              <w:rPr>
                <w:rFonts w:ascii="Times New Roman" w:eastAsia="仿宋_GB2312" w:cs="Times New Roman" w:hAnsi="Times New Roman"/>
                <w:color w:val="auto"/>
                <w:kern w:val="2"/>
                <w:sz w:val="24"/>
                <w:szCs w:val="24"/>
                <w:u w:val="none"/>
                <w:lang w:val="en-US" w:eastAsia="zh-CN" w:bidi="ar-SA"/>
                <w:highlight w:val="auto"/>
              </w:rPr>
              <w:t>月底前</w:t>
            </w:r>
          </w:p>
        </w:tc>
      </w:tr>
      <w:tr>
        <w:trPr>
          <w:trHeight w:val="640"/>
        </w:trPr>
        <w:tc>
          <w:tcPr>
            <w:tcW w:w="1880" w:type="dxa"/>
            <w:vMerge/>
            <w:tcBorders>
              <w:top w:val="nil"/>
              <w:left w:val="single" w:sz="4" w:space="0" w:color="auto"/>
              <w:bottom w:val="nil"/>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lang w:val="en-US" w:eastAsia="zh-CN"/>
                <w:highlight w:val="auto"/>
              </w:rPr>
              <w:t>4. 建立健全食盐保供稳价应急预案</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eastAsia="zh-CN" w:bidi="ar-SA"/>
                <w:highlight w:val="auto"/>
              </w:rPr>
            </w:pPr>
            <w:r>
              <w:rPr>
                <w:rFonts w:ascii="Times New Roman" w:eastAsia="仿宋_GB2312" w:cs="Times New Roman" w:hAnsi="Times New Roman" w:hint="eastAsia"/>
                <w:color w:val="auto"/>
                <w:kern w:val="0"/>
                <w:sz w:val="24"/>
                <w:szCs w:val="24"/>
                <w:u w:val="none"/>
                <w:lang w:val="en-US" w:eastAsia="zh-CN"/>
                <w:highlight w:val="auto"/>
              </w:rPr>
              <w:t>县</w:t>
            </w:r>
            <w:r>
              <w:rPr>
                <w:rFonts w:ascii="Times New Roman" w:eastAsia="仿宋_GB2312" w:cs="Times New Roman" w:hAnsi="Times New Roman"/>
                <w:color w:val="auto"/>
                <w:kern w:val="0"/>
                <w:sz w:val="24"/>
                <w:szCs w:val="24"/>
                <w:u w:val="none"/>
                <w:lang w:val="en-US" w:eastAsia="zh-CN"/>
                <w:highlight w:val="auto"/>
              </w:rPr>
              <w:t>经信局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制定食盐保供稳价预案，指导建立相应预案</w:t>
            </w:r>
            <w:r>
              <w:rPr>
                <w:rFonts w:ascii="Times New Roman" w:eastAsia="仿宋_GB2312" w:cs="Times New Roman" w:hAnsi="Times New Roman" w:hint="eastAsia"/>
                <w:color w:val="auto"/>
                <w:sz w:val="24"/>
                <w:szCs w:val="24"/>
                <w:u w:val="none"/>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8</w:t>
            </w:r>
            <w:r>
              <w:rPr>
                <w:rFonts w:ascii="Times New Roman" w:eastAsia="仿宋_GB2312" w:cs="Times New Roman" w:hAnsi="Times New Roman"/>
                <w:color w:val="auto"/>
                <w:kern w:val="2"/>
                <w:sz w:val="24"/>
                <w:szCs w:val="24"/>
                <w:u w:val="none"/>
                <w:lang w:val="en-US" w:eastAsia="zh-CN" w:bidi="ar-SA"/>
                <w:highlight w:val="auto"/>
              </w:rPr>
              <w:t>月底前</w:t>
            </w:r>
          </w:p>
        </w:tc>
      </w:tr>
      <w:tr>
        <w:trPr>
          <w:trHeight w:val="90"/>
        </w:trPr>
        <w:tc>
          <w:tcPr>
            <w:tcW w:w="1880" w:type="dxa"/>
            <w:vMerge/>
            <w:tcBorders>
              <w:top w:val="nil"/>
              <w:left w:val="single" w:sz="4" w:space="0" w:color="auto"/>
              <w:bottom w:val="nil"/>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lang w:val="en-US" w:eastAsia="zh-CN"/>
                <w:highlight w:val="auto"/>
              </w:rPr>
              <w:t xml:space="preserve">5. </w:t>
            </w:r>
            <w:r>
              <w:rPr>
                <w:rFonts w:ascii="Times New Roman" w:eastAsia="仿宋_GB2312" w:cs="Times New Roman" w:hAnsi="Times New Roman"/>
                <w:color w:val="auto"/>
                <w:sz w:val="24"/>
                <w:szCs w:val="24"/>
                <w:u w:val="none"/>
                <w:lang w:val="en-US" w:eastAsia="zh-CN" w:bidi="ar-SA"/>
                <w:highlight w:val="auto"/>
              </w:rPr>
              <w:t>建立健全猪肉（生猪）保供稳价预案</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0"/>
                <w:sz w:val="24"/>
                <w:szCs w:val="24"/>
                <w:u w:val="none"/>
                <w:lang w:eastAsia="zh-CN"/>
                <w:highlight w:val="auto"/>
              </w:rPr>
              <w:t>县科农</w:t>
            </w:r>
            <w:r>
              <w:rPr>
                <w:rFonts w:ascii="Times New Roman" w:eastAsia="仿宋_GB2312" w:cs="Times New Roman" w:hAnsi="Times New Roman"/>
                <w:color w:val="auto"/>
                <w:kern w:val="0"/>
                <w:sz w:val="24"/>
                <w:szCs w:val="24"/>
                <w:u w:val="none"/>
                <w:lang w:val="en-US" w:eastAsia="zh-CN"/>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sz w:val="24"/>
                <w:szCs w:val="24"/>
                <w:lang w:eastAsia="zh-CN" w:bidi="ar-SA"/>
                <w:highlight w:val="auto"/>
              </w:rPr>
            </w:pPr>
            <w:r>
              <w:rPr>
                <w:rFonts w:ascii="Times New Roman" w:eastAsia="仿宋_GB2312" w:cs="Times New Roman" w:hAnsi="Times New Roman"/>
                <w:color w:val="auto"/>
                <w:sz w:val="24"/>
                <w:szCs w:val="24"/>
                <w:u w:val="none"/>
                <w:lang w:val="en-US" w:eastAsia="zh-CN" w:bidi="ar-SA"/>
                <w:highlight w:val="auto"/>
              </w:rPr>
              <w:t>建立健全猪肉（生猪）保供稳价预案，建立相应预案</w:t>
            </w:r>
            <w:r>
              <w:rPr>
                <w:rFonts w:ascii="Times New Roman" w:eastAsia="仿宋_GB2312" w:cs="Times New Roman" w:hAnsi="Times New Roman" w:hint="eastAsia"/>
                <w:color w:val="auto"/>
                <w:sz w:val="24"/>
                <w:szCs w:val="24"/>
                <w:u w:val="none"/>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8</w:t>
            </w:r>
            <w:r>
              <w:rPr>
                <w:rFonts w:ascii="Times New Roman" w:eastAsia="仿宋_GB2312" w:cs="Times New Roman" w:hAnsi="Times New Roman"/>
                <w:color w:val="auto"/>
                <w:kern w:val="2"/>
                <w:sz w:val="24"/>
                <w:szCs w:val="24"/>
                <w:u w:val="none"/>
                <w:lang w:val="en-US" w:eastAsia="zh-CN" w:bidi="ar-SA"/>
                <w:highlight w:val="auto"/>
              </w:rPr>
              <w:t>月底前</w:t>
            </w:r>
          </w:p>
        </w:tc>
      </w:tr>
      <w:tr>
        <w:trPr>
          <w:trHeight w:val="1070"/>
        </w:trPr>
        <w:tc>
          <w:tcPr>
            <w:tcW w:w="1880" w:type="dxa"/>
            <w:vMerge/>
            <w:tcBorders>
              <w:top w:val="nil"/>
              <w:left w:val="single" w:sz="4" w:space="0" w:color="auto"/>
              <w:bottom w:val="single" w:sz="4" w:space="0" w:color="auto"/>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lang w:val="en-US" w:eastAsia="zh-CN"/>
                <w:highlight w:val="auto"/>
              </w:rPr>
              <w:t>6. 建立健全监测预警机制</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eastAsia="zh-CN" w:bidi="ar-SA"/>
                <w:highlight w:val="auto"/>
              </w:rPr>
            </w:pPr>
            <w:r>
              <w:rPr>
                <w:rFonts w:ascii="Times New Roman" w:eastAsia="仿宋_GB2312" w:cs="Times New Roman" w:hAnsi="Times New Roman" w:hint="eastAsia"/>
                <w:color w:val="auto"/>
                <w:kern w:val="0"/>
                <w:sz w:val="24"/>
                <w:szCs w:val="24"/>
                <w:u w:val="none"/>
                <w:lang w:eastAsia="zh-CN"/>
                <w:highlight w:val="auto"/>
              </w:rPr>
              <w:t>县</w:t>
            </w:r>
            <w:r>
              <w:rPr>
                <w:rFonts w:ascii="Times New Roman" w:eastAsia="仿宋_GB2312" w:cs="Times New Roman" w:hAnsi="Times New Roman"/>
                <w:color w:val="auto"/>
                <w:kern w:val="0"/>
                <w:sz w:val="24"/>
                <w:szCs w:val="24"/>
                <w:u w:val="none"/>
                <w:lang w:eastAsia="zh-CN"/>
                <w:highlight w:val="auto"/>
              </w:rPr>
              <w:t>发</w:t>
            </w:r>
            <w:r>
              <w:rPr>
                <w:rFonts w:ascii="Times New Roman" w:eastAsia="仿宋_GB2312" w:cs="Times New Roman" w:hAnsi="Times New Roman" w:hint="eastAsia"/>
                <w:color w:val="auto"/>
                <w:kern w:val="0"/>
                <w:sz w:val="24"/>
                <w:szCs w:val="24"/>
                <w:u w:val="none"/>
                <w:lang w:eastAsia="zh-CN"/>
                <w:highlight w:val="auto"/>
              </w:rPr>
              <w:t>改局</w:t>
            </w:r>
            <w:r>
              <w:rPr>
                <w:rFonts w:ascii="Times New Roman" w:eastAsia="仿宋_GB2312" w:cs="Times New Roman" w:hAnsi="Times New Roman"/>
                <w:color w:val="auto"/>
                <w:kern w:val="0"/>
                <w:sz w:val="24"/>
                <w:szCs w:val="24"/>
                <w:u w:val="none"/>
                <w:lang w:val="en-US" w:eastAsia="zh-CN"/>
                <w:highlight w:val="auto"/>
              </w:rPr>
              <w:t>、</w:t>
            </w:r>
            <w:r>
              <w:rPr>
                <w:rFonts w:ascii="Times New Roman" w:eastAsia="仿宋_GB2312" w:cs="Times New Roman" w:hAnsi="Times New Roman" w:hint="eastAsia"/>
                <w:color w:val="auto"/>
                <w:kern w:val="0"/>
                <w:sz w:val="24"/>
                <w:szCs w:val="24"/>
                <w:u w:val="none"/>
                <w:lang w:eastAsia="zh-CN"/>
                <w:highlight w:val="auto"/>
              </w:rPr>
              <w:t>县</w:t>
            </w:r>
            <w:r>
              <w:rPr>
                <w:rFonts w:ascii="Times New Roman" w:eastAsia="仿宋_GB2312" w:cs="Times New Roman" w:hAnsi="Times New Roman"/>
                <w:color w:val="auto"/>
                <w:kern w:val="0"/>
                <w:sz w:val="24"/>
                <w:szCs w:val="24"/>
                <w:u w:val="none"/>
                <w:lang w:eastAsia="zh-CN"/>
                <w:highlight w:val="auto"/>
              </w:rPr>
              <w:t>经信局、</w:t>
            </w:r>
            <w:r>
              <w:rPr>
                <w:rFonts w:ascii="Times New Roman" w:eastAsia="仿宋_GB2312" w:cs="Times New Roman" w:hAnsi="Times New Roman" w:hint="eastAsia"/>
                <w:color w:val="auto"/>
                <w:kern w:val="0"/>
                <w:sz w:val="24"/>
                <w:szCs w:val="24"/>
                <w:u w:val="none"/>
                <w:lang w:eastAsia="zh-CN"/>
                <w:highlight w:val="auto"/>
              </w:rPr>
              <w:t>县科农局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0"/>
                <w:sz w:val="24"/>
                <w:szCs w:val="24"/>
                <w:u w:val="none"/>
                <w:lang w:eastAsia="zh-CN"/>
                <w:highlight w:val="auto"/>
              </w:rPr>
              <w:t>县</w:t>
            </w:r>
            <w:r>
              <w:rPr>
                <w:rFonts w:ascii="Times New Roman" w:eastAsia="仿宋_GB2312" w:cs="Times New Roman" w:hAnsi="Times New Roman"/>
                <w:color w:val="auto"/>
                <w:kern w:val="0"/>
                <w:sz w:val="24"/>
                <w:szCs w:val="24"/>
                <w:u w:val="none"/>
                <w:lang w:eastAsia="zh-CN"/>
                <w:highlight w:val="auto"/>
              </w:rPr>
              <w:t>发改</w:t>
            </w:r>
            <w:r>
              <w:rPr>
                <w:rFonts w:ascii="Times New Roman" w:eastAsia="仿宋_GB2312" w:cs="Times New Roman" w:hAnsi="Times New Roman" w:hint="eastAsia"/>
                <w:color w:val="auto"/>
                <w:kern w:val="0"/>
                <w:sz w:val="24"/>
                <w:szCs w:val="24"/>
                <w:u w:val="none"/>
                <w:lang w:eastAsia="zh-CN"/>
                <w:highlight w:val="auto"/>
              </w:rPr>
              <w:t>局</w:t>
            </w:r>
            <w:r>
              <w:rPr>
                <w:rFonts w:ascii="Times New Roman" w:eastAsia="仿宋_GB2312" w:cs="Times New Roman" w:hAnsi="Times New Roman"/>
                <w:color w:val="auto"/>
                <w:kern w:val="0"/>
                <w:sz w:val="24"/>
                <w:szCs w:val="24"/>
                <w:u w:val="none"/>
                <w:lang w:val="en-US" w:eastAsia="zh-CN"/>
                <w:highlight w:val="auto"/>
              </w:rPr>
              <w:t>、</w:t>
            </w:r>
            <w:r>
              <w:rPr>
                <w:rFonts w:ascii="Times New Roman" w:eastAsia="仿宋_GB2312" w:cs="Times New Roman" w:hAnsi="Times New Roman" w:hint="eastAsia"/>
                <w:color w:val="auto"/>
                <w:kern w:val="0"/>
                <w:sz w:val="24"/>
                <w:szCs w:val="24"/>
                <w:u w:val="none"/>
                <w:lang w:val="en-US" w:eastAsia="zh-CN"/>
                <w:highlight w:val="auto"/>
              </w:rPr>
              <w:t>县</w:t>
            </w:r>
            <w:r>
              <w:rPr>
                <w:rFonts w:ascii="Times New Roman" w:eastAsia="仿宋_GB2312" w:cs="Times New Roman" w:hAnsi="Times New Roman"/>
                <w:color w:val="auto"/>
                <w:kern w:val="0"/>
                <w:sz w:val="24"/>
                <w:szCs w:val="24"/>
                <w:u w:val="none"/>
                <w:lang w:eastAsia="zh-CN"/>
                <w:highlight w:val="auto"/>
              </w:rPr>
              <w:t>经信局</w:t>
            </w:r>
            <w:r>
              <w:rPr>
                <w:rFonts w:ascii="Times New Roman" w:eastAsia="仿宋_GB2312" w:cs="Times New Roman" w:hAnsi="Times New Roman" w:hint="eastAsia"/>
                <w:color w:val="auto"/>
                <w:kern w:val="0"/>
                <w:sz w:val="24"/>
                <w:szCs w:val="24"/>
                <w:u w:val="none"/>
                <w:lang w:eastAsia="zh-CN"/>
                <w:highlight w:val="auto"/>
              </w:rPr>
              <w:t>、县科农</w:t>
            </w:r>
            <w:r>
              <w:rPr>
                <w:rFonts w:ascii="Times New Roman" w:eastAsia="仿宋_GB2312" w:cs="Times New Roman" w:hAnsi="Times New Roman"/>
                <w:color w:val="auto"/>
                <w:kern w:val="0"/>
                <w:sz w:val="24"/>
                <w:szCs w:val="24"/>
                <w:u w:val="none"/>
                <w:lang w:eastAsia="zh-CN"/>
                <w:highlight w:val="auto"/>
              </w:rPr>
              <w:t>局结合自身职能，建立针对重大自然灾害、公共卫生危机等突发事件相应的监测预警机制</w:t>
            </w:r>
            <w:r>
              <w:rPr>
                <w:rFonts w:ascii="Times New Roman" w:eastAsia="仿宋_GB2312" w:cs="Times New Roman" w:hAnsi="Times New Roman" w:hint="eastAsia"/>
                <w:color w:val="auto"/>
                <w:kern w:val="0"/>
                <w:sz w:val="24"/>
                <w:szCs w:val="24"/>
                <w:u w:val="none"/>
                <w:lang w:eastAsia="zh-CN"/>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u w:val="none"/>
                <w:lang w:val="en-US" w:eastAsia="zh-CN" w:bidi="ar-SA"/>
                <w:highlight w:val="auto"/>
              </w:rPr>
              <w:t>8</w:t>
            </w:r>
            <w:r>
              <w:rPr>
                <w:rFonts w:ascii="Times New Roman" w:eastAsia="仿宋_GB2312" w:cs="Times New Roman" w:hAnsi="Times New Roman"/>
                <w:color w:val="auto"/>
                <w:sz w:val="24"/>
                <w:szCs w:val="24"/>
                <w:u w:val="none"/>
                <w:lang w:val="en-US" w:eastAsia="zh-CN" w:bidi="ar-SA"/>
                <w:highlight w:val="auto"/>
              </w:rPr>
              <w:t>月底前</w:t>
            </w:r>
          </w:p>
        </w:tc>
      </w:tr>
      <w:tr>
        <w:trPr>
          <w:trHeight w:val="90"/>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lang w:val="en-US" w:eastAsia="zh-CN"/>
                <w:highlight w:val="auto"/>
              </w:rPr>
              <w:t>7. 完善困难群众价格补贴联动机制</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u w:val="none"/>
                <w:lang w:eastAsia="zh-CN" w:bidi="ar-SA"/>
                <w:highlight w:val="auto"/>
              </w:rPr>
              <w:t>县</w:t>
            </w:r>
            <w:r>
              <w:rPr>
                <w:rFonts w:ascii="Times New Roman" w:eastAsia="仿宋_GB2312" w:cs="Times New Roman" w:hAnsi="Times New Roman"/>
                <w:color w:val="auto"/>
                <w:sz w:val="24"/>
                <w:szCs w:val="24"/>
                <w:u w:val="none"/>
                <w:lang w:eastAsia="zh-CN" w:bidi="ar-SA"/>
                <w:highlight w:val="auto"/>
              </w:rPr>
              <w:t>发改</w:t>
            </w:r>
            <w:r>
              <w:rPr>
                <w:rFonts w:ascii="Times New Roman" w:eastAsia="仿宋_GB2312" w:cs="Times New Roman" w:hAnsi="Times New Roman" w:hint="eastAsia"/>
                <w:color w:val="auto"/>
                <w:sz w:val="24"/>
                <w:szCs w:val="24"/>
                <w:u w:val="none"/>
                <w:lang w:eastAsia="zh-CN" w:bidi="ar-SA"/>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0"/>
                <w:sz w:val="24"/>
                <w:szCs w:val="24"/>
                <w:u w:val="none"/>
                <w:lang w:val="en-US" w:eastAsia="zh-CN"/>
                <w:highlight w:val="auto"/>
              </w:rPr>
              <w:t>县</w:t>
            </w:r>
            <w:r>
              <w:rPr>
                <w:rFonts w:ascii="Times New Roman" w:eastAsia="仿宋_GB2312" w:cs="Times New Roman" w:hAnsi="Times New Roman"/>
                <w:color w:val="auto"/>
                <w:kern w:val="0"/>
                <w:sz w:val="24"/>
                <w:szCs w:val="24"/>
                <w:u w:val="none"/>
                <w:lang w:val="en-US" w:eastAsia="zh-CN"/>
                <w:highlight w:val="auto"/>
              </w:rPr>
              <w:t>发改</w:t>
            </w:r>
            <w:r>
              <w:rPr>
                <w:rFonts w:ascii="Times New Roman" w:eastAsia="仿宋_GB2312" w:cs="Times New Roman" w:hAnsi="Times New Roman" w:hint="eastAsia"/>
                <w:color w:val="auto"/>
                <w:kern w:val="0"/>
                <w:sz w:val="24"/>
                <w:szCs w:val="24"/>
                <w:u w:val="none"/>
                <w:lang w:val="en-US" w:eastAsia="zh-CN"/>
                <w:highlight w:val="auto"/>
              </w:rPr>
              <w:t>局</w:t>
            </w:r>
            <w:r>
              <w:rPr>
                <w:rFonts w:ascii="Times New Roman" w:eastAsia="仿宋_GB2312" w:cs="Times New Roman" w:hAnsi="Times New Roman"/>
                <w:color w:val="auto"/>
                <w:kern w:val="0"/>
                <w:sz w:val="24"/>
                <w:szCs w:val="24"/>
                <w:u w:val="none"/>
                <w:lang w:val="en-US" w:eastAsia="zh-CN"/>
                <w:highlight w:val="auto"/>
              </w:rPr>
              <w:t>牵头，落实社会救助和保障标准与物价上涨挂钩联动机制；</w:t>
            </w:r>
            <w:r>
              <w:rPr>
                <w:rFonts w:ascii="Times New Roman" w:eastAsia="仿宋_GB2312" w:cs="Times New Roman" w:hAnsi="Times New Roman" w:hint="eastAsia"/>
                <w:color w:val="auto"/>
                <w:kern w:val="0"/>
                <w:sz w:val="24"/>
                <w:szCs w:val="24"/>
                <w:u w:val="none"/>
                <w:lang w:val="en-US" w:eastAsia="zh-CN"/>
                <w:highlight w:val="auto"/>
              </w:rPr>
              <w:t>县财政局</w:t>
            </w:r>
            <w:r>
              <w:rPr>
                <w:rFonts w:ascii="Times New Roman" w:eastAsia="仿宋_GB2312" w:cs="Times New Roman" w:hAnsi="Times New Roman"/>
                <w:color w:val="auto"/>
                <w:kern w:val="0"/>
                <w:sz w:val="24"/>
                <w:szCs w:val="24"/>
                <w:u w:val="none"/>
                <w:lang w:val="en-US" w:eastAsia="zh-CN"/>
                <w:highlight w:val="auto"/>
              </w:rPr>
              <w:t>负责加强价格临时补贴资金保障，及时足额发放价格临时补贴，缓解物价上涨对困难群众基本生活的影响；</w:t>
            </w:r>
            <w:r>
              <w:rPr>
                <w:rFonts w:ascii="Times New Roman" w:eastAsia="仿宋_GB2312" w:cs="Times New Roman" w:hAnsi="Times New Roman" w:hint="eastAsia"/>
                <w:color w:val="auto"/>
                <w:kern w:val="0"/>
                <w:sz w:val="24"/>
                <w:szCs w:val="24"/>
                <w:u w:val="none"/>
                <w:lang w:val="en-US" w:eastAsia="zh-CN"/>
                <w:highlight w:val="auto"/>
              </w:rPr>
              <w:t>县</w:t>
            </w:r>
            <w:r>
              <w:rPr>
                <w:rFonts w:ascii="Times New Roman" w:eastAsia="仿宋_GB2312" w:cs="Times New Roman" w:hAnsi="Times New Roman"/>
                <w:color w:val="auto"/>
                <w:kern w:val="0"/>
                <w:sz w:val="24"/>
                <w:szCs w:val="24"/>
                <w:u w:val="none"/>
                <w:lang w:val="en-US" w:eastAsia="zh-CN"/>
                <w:highlight w:val="auto"/>
              </w:rPr>
              <w:t>民政</w:t>
            </w:r>
            <w:r>
              <w:rPr>
                <w:rFonts w:ascii="Times New Roman" w:eastAsia="仿宋_GB2312" w:cs="Times New Roman" w:hAnsi="Times New Roman" w:hint="eastAsia"/>
                <w:color w:val="auto"/>
                <w:kern w:val="0"/>
                <w:sz w:val="24"/>
                <w:szCs w:val="24"/>
                <w:u w:val="none"/>
                <w:lang w:val="en-US" w:eastAsia="zh-CN"/>
                <w:highlight w:val="auto"/>
              </w:rPr>
              <w:t>局</w:t>
            </w:r>
            <w:r>
              <w:rPr>
                <w:rFonts w:ascii="Times New Roman" w:eastAsia="仿宋_GB2312" w:cs="Times New Roman" w:hAnsi="Times New Roman"/>
                <w:color w:val="auto"/>
                <w:kern w:val="0"/>
                <w:sz w:val="24"/>
                <w:szCs w:val="24"/>
                <w:u w:val="none"/>
                <w:lang w:val="en-US" w:eastAsia="zh-CN"/>
                <w:highlight w:val="auto"/>
              </w:rPr>
              <w:t>、</w:t>
            </w:r>
            <w:r>
              <w:rPr>
                <w:rFonts w:ascii="Times New Roman" w:eastAsia="仿宋_GB2312" w:cs="Times New Roman" w:hAnsi="Times New Roman" w:hint="eastAsia"/>
                <w:color w:val="auto"/>
                <w:kern w:val="0"/>
                <w:sz w:val="24"/>
                <w:szCs w:val="24"/>
                <w:u w:val="none"/>
                <w:lang w:val="en-US" w:eastAsia="zh-CN"/>
                <w:highlight w:val="auto"/>
              </w:rPr>
              <w:t>县</w:t>
            </w:r>
            <w:r>
              <w:rPr>
                <w:rFonts w:ascii="Times New Roman" w:eastAsia="仿宋_GB2312" w:cs="Times New Roman" w:hAnsi="Times New Roman"/>
                <w:color w:val="auto"/>
                <w:kern w:val="0"/>
                <w:sz w:val="24"/>
                <w:szCs w:val="24"/>
                <w:u w:val="none"/>
                <w:lang w:val="en-US" w:eastAsia="zh-CN"/>
                <w:highlight w:val="auto"/>
              </w:rPr>
              <w:t>教育</w:t>
            </w:r>
            <w:r>
              <w:rPr>
                <w:rFonts w:ascii="Times New Roman" w:eastAsia="仿宋_GB2312" w:cs="Times New Roman" w:hAnsi="Times New Roman" w:hint="eastAsia"/>
                <w:color w:val="auto"/>
                <w:kern w:val="0"/>
                <w:sz w:val="24"/>
                <w:szCs w:val="24"/>
                <w:u w:val="none"/>
                <w:lang w:val="en-US" w:eastAsia="zh-CN"/>
                <w:highlight w:val="auto"/>
              </w:rPr>
              <w:t>局</w:t>
            </w:r>
            <w:r>
              <w:rPr>
                <w:rFonts w:ascii="Times New Roman" w:eastAsia="仿宋_GB2312" w:cs="Times New Roman" w:hAnsi="Times New Roman"/>
                <w:color w:val="auto"/>
                <w:kern w:val="0"/>
                <w:sz w:val="24"/>
                <w:szCs w:val="24"/>
                <w:u w:val="none"/>
                <w:lang w:val="en-US" w:eastAsia="zh-CN"/>
                <w:highlight w:val="auto"/>
              </w:rPr>
              <w:t>、</w:t>
            </w:r>
            <w:r>
              <w:rPr>
                <w:rFonts w:ascii="Times New Roman" w:eastAsia="仿宋_GB2312" w:cs="Times New Roman" w:hAnsi="Times New Roman" w:hint="eastAsia"/>
                <w:color w:val="auto"/>
                <w:kern w:val="0"/>
                <w:sz w:val="24"/>
                <w:szCs w:val="24"/>
                <w:u w:val="none"/>
                <w:lang w:val="en-US" w:eastAsia="zh-CN"/>
                <w:highlight w:val="auto"/>
              </w:rPr>
              <w:t>县</w:t>
            </w:r>
            <w:r>
              <w:rPr>
                <w:rFonts w:ascii="Times New Roman" w:eastAsia="仿宋_GB2312" w:cs="Times New Roman" w:hAnsi="Times New Roman"/>
                <w:color w:val="auto"/>
                <w:kern w:val="0"/>
                <w:sz w:val="24"/>
                <w:szCs w:val="24"/>
                <w:u w:val="none"/>
                <w:lang w:val="en-US" w:eastAsia="zh-CN"/>
                <w:highlight w:val="auto"/>
              </w:rPr>
              <w:t>人社</w:t>
            </w:r>
            <w:r>
              <w:rPr>
                <w:rFonts w:ascii="Times New Roman" w:eastAsia="仿宋_GB2312" w:cs="Times New Roman" w:hAnsi="Times New Roman" w:hint="eastAsia"/>
                <w:color w:val="auto"/>
                <w:kern w:val="0"/>
                <w:sz w:val="24"/>
                <w:szCs w:val="24"/>
                <w:u w:val="none"/>
                <w:lang w:val="en-US" w:eastAsia="zh-CN"/>
                <w:highlight w:val="auto"/>
              </w:rPr>
              <w:t>局</w:t>
            </w:r>
            <w:r>
              <w:rPr>
                <w:rFonts w:ascii="Times New Roman" w:eastAsia="仿宋_GB2312" w:cs="Times New Roman" w:hAnsi="Times New Roman"/>
                <w:color w:val="auto"/>
                <w:kern w:val="0"/>
                <w:sz w:val="24"/>
                <w:szCs w:val="24"/>
                <w:u w:val="none"/>
                <w:lang w:val="en-US" w:eastAsia="zh-CN"/>
                <w:highlight w:val="auto"/>
              </w:rPr>
              <w:t>、</w:t>
            </w:r>
            <w:r>
              <w:rPr>
                <w:rFonts w:ascii="Times New Roman" w:eastAsia="仿宋_GB2312" w:cs="Times New Roman" w:hAnsi="Times New Roman" w:hint="eastAsia"/>
                <w:color w:val="auto"/>
                <w:kern w:val="0"/>
                <w:sz w:val="24"/>
                <w:szCs w:val="24"/>
                <w:u w:val="none"/>
                <w:lang w:val="en-US" w:eastAsia="zh-CN"/>
                <w:highlight w:val="auto"/>
              </w:rPr>
              <w:t>县</w:t>
            </w:r>
            <w:r>
              <w:rPr>
                <w:rFonts w:ascii="Times New Roman" w:eastAsia="仿宋_GB2312" w:cs="Times New Roman" w:hAnsi="Times New Roman"/>
                <w:color w:val="auto"/>
                <w:kern w:val="0"/>
                <w:sz w:val="24"/>
                <w:szCs w:val="24"/>
                <w:u w:val="none"/>
                <w:lang w:val="en-US" w:eastAsia="zh-CN"/>
                <w:highlight w:val="auto"/>
              </w:rPr>
              <w:t>退役军人</w:t>
            </w:r>
            <w:r>
              <w:rPr>
                <w:rFonts w:ascii="Times New Roman" w:eastAsia="仿宋_GB2312" w:cs="Times New Roman" w:hAnsi="Times New Roman" w:hint="eastAsia"/>
                <w:color w:val="auto"/>
                <w:kern w:val="0"/>
                <w:sz w:val="24"/>
                <w:szCs w:val="24"/>
                <w:u w:val="none"/>
                <w:lang w:val="en-US" w:eastAsia="zh-CN"/>
                <w:highlight w:val="auto"/>
              </w:rPr>
              <w:t>事务</w:t>
            </w:r>
            <w:r>
              <w:rPr>
                <w:rFonts w:ascii="Times New Roman" w:eastAsia="仿宋_GB2312" w:cs="Times New Roman" w:hAnsi="Times New Roman"/>
                <w:color w:val="auto"/>
                <w:kern w:val="0"/>
                <w:sz w:val="24"/>
                <w:szCs w:val="24"/>
                <w:u w:val="none"/>
                <w:lang w:val="en-US" w:eastAsia="zh-CN"/>
                <w:highlight w:val="auto"/>
              </w:rPr>
              <w:t>局负责合理确定城乡低保对象、特困人员、优抚对象、领取失业保险金人员的保障救助标准。</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kern w:val="2"/>
                <w:sz w:val="24"/>
                <w:szCs w:val="24"/>
                <w:u w:val="none"/>
                <w:lang w:val="en-US" w:eastAsia="zh-CN" w:bidi="ar-SA"/>
                <w:highlight w:val="auto"/>
              </w:rPr>
              <w:t>持续推进</w:t>
            </w:r>
          </w:p>
        </w:tc>
      </w:tr>
      <w:tr>
        <w:trPr>
          <w:trHeight w:val="807"/>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lang w:val="en-US" w:eastAsia="zh-CN"/>
                <w:highlight w:val="auto"/>
              </w:rPr>
              <w:t>8. 建立区域协作机制</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eastAsia="zh-CN" w:bidi="ar-SA"/>
                <w:highlight w:val="auto"/>
              </w:rPr>
            </w:pPr>
            <w:r>
              <w:rPr>
                <w:rFonts w:ascii="Times New Roman" w:eastAsia="仿宋_GB2312" w:cs="Times New Roman" w:hAnsi="Times New Roman" w:hint="eastAsia"/>
                <w:color w:val="auto"/>
                <w:kern w:val="0"/>
                <w:sz w:val="24"/>
                <w:szCs w:val="24"/>
                <w:u w:val="none"/>
                <w:lang w:eastAsia="zh-CN"/>
                <w:highlight w:val="auto"/>
              </w:rPr>
              <w:t>县经信局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县</w:t>
            </w:r>
            <w:r>
              <w:rPr>
                <w:rFonts w:ascii="Times New Roman" w:eastAsia="仿宋_GB2312" w:cs="Times New Roman" w:hAnsi="Times New Roman"/>
                <w:color w:val="auto"/>
                <w:kern w:val="2"/>
                <w:sz w:val="24"/>
                <w:szCs w:val="24"/>
                <w:u w:val="none"/>
                <w:lang w:val="en-US" w:eastAsia="zh-CN" w:bidi="ar-SA"/>
                <w:highlight w:val="auto"/>
              </w:rPr>
              <w:t>发改</w:t>
            </w:r>
            <w:r>
              <w:rPr>
                <w:rFonts w:ascii="Times New Roman" w:eastAsia="仿宋_GB2312" w:cs="Times New Roman" w:hAnsi="Times New Roman" w:hint="eastAsia"/>
                <w:color w:val="auto"/>
                <w:kern w:val="2"/>
                <w:sz w:val="24"/>
                <w:szCs w:val="24"/>
                <w:u w:val="none"/>
                <w:lang w:val="en-US" w:eastAsia="zh-CN" w:bidi="ar-SA"/>
                <w:highlight w:val="auto"/>
              </w:rPr>
              <w:t>局</w:t>
            </w:r>
            <w:r>
              <w:rPr>
                <w:rFonts w:ascii="Times New Roman" w:eastAsia="仿宋_GB2312" w:cs="Times New Roman" w:hAnsi="Times New Roman"/>
                <w:color w:val="auto"/>
                <w:kern w:val="2"/>
                <w:sz w:val="24"/>
                <w:szCs w:val="24"/>
                <w:u w:val="none"/>
                <w:lang w:val="en-US" w:eastAsia="zh-CN" w:bidi="ar-SA"/>
                <w:highlight w:val="auto"/>
              </w:rPr>
              <w:t>、</w:t>
            </w:r>
            <w:r>
              <w:rPr>
                <w:rFonts w:ascii="Times New Roman" w:eastAsia="仿宋_GB2312" w:cs="Times New Roman" w:hAnsi="Times New Roman" w:hint="eastAsia"/>
                <w:color w:val="auto"/>
                <w:kern w:val="2"/>
                <w:sz w:val="24"/>
                <w:szCs w:val="24"/>
                <w:u w:val="none"/>
                <w:lang w:val="en-US" w:eastAsia="zh-CN" w:bidi="ar-SA"/>
                <w:highlight w:val="auto"/>
              </w:rPr>
              <w:t>县</w:t>
            </w:r>
            <w:r>
              <w:rPr>
                <w:rFonts w:ascii="Times New Roman" w:eastAsia="仿宋_GB2312" w:cs="Times New Roman" w:hAnsi="Times New Roman"/>
                <w:color w:val="auto"/>
                <w:kern w:val="2"/>
                <w:sz w:val="24"/>
                <w:szCs w:val="24"/>
                <w:u w:val="none"/>
                <w:lang w:val="en-US" w:eastAsia="zh-CN" w:bidi="ar-SA"/>
                <w:highlight w:val="auto"/>
              </w:rPr>
              <w:t>经信</w:t>
            </w:r>
            <w:r>
              <w:rPr>
                <w:rFonts w:ascii="Times New Roman" w:eastAsia="仿宋_GB2312" w:cs="Times New Roman" w:hAnsi="Times New Roman" w:hint="eastAsia"/>
                <w:color w:val="auto"/>
                <w:kern w:val="2"/>
                <w:sz w:val="24"/>
                <w:szCs w:val="24"/>
                <w:u w:val="none"/>
                <w:lang w:val="en-US" w:eastAsia="zh-CN" w:bidi="ar-SA"/>
                <w:highlight w:val="auto"/>
              </w:rPr>
              <w:t>局</w:t>
            </w:r>
            <w:r>
              <w:rPr>
                <w:rFonts w:ascii="Times New Roman" w:eastAsia="仿宋_GB2312" w:cs="Times New Roman" w:hAnsi="Times New Roman"/>
                <w:color w:val="auto"/>
                <w:kern w:val="2"/>
                <w:sz w:val="24"/>
                <w:szCs w:val="24"/>
                <w:u w:val="none"/>
                <w:lang w:val="en-US" w:eastAsia="zh-CN" w:bidi="ar-SA"/>
                <w:highlight w:val="auto"/>
              </w:rPr>
              <w:t>、</w:t>
            </w:r>
            <w:r>
              <w:rPr>
                <w:rFonts w:ascii="Times New Roman" w:eastAsia="仿宋_GB2312" w:cs="Times New Roman" w:hAnsi="Times New Roman" w:hint="eastAsia"/>
                <w:color w:val="auto"/>
                <w:kern w:val="2"/>
                <w:sz w:val="24"/>
                <w:szCs w:val="24"/>
                <w:u w:val="none"/>
                <w:lang w:val="en-US" w:eastAsia="zh-CN" w:bidi="ar-SA"/>
                <w:highlight w:val="auto"/>
              </w:rPr>
              <w:t>县</w:t>
            </w:r>
            <w:r>
              <w:rPr>
                <w:rFonts w:ascii="Times New Roman" w:eastAsia="仿宋_GB2312" w:cs="Times New Roman" w:hAnsi="Times New Roman"/>
                <w:color w:val="auto"/>
                <w:kern w:val="2"/>
                <w:sz w:val="24"/>
                <w:szCs w:val="24"/>
                <w:u w:val="none"/>
                <w:lang w:val="en-US" w:eastAsia="zh-CN" w:bidi="ar-SA"/>
                <w:highlight w:val="auto"/>
              </w:rPr>
              <w:t>财政</w:t>
            </w:r>
            <w:r>
              <w:rPr>
                <w:rFonts w:ascii="Times New Roman" w:eastAsia="仿宋_GB2312" w:cs="Times New Roman" w:hAnsi="Times New Roman" w:hint="eastAsia"/>
                <w:color w:val="auto"/>
                <w:kern w:val="2"/>
                <w:sz w:val="24"/>
                <w:szCs w:val="24"/>
                <w:u w:val="none"/>
                <w:lang w:val="en-US" w:eastAsia="zh-CN" w:bidi="ar-SA"/>
                <w:highlight w:val="auto"/>
              </w:rPr>
              <w:t>局</w:t>
            </w:r>
            <w:r>
              <w:rPr>
                <w:rFonts w:ascii="Times New Roman" w:eastAsia="仿宋_GB2312" w:cs="Times New Roman" w:hAnsi="Times New Roman"/>
                <w:color w:val="auto"/>
                <w:kern w:val="2"/>
                <w:sz w:val="24"/>
                <w:szCs w:val="24"/>
                <w:u w:val="none"/>
                <w:lang w:val="en-US" w:eastAsia="zh-CN" w:bidi="ar-SA"/>
                <w:highlight w:val="auto"/>
              </w:rPr>
              <w:t>、</w:t>
            </w:r>
            <w:r>
              <w:rPr>
                <w:rFonts w:ascii="Times New Roman" w:eastAsia="仿宋_GB2312" w:cs="Times New Roman" w:hAnsi="Times New Roman" w:hint="eastAsia"/>
                <w:color w:val="auto"/>
                <w:kern w:val="2"/>
                <w:sz w:val="24"/>
                <w:szCs w:val="24"/>
                <w:u w:val="none"/>
                <w:lang w:val="en-US" w:eastAsia="zh-CN" w:bidi="ar-SA"/>
                <w:highlight w:val="auto"/>
              </w:rPr>
              <w:t>县</w:t>
            </w:r>
            <w:r>
              <w:rPr>
                <w:rFonts w:ascii="Times New Roman" w:eastAsia="仿宋_GB2312" w:cs="Times New Roman" w:hAnsi="Times New Roman"/>
                <w:color w:val="auto"/>
                <w:kern w:val="2"/>
                <w:sz w:val="24"/>
                <w:szCs w:val="24"/>
                <w:u w:val="none"/>
                <w:lang w:val="en-US" w:eastAsia="zh-CN" w:bidi="ar-SA"/>
                <w:highlight w:val="auto"/>
              </w:rPr>
              <w:t>交通</w:t>
            </w:r>
            <w:r>
              <w:rPr>
                <w:rFonts w:ascii="Times New Roman" w:eastAsia="仿宋_GB2312" w:cs="Times New Roman" w:hAnsi="Times New Roman" w:hint="eastAsia"/>
                <w:color w:val="auto"/>
                <w:kern w:val="2"/>
                <w:sz w:val="24"/>
                <w:szCs w:val="24"/>
                <w:u w:val="none"/>
                <w:lang w:val="en-US" w:eastAsia="zh-CN" w:bidi="ar-SA"/>
                <w:highlight w:val="auto"/>
              </w:rPr>
              <w:t>局</w:t>
            </w:r>
            <w:r>
              <w:rPr>
                <w:rFonts w:ascii="Times New Roman" w:eastAsia="仿宋_GB2312" w:cs="Times New Roman" w:hAnsi="Times New Roman"/>
                <w:color w:val="auto"/>
                <w:kern w:val="2"/>
                <w:sz w:val="24"/>
                <w:szCs w:val="24"/>
                <w:u w:val="none"/>
                <w:lang w:val="en-US" w:eastAsia="zh-CN" w:bidi="ar-SA"/>
                <w:highlight w:val="auto"/>
              </w:rPr>
              <w:t>、</w:t>
            </w:r>
            <w:r>
              <w:rPr>
                <w:rFonts w:ascii="Times New Roman" w:eastAsia="仿宋_GB2312" w:cs="Times New Roman" w:hAnsi="Times New Roman" w:hint="eastAsia"/>
                <w:color w:val="auto"/>
                <w:kern w:val="2"/>
                <w:sz w:val="24"/>
                <w:szCs w:val="24"/>
                <w:u w:val="none"/>
                <w:lang w:val="en-US" w:eastAsia="zh-CN" w:bidi="ar-SA"/>
                <w:highlight w:val="auto"/>
              </w:rPr>
              <w:t>县科农局</w:t>
            </w:r>
            <w:r>
              <w:rPr>
                <w:rFonts w:ascii="Times New Roman" w:eastAsia="仿宋_GB2312" w:cs="Times New Roman" w:hAnsi="Times New Roman"/>
                <w:color w:val="auto"/>
                <w:kern w:val="2"/>
                <w:sz w:val="24"/>
                <w:szCs w:val="24"/>
                <w:u w:val="none"/>
                <w:lang w:val="en-US" w:eastAsia="zh-CN" w:bidi="ar-SA"/>
                <w:highlight w:val="auto"/>
              </w:rPr>
              <w:t>等部门配合，按照职责分工建立区域协作机制。</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u w:val="none"/>
                <w:lang w:val="en-US" w:eastAsia="zh-CN" w:bidi="ar-SA"/>
                <w:highlight w:val="auto"/>
              </w:rPr>
              <w:t>8</w:t>
            </w:r>
            <w:r>
              <w:rPr>
                <w:rFonts w:ascii="Times New Roman" w:eastAsia="仿宋_GB2312" w:cs="Times New Roman" w:hAnsi="Times New Roman"/>
                <w:color w:val="auto"/>
                <w:sz w:val="24"/>
                <w:szCs w:val="24"/>
                <w:u w:val="none"/>
                <w:lang w:val="en-US" w:eastAsia="zh-CN" w:bidi="ar-SA"/>
                <w:highlight w:val="auto"/>
              </w:rPr>
              <w:t>月底前</w:t>
            </w:r>
          </w:p>
        </w:tc>
      </w:tr>
      <w:tr>
        <w:trPr>
          <w:trHeight w:val="849"/>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bidi="ar-SA"/>
                <w:highlight w:val="auto"/>
              </w:rPr>
            </w:pPr>
            <w:r>
              <w:rPr>
                <w:rFonts w:ascii="Times New Roman" w:eastAsia="仿宋_GB2312" w:cs="Times New Roman" w:hAnsi="Times New Roman"/>
                <w:color w:val="auto"/>
                <w:kern w:val="0"/>
                <w:sz w:val="24"/>
                <w:szCs w:val="24"/>
                <w:u w:val="none"/>
                <w:lang w:val="en-US" w:eastAsia="zh-CN"/>
                <w:highlight w:val="auto"/>
              </w:rPr>
              <w:t>9. 建立市场监管机制</w:t>
            </w: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sz w:val="24"/>
                <w:szCs w:val="24"/>
                <w:lang w:eastAsia="zh-CN"/>
                <w:highlight w:val="auto"/>
              </w:rPr>
              <w:t>县</w:t>
            </w:r>
            <w:r>
              <w:rPr>
                <w:rFonts w:ascii="Times New Roman" w:eastAsia="仿宋_GB2312" w:cs="Times New Roman" w:hAnsi="Times New Roman"/>
                <w:color w:val="auto"/>
                <w:sz w:val="24"/>
                <w:szCs w:val="24"/>
                <w:lang w:eastAsia="zh-CN"/>
                <w:highlight w:val="auto"/>
              </w:rPr>
              <w:t>市场监</w:t>
            </w:r>
            <w:r>
              <w:rPr>
                <w:rFonts w:ascii="Times New Roman" w:eastAsia="仿宋_GB2312" w:cs="Times New Roman" w:hAnsi="Times New Roman" w:hint="eastAsia"/>
                <w:color w:val="auto"/>
                <w:sz w:val="24"/>
                <w:szCs w:val="24"/>
                <w:lang w:eastAsia="zh-CN"/>
                <w:highlight w:val="auto"/>
              </w:rPr>
              <w:t>督管理</w:t>
            </w:r>
            <w:r>
              <w:rPr>
                <w:rFonts w:ascii="Times New Roman" w:eastAsia="仿宋_GB2312" w:cs="Times New Roman" w:hAnsi="Times New Roman"/>
                <w:color w:val="auto"/>
                <w:sz w:val="24"/>
                <w:szCs w:val="24"/>
                <w:lang w:eastAsia="zh-CN"/>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kern w:val="2"/>
                <w:sz w:val="24"/>
                <w:szCs w:val="24"/>
                <w:u w:val="none"/>
                <w:lang w:val="en-US" w:eastAsia="zh-CN" w:bidi="ar-SA"/>
                <w:highlight w:val="auto"/>
              </w:rPr>
              <w:t>根据价格法、反垄断法、价格违法行为行政处罚规定、</w:t>
            </w:r>
            <w:r>
              <w:rPr>
                <w:rFonts w:ascii="Times New Roman" w:eastAsia="仿宋_GB2312" w:cs="Times New Roman" w:hAnsi="Times New Roman" w:hint="eastAsia"/>
                <w:color w:val="auto"/>
                <w:kern w:val="2"/>
                <w:sz w:val="24"/>
                <w:szCs w:val="24"/>
                <w:u w:val="none"/>
                <w:lang w:val="en-US" w:eastAsia="zh-CN" w:bidi="ar-SA"/>
                <w:highlight w:val="auto"/>
              </w:rPr>
              <w:t>制定牟</w:t>
            </w:r>
            <w:r>
              <w:rPr>
                <w:rFonts w:ascii="Times New Roman" w:eastAsia="仿宋_GB2312" w:cs="Times New Roman" w:hAnsi="Times New Roman"/>
                <w:color w:val="auto"/>
                <w:kern w:val="2"/>
                <w:sz w:val="24"/>
                <w:szCs w:val="24"/>
                <w:u w:val="none"/>
                <w:lang w:val="en-US" w:eastAsia="zh-CN" w:bidi="ar-SA"/>
                <w:highlight w:val="auto"/>
              </w:rPr>
              <w:t>取暴利的</w:t>
            </w:r>
            <w:r>
              <w:rPr>
                <w:rFonts w:ascii="Times New Roman" w:eastAsia="仿宋_GB2312" w:cs="Times New Roman" w:hAnsi="Times New Roman" w:hint="eastAsia"/>
                <w:color w:val="auto"/>
                <w:kern w:val="2"/>
                <w:sz w:val="24"/>
                <w:szCs w:val="24"/>
                <w:u w:val="none"/>
                <w:lang w:val="en-US" w:eastAsia="zh-CN" w:bidi="ar-SA"/>
                <w:highlight w:val="auto"/>
              </w:rPr>
              <w:t>政策</w:t>
            </w:r>
            <w:r>
              <w:rPr>
                <w:rFonts w:ascii="Times New Roman" w:eastAsia="仿宋_GB2312" w:cs="Times New Roman" w:hAnsi="Times New Roman"/>
                <w:color w:val="auto"/>
                <w:kern w:val="2"/>
                <w:sz w:val="24"/>
                <w:szCs w:val="24"/>
                <w:u w:val="none"/>
                <w:lang w:val="en-US" w:eastAsia="zh-CN" w:bidi="ar-SA"/>
                <w:highlight w:val="auto"/>
              </w:rPr>
              <w:t>，建立市场监管机制。</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8</w:t>
            </w:r>
            <w:r>
              <w:rPr>
                <w:rFonts w:ascii="Times New Roman" w:eastAsia="仿宋_GB2312" w:cs="Times New Roman" w:hAnsi="Times New Roman"/>
                <w:color w:val="auto"/>
                <w:kern w:val="2"/>
                <w:sz w:val="24"/>
                <w:szCs w:val="24"/>
                <w:u w:val="none"/>
                <w:lang w:val="en-US" w:eastAsia="zh-CN" w:bidi="ar-SA"/>
                <w:highlight w:val="auto"/>
              </w:rPr>
              <w:t>月底前</w:t>
            </w:r>
          </w:p>
        </w:tc>
      </w:tr>
      <w:tr>
        <w:trPr>
          <w:trHeight w:val="1073"/>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10.建立调控目录清单</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eastAsia="zh-CN" w:bidi="ar-SA"/>
                <w:highlight w:val="auto"/>
              </w:rPr>
            </w:pPr>
            <w:r>
              <w:rPr>
                <w:rFonts w:ascii="Times New Roman" w:eastAsia="仿宋_GB2312" w:cs="Times New Roman" w:hAnsi="Times New Roman" w:hint="eastAsia"/>
                <w:color w:val="auto"/>
                <w:kern w:val="2"/>
                <w:sz w:val="24"/>
                <w:szCs w:val="24"/>
                <w:u w:val="none"/>
                <w:lang w:eastAsia="zh-CN" w:bidi="ar-SA"/>
                <w:highlight w:val="auto"/>
              </w:rPr>
              <w:t>县</w:t>
            </w:r>
            <w:r>
              <w:rPr>
                <w:rFonts w:ascii="Times New Roman" w:eastAsia="仿宋_GB2312" w:cs="Times New Roman" w:hAnsi="Times New Roman"/>
                <w:color w:val="auto"/>
                <w:kern w:val="2"/>
                <w:sz w:val="24"/>
                <w:szCs w:val="24"/>
                <w:u w:val="none"/>
                <w:lang w:eastAsia="zh-CN" w:bidi="ar-SA"/>
                <w:highlight w:val="auto"/>
              </w:rPr>
              <w:t>发改</w:t>
            </w:r>
            <w:r>
              <w:rPr>
                <w:rFonts w:ascii="Times New Roman" w:eastAsia="仿宋_GB2312" w:cs="Times New Roman" w:hAnsi="Times New Roman" w:hint="eastAsia"/>
                <w:color w:val="auto"/>
                <w:kern w:val="2"/>
                <w:sz w:val="24"/>
                <w:szCs w:val="24"/>
                <w:u w:val="none"/>
                <w:lang w:eastAsia="zh-CN" w:bidi="ar-SA"/>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县</w:t>
            </w:r>
            <w:r>
              <w:rPr>
                <w:rFonts w:ascii="Times New Roman" w:eastAsia="仿宋_GB2312" w:cs="Times New Roman" w:hAnsi="Times New Roman"/>
                <w:color w:val="auto"/>
                <w:kern w:val="2"/>
                <w:sz w:val="24"/>
                <w:szCs w:val="24"/>
                <w:u w:val="none"/>
                <w:lang w:val="en-US" w:eastAsia="zh-CN" w:bidi="ar-SA"/>
                <w:highlight w:val="auto"/>
              </w:rPr>
              <w:t>经信局、</w:t>
            </w:r>
            <w:r>
              <w:rPr>
                <w:rFonts w:ascii="Times New Roman" w:eastAsia="仿宋_GB2312" w:cs="Times New Roman" w:hAnsi="Times New Roman" w:hint="eastAsia"/>
                <w:color w:val="auto"/>
                <w:kern w:val="2"/>
                <w:sz w:val="24"/>
                <w:szCs w:val="24"/>
                <w:u w:val="none"/>
                <w:lang w:val="en-US" w:eastAsia="zh-CN" w:bidi="ar-SA"/>
                <w:highlight w:val="auto"/>
              </w:rPr>
              <w:t>县科农</w:t>
            </w:r>
            <w:r>
              <w:rPr>
                <w:rFonts w:ascii="Times New Roman" w:eastAsia="仿宋_GB2312" w:cs="Times New Roman" w:hAnsi="Times New Roman"/>
                <w:color w:val="auto"/>
                <w:kern w:val="2"/>
                <w:sz w:val="24"/>
                <w:szCs w:val="24"/>
                <w:u w:val="none"/>
                <w:lang w:val="en-US" w:eastAsia="zh-CN" w:bidi="ar-SA"/>
                <w:highlight w:val="auto"/>
              </w:rPr>
              <w:t>局配合，对标</w:t>
            </w:r>
            <w:r>
              <w:rPr>
                <w:rFonts w:ascii="Times New Roman" w:eastAsia="仿宋_GB2312" w:cs="Times New Roman" w:hAnsi="Times New Roman" w:hint="eastAsia"/>
                <w:color w:val="auto"/>
                <w:kern w:val="2"/>
                <w:sz w:val="24"/>
                <w:szCs w:val="24"/>
                <w:u w:val="none"/>
                <w:lang w:val="en-US" w:eastAsia="zh-CN" w:bidi="ar-SA"/>
                <w:highlight w:val="auto"/>
              </w:rPr>
              <w:t>州</w:t>
            </w:r>
            <w:r>
              <w:rPr>
                <w:rFonts w:ascii="Times New Roman" w:eastAsia="仿宋_GB2312" w:cs="Times New Roman" w:hAnsi="Times New Roman"/>
                <w:color w:val="auto"/>
                <w:kern w:val="2"/>
                <w:sz w:val="24"/>
                <w:szCs w:val="24"/>
                <w:u w:val="none"/>
                <w:lang w:val="en-US" w:eastAsia="zh-CN" w:bidi="ar-SA"/>
                <w:highlight w:val="auto"/>
              </w:rPr>
              <w:t>建立调控目录清单制度，将居民消费的常见品种、不耐储运的叶菜品种等纳入调控目录，实行统一管理。</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8</w:t>
            </w:r>
            <w:r>
              <w:rPr>
                <w:rFonts w:ascii="Times New Roman" w:eastAsia="仿宋_GB2312" w:cs="Times New Roman" w:hAnsi="Times New Roman"/>
                <w:color w:val="auto"/>
                <w:kern w:val="2"/>
                <w:sz w:val="24"/>
                <w:szCs w:val="24"/>
                <w:u w:val="none"/>
                <w:lang w:val="en-US" w:eastAsia="zh-CN" w:bidi="ar-SA"/>
                <w:highlight w:val="auto"/>
              </w:rPr>
              <w:t>月底前</w:t>
            </w:r>
          </w:p>
        </w:tc>
      </w:tr>
      <w:tr>
        <w:trPr>
          <w:trHeight w:val="1807"/>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11.建立重点企业名单</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eastAsia="zh-CN" w:bidi="ar-SA"/>
                <w:highlight w:val="auto"/>
              </w:rPr>
            </w:pPr>
            <w:r>
              <w:rPr>
                <w:rFonts w:ascii="Times New Roman" w:eastAsia="仿宋_GB2312" w:cs="Times New Roman" w:hAnsi="Times New Roman" w:hint="eastAsia"/>
                <w:color w:val="auto"/>
                <w:kern w:val="2"/>
                <w:sz w:val="24"/>
                <w:szCs w:val="24"/>
                <w:u w:val="none"/>
                <w:lang w:eastAsia="zh-CN" w:bidi="ar-SA"/>
                <w:highlight w:val="auto"/>
              </w:rPr>
              <w:t>县</w:t>
            </w:r>
            <w:r>
              <w:rPr>
                <w:rFonts w:ascii="Times New Roman" w:eastAsia="仿宋_GB2312" w:cs="Times New Roman" w:hAnsi="Times New Roman"/>
                <w:color w:val="auto"/>
                <w:kern w:val="2"/>
                <w:sz w:val="24"/>
                <w:szCs w:val="24"/>
                <w:u w:val="none"/>
                <w:lang w:eastAsia="zh-CN" w:bidi="ar-SA"/>
                <w:highlight w:val="auto"/>
              </w:rPr>
              <w:t>发改</w:t>
            </w:r>
            <w:r>
              <w:rPr>
                <w:rFonts w:ascii="Times New Roman" w:eastAsia="仿宋_GB2312" w:cs="Times New Roman" w:hAnsi="Times New Roman" w:hint="eastAsia"/>
                <w:color w:val="auto"/>
                <w:kern w:val="2"/>
                <w:sz w:val="24"/>
                <w:szCs w:val="24"/>
                <w:u w:val="none"/>
                <w:lang w:eastAsia="zh-CN" w:bidi="ar-SA"/>
                <w:highlight w:val="auto"/>
              </w:rPr>
              <w:t>局</w:t>
            </w:r>
            <w:r>
              <w:rPr>
                <w:rFonts w:ascii="Times New Roman" w:eastAsia="仿宋_GB2312" w:cs="Times New Roman" w:hAnsi="Times New Roman"/>
                <w:color w:val="auto"/>
                <w:kern w:val="2"/>
                <w:sz w:val="24"/>
                <w:szCs w:val="24"/>
                <w:u w:val="none"/>
                <w:lang w:eastAsia="zh-CN" w:bidi="ar-SA"/>
                <w:highlight w:val="auto"/>
              </w:rPr>
              <w:t>、</w:t>
            </w:r>
            <w:r>
              <w:rPr>
                <w:rFonts w:ascii="Times New Roman" w:eastAsia="仿宋_GB2312" w:cs="Times New Roman" w:hAnsi="Times New Roman" w:hint="eastAsia"/>
                <w:color w:val="auto"/>
                <w:kern w:val="2"/>
                <w:sz w:val="24"/>
                <w:szCs w:val="24"/>
                <w:u w:val="none"/>
                <w:lang w:eastAsia="zh-CN" w:bidi="ar-SA"/>
                <w:highlight w:val="auto"/>
              </w:rPr>
              <w:t>县</w:t>
            </w:r>
            <w:r>
              <w:rPr>
                <w:rFonts w:ascii="Times New Roman" w:eastAsia="仿宋_GB2312" w:cs="Times New Roman" w:hAnsi="Times New Roman"/>
                <w:color w:val="auto"/>
                <w:kern w:val="2"/>
                <w:sz w:val="24"/>
                <w:szCs w:val="24"/>
                <w:u w:val="none"/>
                <w:lang w:eastAsia="zh-CN" w:bidi="ar-SA"/>
                <w:highlight w:val="auto"/>
              </w:rPr>
              <w:t>经信局、</w:t>
            </w:r>
            <w:r>
              <w:rPr>
                <w:rFonts w:ascii="Times New Roman" w:eastAsia="仿宋_GB2312" w:cs="Times New Roman" w:hAnsi="Times New Roman" w:hint="eastAsia"/>
                <w:color w:val="auto"/>
                <w:kern w:val="2"/>
                <w:sz w:val="24"/>
                <w:szCs w:val="24"/>
                <w:u w:val="none"/>
                <w:lang w:eastAsia="zh-CN" w:bidi="ar-SA"/>
                <w:highlight w:val="auto"/>
              </w:rPr>
              <w:t>县科农</w:t>
            </w:r>
            <w:r>
              <w:rPr>
                <w:rFonts w:ascii="Times New Roman" w:eastAsia="仿宋_GB2312" w:cs="Times New Roman" w:hAnsi="Times New Roman"/>
                <w:color w:val="auto"/>
                <w:kern w:val="2"/>
                <w:sz w:val="24"/>
                <w:szCs w:val="24"/>
                <w:u w:val="none"/>
                <w:lang w:eastAsia="zh-CN" w:bidi="ar-SA"/>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县发改局（</w:t>
            </w:r>
            <w:r>
              <w:rPr>
                <w:rFonts w:ascii="Times New Roman" w:eastAsia="仿宋_GB2312" w:cs="Times New Roman" w:hAnsi="Times New Roman"/>
                <w:color w:val="auto"/>
                <w:kern w:val="2"/>
                <w:sz w:val="24"/>
                <w:szCs w:val="24"/>
                <w:u w:val="none"/>
                <w:lang w:val="en-US" w:eastAsia="zh-CN" w:bidi="ar-SA"/>
                <w:highlight w:val="auto"/>
              </w:rPr>
              <w:t>粮食和物资储备</w:t>
            </w:r>
            <w:r>
              <w:rPr>
                <w:rFonts w:ascii="Times New Roman" w:eastAsia="仿宋_GB2312" w:cs="Times New Roman" w:hAnsi="Times New Roman" w:hint="eastAsia"/>
                <w:color w:val="auto"/>
                <w:kern w:val="2"/>
                <w:sz w:val="24"/>
                <w:szCs w:val="24"/>
                <w:u w:val="none"/>
                <w:lang w:val="en-US" w:eastAsia="zh-CN" w:bidi="ar-SA"/>
                <w:highlight w:val="auto"/>
              </w:rPr>
              <w:t>中心</w:t>
            </w:r>
            <w:r>
              <w:rPr>
                <w:rFonts w:ascii="Times New Roman" w:eastAsia="仿宋_GB2312" w:cs="Times New Roman" w:hAnsi="Times New Roman"/>
                <w:color w:val="auto"/>
                <w:kern w:val="2"/>
                <w:sz w:val="24"/>
                <w:szCs w:val="24"/>
                <w:u w:val="none"/>
                <w:lang w:val="en-US" w:eastAsia="zh-CN" w:bidi="ar-SA"/>
                <w:highlight w:val="auto"/>
              </w:rPr>
              <w:t>）、</w:t>
            </w:r>
            <w:r>
              <w:rPr>
                <w:rFonts w:ascii="Times New Roman" w:eastAsia="仿宋_GB2312" w:cs="Times New Roman" w:hAnsi="Times New Roman" w:hint="eastAsia"/>
                <w:color w:val="auto"/>
                <w:kern w:val="2"/>
                <w:sz w:val="24"/>
                <w:szCs w:val="24"/>
                <w:u w:val="none"/>
                <w:lang w:val="en-US" w:eastAsia="zh-CN" w:bidi="ar-SA"/>
                <w:highlight w:val="auto"/>
              </w:rPr>
              <w:t>县</w:t>
            </w:r>
            <w:r>
              <w:rPr>
                <w:rFonts w:ascii="Times New Roman" w:eastAsia="仿宋_GB2312" w:cs="Times New Roman" w:hAnsi="Times New Roman"/>
                <w:color w:val="auto"/>
                <w:kern w:val="2"/>
                <w:sz w:val="24"/>
                <w:szCs w:val="24"/>
                <w:u w:val="none"/>
                <w:lang w:val="en-US" w:eastAsia="zh-CN" w:bidi="ar-SA"/>
                <w:highlight w:val="auto"/>
              </w:rPr>
              <w:t>经信</w:t>
            </w:r>
            <w:r>
              <w:rPr>
                <w:rFonts w:ascii="Times New Roman" w:eastAsia="仿宋_GB2312" w:cs="Times New Roman" w:hAnsi="Times New Roman" w:hint="eastAsia"/>
                <w:color w:val="auto"/>
                <w:kern w:val="2"/>
                <w:sz w:val="24"/>
                <w:szCs w:val="24"/>
                <w:u w:val="none"/>
                <w:lang w:val="en-US" w:eastAsia="zh-CN" w:bidi="ar-SA"/>
                <w:highlight w:val="auto"/>
              </w:rPr>
              <w:t>局、县科农局</w:t>
            </w:r>
            <w:r>
              <w:rPr>
                <w:rFonts w:ascii="Times New Roman" w:eastAsia="仿宋_GB2312" w:cs="Times New Roman" w:hAnsi="Times New Roman"/>
                <w:color w:val="auto"/>
                <w:kern w:val="2"/>
                <w:sz w:val="24"/>
                <w:szCs w:val="24"/>
                <w:u w:val="none"/>
                <w:lang w:val="en-US" w:eastAsia="zh-CN" w:bidi="ar-SA"/>
                <w:highlight w:val="auto"/>
              </w:rPr>
              <w:t>分别牵头建立猪肉、生猪、食盐、粮油等重要民生商品参与政府价格调控的重点企业名单，并根据实际情况动态调整，并制定相应的物资调配办法，积极探索建立价格承诺和合同约定制度。</w:t>
            </w:r>
          </w:p>
        </w:tc>
        <w:tc>
          <w:tcPr>
            <w:tcW w:w="14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8</w:t>
            </w:r>
            <w:r>
              <w:rPr>
                <w:rFonts w:ascii="Times New Roman" w:eastAsia="仿宋_GB2312" w:cs="Times New Roman" w:hAnsi="Times New Roman"/>
                <w:color w:val="auto"/>
                <w:kern w:val="2"/>
                <w:sz w:val="24"/>
                <w:szCs w:val="24"/>
                <w:u w:val="none"/>
                <w:lang w:val="en-US" w:eastAsia="zh-CN" w:bidi="ar-SA"/>
                <w:highlight w:val="auto"/>
              </w:rPr>
              <w:t>月底前</w:t>
            </w:r>
          </w:p>
        </w:tc>
      </w:tr>
      <w:tr>
        <w:trPr>
          <w:trHeight w:val="1217"/>
        </w:trPr>
        <w:tc>
          <w:tcPr>
            <w:tcW w:w="188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黑体" w:cs="Times New Roman" w:hAnsi="Times New Roman"/>
                <w:color w:val="auto"/>
                <w:kern w:val="0"/>
                <w:sz w:val="24"/>
                <w:szCs w:val="24"/>
                <w:u w:val="none"/>
                <w:lang w:val="en-US" w:eastAsia="zh-CN"/>
                <w:highlight w:val="auto"/>
              </w:rPr>
            </w:pPr>
            <w:r>
              <w:rPr>
                <w:rFonts w:ascii="Times New Roman" w:eastAsia="黑体" w:cs="Times New Roman" w:hAnsi="Times New Roman" w:hint="eastAsia"/>
                <w:color w:val="auto"/>
                <w:kern w:val="0"/>
                <w:sz w:val="24"/>
                <w:szCs w:val="24"/>
                <w:u w:val="none"/>
                <w:lang w:val="en-US" w:eastAsia="zh-CN"/>
                <w:highlight w:val="auto"/>
              </w:rPr>
              <w:t>三</w:t>
            </w:r>
            <w:r>
              <w:rPr>
                <w:rFonts w:ascii="Times New Roman" w:eastAsia="黑体" w:cs="Times New Roman" w:hAnsi="Times New Roman"/>
                <w:color w:val="auto"/>
                <w:kern w:val="0"/>
                <w:sz w:val="24"/>
                <w:szCs w:val="24"/>
                <w:u w:val="none"/>
                <w:lang w:val="en-US" w:eastAsia="zh-CN"/>
                <w:highlight w:val="auto"/>
              </w:rPr>
              <w:t>、强化储备工作</w:t>
            </w:r>
          </w:p>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sz w:val="24"/>
                <w:szCs w:val="24"/>
                <w:u w:val="none"/>
                <w:lang w:bidi="ar-SA"/>
                <w:highlight w:val="auto"/>
              </w:rPr>
            </w:pPr>
          </w:p>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eastAsia="仿宋_GB2312" w:cs="Times New Roman" w:hAnsi="Times New Roman"/>
                <w:color w:val="auto"/>
                <w:sz w:val="24"/>
                <w:szCs w:val="24"/>
                <w:u w:val="none"/>
                <w:lang w:bidi="ar-SA"/>
                <w:highlight w:val="auto"/>
              </w:rPr>
            </w:pPr>
          </w:p>
        </w:tc>
        <w:tc>
          <w:tcPr>
            <w:tcW w:w="193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12.健全以储备调控为主的调控手段</w:t>
            </w:r>
          </w:p>
        </w:tc>
        <w:tc>
          <w:tcPr>
            <w:tcW w:w="20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hint="eastAsia"/>
                <w:color w:val="auto"/>
                <w:kern w:val="2"/>
                <w:sz w:val="24"/>
                <w:szCs w:val="24"/>
                <w:u w:val="none"/>
                <w:lang w:val="en-US" w:eastAsia="zh-CN" w:bidi="ar-SA"/>
                <w:highlight w:val="auto"/>
              </w:rPr>
              <w:t>县</w:t>
            </w:r>
            <w:r>
              <w:rPr>
                <w:rFonts w:ascii="Times New Roman" w:eastAsia="仿宋_GB2312" w:cs="Times New Roman" w:hAnsi="Times New Roman"/>
                <w:color w:val="auto"/>
                <w:kern w:val="2"/>
                <w:sz w:val="24"/>
                <w:szCs w:val="24"/>
                <w:u w:val="none"/>
                <w:lang w:val="en-US" w:eastAsia="zh-CN" w:bidi="ar-SA"/>
                <w:highlight w:val="auto"/>
              </w:rPr>
              <w:t>发改</w:t>
            </w:r>
            <w:r>
              <w:rPr>
                <w:rFonts w:ascii="Times New Roman" w:eastAsia="仿宋_GB2312" w:cs="Times New Roman" w:hAnsi="Times New Roman" w:hint="eastAsia"/>
                <w:color w:val="auto"/>
                <w:kern w:val="2"/>
                <w:sz w:val="24"/>
                <w:szCs w:val="24"/>
                <w:u w:val="none"/>
                <w:lang w:val="en-US" w:eastAsia="zh-CN" w:bidi="ar-SA"/>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kern w:val="2"/>
                <w:sz w:val="24"/>
                <w:szCs w:val="24"/>
                <w:u w:val="none"/>
                <w:lang w:val="en-US" w:eastAsia="zh-CN" w:bidi="ar-SA"/>
                <w:highlight w:val="auto"/>
              </w:rPr>
              <w:t>会同</w:t>
            </w:r>
            <w:r>
              <w:rPr>
                <w:rFonts w:ascii="Times New Roman" w:eastAsia="仿宋_GB2312" w:cs="Times New Roman" w:hAnsi="Times New Roman" w:hint="eastAsia"/>
                <w:color w:val="auto"/>
                <w:kern w:val="2"/>
                <w:sz w:val="24"/>
                <w:szCs w:val="24"/>
                <w:u w:val="none"/>
                <w:lang w:val="en-US" w:eastAsia="zh-CN" w:bidi="ar-SA"/>
                <w:highlight w:val="auto"/>
              </w:rPr>
              <w:t>经信局</w:t>
            </w:r>
            <w:r>
              <w:rPr>
                <w:rFonts w:ascii="Times New Roman" w:eastAsia="仿宋_GB2312" w:cs="Times New Roman" w:hAnsi="Times New Roman"/>
                <w:color w:val="auto"/>
                <w:kern w:val="2"/>
                <w:sz w:val="24"/>
                <w:szCs w:val="24"/>
                <w:u w:val="none"/>
                <w:lang w:val="en-US" w:eastAsia="zh-CN" w:bidi="ar-SA"/>
                <w:highlight w:val="auto"/>
              </w:rPr>
              <w:t>根据</w:t>
            </w:r>
            <w:r>
              <w:rPr>
                <w:rFonts w:ascii="Times New Roman" w:eastAsia="仿宋_GB2312" w:cs="Times New Roman" w:hAnsi="Times New Roman" w:hint="eastAsia"/>
                <w:color w:val="auto"/>
                <w:kern w:val="2"/>
                <w:sz w:val="24"/>
                <w:szCs w:val="24"/>
                <w:u w:val="none"/>
                <w:lang w:val="en-US" w:eastAsia="zh-CN" w:bidi="ar-SA"/>
                <w:highlight w:val="auto"/>
              </w:rPr>
              <w:t>州</w:t>
            </w:r>
            <w:r>
              <w:rPr>
                <w:rFonts w:ascii="Times New Roman" w:eastAsia="仿宋_GB2312" w:cs="Times New Roman" w:hAnsi="Times New Roman"/>
                <w:color w:val="auto"/>
                <w:kern w:val="2"/>
                <w:sz w:val="24"/>
                <w:szCs w:val="24"/>
                <w:u w:val="none"/>
                <w:lang w:val="en-US" w:eastAsia="zh-CN" w:bidi="ar-SA"/>
                <w:highlight w:val="auto"/>
              </w:rPr>
              <w:t>相关部门下发的目标任务制定我县的冻猪肉储备计划；负责大米</w:t>
            </w:r>
            <w:r>
              <w:rPr>
                <w:rFonts w:ascii="Times New Roman" w:eastAsia="仿宋_GB2312" w:cs="Times New Roman" w:hAnsi="Times New Roman" w:hint="eastAsia"/>
                <w:color w:val="auto"/>
                <w:kern w:val="2"/>
                <w:sz w:val="24"/>
                <w:szCs w:val="24"/>
                <w:u w:val="none"/>
                <w:lang w:val="en-US" w:eastAsia="zh-CN" w:bidi="ar-SA"/>
                <w:highlight w:val="auto"/>
              </w:rPr>
              <w:t>、</w:t>
            </w:r>
            <w:r>
              <w:rPr>
                <w:rFonts w:ascii="Times New Roman" w:eastAsia="仿宋_GB2312" w:cs="Times New Roman" w:hAnsi="Times New Roman"/>
                <w:color w:val="auto"/>
                <w:kern w:val="2"/>
                <w:sz w:val="24"/>
                <w:szCs w:val="24"/>
                <w:u w:val="none"/>
                <w:lang w:val="en-US" w:eastAsia="zh-CN" w:bidi="ar-SA"/>
                <w:highlight w:val="auto"/>
              </w:rPr>
              <w:t>小麦、食用植物油等的储备计划制定和储备组织实施工作</w:t>
            </w:r>
            <w:r>
              <w:rPr>
                <w:rFonts w:ascii="Times New Roman" w:eastAsia="仿宋_GB2312" w:cs="Times New Roman" w:hAnsi="Times New Roman" w:hint="eastAsia"/>
                <w:color w:val="auto"/>
                <w:kern w:val="2"/>
                <w:sz w:val="24"/>
                <w:szCs w:val="24"/>
                <w:u w:val="none"/>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center"/>
              <w:rPr>
                <w:rFonts w:ascii="Times New Roman" w:eastAsia="仿宋_GB2312" w:cs="Times New Roman" w:hAnsi="Times New Roman"/>
                <w:color w:val="auto"/>
                <w:kern w:val="2"/>
                <w:sz w:val="24"/>
                <w:szCs w:val="24"/>
                <w:u w:val="none"/>
                <w:lang w:val="en-US" w:eastAsia="zh-CN" w:bidi="ar-SA"/>
                <w:highlight w:val="auto"/>
              </w:rPr>
            </w:pPr>
            <w:r>
              <w:rPr>
                <w:rFonts w:ascii="Times New Roman" w:eastAsia="仿宋_GB2312" w:cs="Times New Roman" w:hAnsi="Times New Roman"/>
                <w:color w:val="auto"/>
                <w:sz w:val="24"/>
                <w:szCs w:val="24"/>
                <w:u w:val="none"/>
                <w:lang w:eastAsia="zh-CN" w:bidi="ar-SA"/>
                <w:highlight w:val="auto"/>
              </w:rPr>
              <w:t>持续推进</w:t>
            </w:r>
          </w:p>
        </w:tc>
      </w:tr>
      <w:tr>
        <w:trPr>
          <w:trHeight w:val="713"/>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center"/>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县经信</w:t>
            </w:r>
            <w:r>
              <w:rPr>
                <w:rFonts w:ascii="Times New Roman" w:eastAsia="仿宋_GB2312" w:cs="Times New Roman" w:hAnsi="Times New Roman"/>
                <w:color w:val="auto"/>
                <w:kern w:val="2"/>
                <w:sz w:val="24"/>
                <w:szCs w:val="24"/>
                <w:lang w:eastAsia="zh-CN" w:bidi="ar-SA"/>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负责组织冻猪肉的收储和投放工作，并积极健全牛羊肉储备制度</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kern w:val="2"/>
                <w:sz w:val="24"/>
                <w:szCs w:val="24"/>
                <w:lang w:val="en-US" w:eastAsia="zh-CN"/>
                <w:highlight w:val="auto"/>
              </w:rPr>
            </w:pPr>
            <w:r>
              <w:rPr>
                <w:rFonts w:ascii="Times New Roman" w:eastAsia="仿宋_GB2312" w:cs="Times New Roman" w:hAnsi="Times New Roman"/>
                <w:color w:val="auto"/>
                <w:sz w:val="24"/>
                <w:szCs w:val="24"/>
                <w:u w:val="none"/>
                <w:lang w:eastAsia="zh-CN" w:bidi="ar-SA"/>
                <w:highlight w:val="auto"/>
              </w:rPr>
              <w:t>持续推进</w:t>
            </w:r>
          </w:p>
        </w:tc>
      </w:tr>
      <w:tr>
        <w:trPr>
          <w:trHeight w:val="699"/>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center"/>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w:t>
            </w:r>
            <w:r>
              <w:rPr>
                <w:rFonts w:ascii="Times New Roman" w:eastAsia="仿宋_GB2312" w:cs="Times New Roman" w:hAnsi="Times New Roman"/>
                <w:color w:val="auto"/>
                <w:kern w:val="2"/>
                <w:sz w:val="24"/>
                <w:szCs w:val="24"/>
                <w:lang w:eastAsia="zh-CN" w:bidi="ar-SA"/>
                <w:highlight w:val="auto"/>
              </w:rPr>
              <w:t>经信局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负责食盐储备计划的定制和储备组织实施工作</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lang w:val="en-US" w:eastAsia="zh-CN"/>
                <w:highlight w:val="auto"/>
              </w:rPr>
            </w:pPr>
            <w:r>
              <w:rPr>
                <w:rFonts w:ascii="Times New Roman" w:eastAsia="仿宋_GB2312" w:cs="Times New Roman" w:hAnsi="Times New Roman"/>
                <w:color w:val="auto"/>
                <w:sz w:val="24"/>
                <w:szCs w:val="24"/>
                <w:u w:val="none"/>
                <w:lang w:eastAsia="zh-CN" w:bidi="ar-SA"/>
                <w:highlight w:val="auto"/>
              </w:rPr>
              <w:t>持续推进</w:t>
            </w:r>
          </w:p>
        </w:tc>
      </w:tr>
      <w:tr>
        <w:trPr>
          <w:trHeight w:val="505"/>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center"/>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w:t>
            </w:r>
            <w:r>
              <w:rPr>
                <w:rFonts w:ascii="Times New Roman" w:eastAsia="仿宋_GB2312" w:cs="Times New Roman" w:hAnsi="Times New Roman"/>
                <w:color w:val="auto"/>
                <w:kern w:val="2"/>
                <w:sz w:val="24"/>
                <w:szCs w:val="24"/>
                <w:lang w:eastAsia="zh-CN" w:bidi="ar-SA"/>
                <w:highlight w:val="auto"/>
              </w:rPr>
              <w:t>财政局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负责各品种储备工作所需经费的保障工作</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lang w:val="en-US" w:eastAsia="zh-CN"/>
                <w:highlight w:val="auto"/>
              </w:rPr>
            </w:pPr>
            <w:r>
              <w:rPr>
                <w:rFonts w:ascii="Times New Roman" w:eastAsia="仿宋_GB2312" w:cs="Times New Roman" w:hAnsi="Times New Roman"/>
                <w:color w:val="auto"/>
                <w:sz w:val="24"/>
                <w:szCs w:val="24"/>
                <w:u w:val="none"/>
                <w:lang w:eastAsia="zh-CN" w:bidi="ar-SA"/>
                <w:highlight w:val="auto"/>
              </w:rPr>
              <w:t>持续推进</w:t>
            </w:r>
          </w:p>
        </w:tc>
      </w:tr>
      <w:tr>
        <w:trPr>
          <w:trHeight w:val="878"/>
        </w:trPr>
        <w:tc>
          <w:tcPr>
            <w:tcW w:w="188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黑体" w:cs="Times New Roman" w:hAnsi="Times New Roman"/>
                <w:color w:val="auto"/>
                <w:kern w:val="0"/>
                <w:sz w:val="24"/>
                <w:szCs w:val="24"/>
                <w:u w:val="none"/>
                <w:lang w:val="en-US" w:eastAsia="zh-CN"/>
                <w:highlight w:val="auto"/>
              </w:rPr>
            </w:pP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仿宋_GB2312" w:cs="Times New Roman" w:hAnsi="Times New Roman"/>
                <w:color w:val="auto"/>
                <w:sz w:val="24"/>
                <w:szCs w:val="24"/>
                <w:u w:val="none"/>
                <w:lang w:eastAsia="zh-CN" w:bidi="ar-SA"/>
                <w:highlight w:val="auto"/>
              </w:rPr>
            </w:pPr>
            <w:r>
              <w:rPr>
                <w:rFonts w:ascii="Times New Roman" w:eastAsia="黑体" w:cs="Times New Roman" w:hAnsi="Times New Roman" w:hint="eastAsia"/>
                <w:color w:val="auto"/>
                <w:kern w:val="0"/>
                <w:sz w:val="24"/>
                <w:szCs w:val="24"/>
                <w:u w:val="none"/>
                <w:lang w:val="en-US" w:eastAsia="zh-CN"/>
                <w:highlight w:val="auto"/>
              </w:rPr>
              <w:t>四</w:t>
            </w:r>
            <w:r>
              <w:rPr>
                <w:rFonts w:ascii="Times New Roman" w:eastAsia="黑体" w:cs="Times New Roman" w:hAnsi="Times New Roman"/>
                <w:color w:val="auto"/>
                <w:kern w:val="0"/>
                <w:sz w:val="24"/>
                <w:szCs w:val="24"/>
                <w:u w:val="none"/>
                <w:lang w:val="en-US" w:eastAsia="zh-CN"/>
                <w:highlight w:val="auto"/>
              </w:rPr>
              <w:t>、重视监测工作</w:t>
            </w:r>
          </w:p>
        </w:tc>
        <w:tc>
          <w:tcPr>
            <w:tcW w:w="193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仿宋_GB2312" w:cs="Times New Roman" w:hAnsi="Times New Roman"/>
                <w:color w:val="auto"/>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13.结合部门职能，进一步提高重要民生商品价格及生产和流通环节相关监测工作质量</w:t>
            </w: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w:t>
            </w:r>
            <w:r>
              <w:rPr>
                <w:rFonts w:ascii="Times New Roman" w:eastAsia="仿宋_GB2312" w:cs="Times New Roman" w:hAnsi="Times New Roman"/>
                <w:color w:val="auto"/>
                <w:kern w:val="2"/>
                <w:sz w:val="24"/>
                <w:szCs w:val="24"/>
                <w:lang w:eastAsia="zh-CN" w:bidi="ar-SA"/>
                <w:highlight w:val="auto"/>
              </w:rPr>
              <w:t>发改</w:t>
            </w:r>
            <w:r>
              <w:rPr>
                <w:rFonts w:ascii="Times New Roman" w:eastAsia="仿宋_GB2312" w:cs="Times New Roman" w:hAnsi="Times New Roman" w:hint="eastAsia"/>
                <w:color w:val="auto"/>
                <w:kern w:val="2"/>
                <w:sz w:val="24"/>
                <w:szCs w:val="24"/>
                <w:lang w:eastAsia="zh-CN" w:bidi="ar-SA"/>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负责大米、面粉、玉米、基本蔬菜等零售价格监测</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持续推进</w:t>
            </w:r>
          </w:p>
        </w:tc>
      </w:tr>
      <w:tr>
        <w:trPr>
          <w:trHeight w:val="871"/>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bottom"/>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w:t>
            </w:r>
            <w:r>
              <w:rPr>
                <w:rFonts w:ascii="Times New Roman" w:eastAsia="仿宋_GB2312" w:cs="Times New Roman" w:hAnsi="Times New Roman"/>
                <w:color w:val="auto"/>
                <w:kern w:val="2"/>
                <w:sz w:val="24"/>
                <w:szCs w:val="24"/>
                <w:lang w:eastAsia="zh-CN" w:bidi="ar-SA"/>
                <w:highlight w:val="auto"/>
              </w:rPr>
              <w:t>经信局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负责食盐批发、零售价格及生产、流通等环节运行态势监测</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持续推进</w:t>
            </w:r>
          </w:p>
        </w:tc>
      </w:tr>
      <w:tr>
        <w:trPr>
          <w:trHeight w:val="750"/>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bottom"/>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县科农局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负责生猪等“菜篮子”产品生产动态监测</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持续推进</w:t>
            </w:r>
          </w:p>
        </w:tc>
      </w:tr>
      <w:tr>
        <w:trPr>
          <w:trHeight w:val="750"/>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bottom"/>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县经信局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负责粮食、食用植物油、肉类、蔬菜等生活必需品的批发价格及批发交易量的监测</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持续推进</w:t>
            </w:r>
          </w:p>
        </w:tc>
      </w:tr>
      <w:tr>
        <w:trPr>
          <w:trHeight w:val="750"/>
        </w:trPr>
        <w:tc>
          <w:tcPr>
            <w:tcW w:w="188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仿宋_GB2312" w:cs="Times New Roman" w:hAnsi="Times New Roman"/>
                <w:color w:val="auto"/>
                <w:sz w:val="24"/>
                <w:szCs w:val="24"/>
                <w:u w:val="none"/>
                <w:lang w:eastAsia="zh-CN" w:bidi="ar-SA"/>
                <w:highlight w:val="auto"/>
              </w:rPr>
            </w:pPr>
            <w:r>
              <w:rPr>
                <w:rFonts w:ascii="Times New Roman" w:eastAsia="黑体" w:cs="Times New Roman" w:hAnsi="Times New Roman" w:hint="eastAsia"/>
                <w:color w:val="auto"/>
                <w:kern w:val="0"/>
                <w:sz w:val="24"/>
                <w:szCs w:val="24"/>
                <w:u w:val="none"/>
                <w:lang w:val="en-US" w:eastAsia="zh-CN"/>
                <w:highlight w:val="auto"/>
              </w:rPr>
              <w:t>五</w:t>
            </w:r>
            <w:r>
              <w:rPr>
                <w:rFonts w:ascii="Times New Roman" w:eastAsia="黑体" w:cs="Times New Roman" w:hAnsi="Times New Roman"/>
                <w:color w:val="auto"/>
                <w:kern w:val="0"/>
                <w:sz w:val="24"/>
                <w:szCs w:val="24"/>
                <w:u w:val="none"/>
                <w:lang w:val="en-US" w:eastAsia="zh-CN"/>
                <w:highlight w:val="auto"/>
              </w:rPr>
              <w:t>、健全信息共享</w:t>
            </w: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14.为进一步提升涉及重要民生商品相关信息的时效性、准确性和共通性，建立信息共享渠道</w:t>
            </w: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w:t>
            </w:r>
            <w:r>
              <w:rPr>
                <w:rFonts w:ascii="Times New Roman" w:eastAsia="仿宋_GB2312" w:cs="Times New Roman" w:hAnsi="Times New Roman"/>
                <w:color w:val="auto"/>
                <w:kern w:val="2"/>
                <w:sz w:val="24"/>
                <w:szCs w:val="24"/>
                <w:lang w:eastAsia="zh-CN" w:bidi="ar-SA"/>
                <w:highlight w:val="auto"/>
              </w:rPr>
              <w:t>发改</w:t>
            </w:r>
            <w:r>
              <w:rPr>
                <w:rFonts w:ascii="Times New Roman" w:eastAsia="仿宋_GB2312" w:cs="Times New Roman" w:hAnsi="Times New Roman" w:hint="eastAsia"/>
                <w:color w:val="auto"/>
                <w:kern w:val="2"/>
                <w:sz w:val="24"/>
                <w:szCs w:val="24"/>
                <w:lang w:eastAsia="zh-CN" w:bidi="ar-SA"/>
                <w:highlight w:val="auto"/>
              </w:rPr>
              <w:t>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hint="eastAsia"/>
                <w:color w:val="auto"/>
                <w:kern w:val="2"/>
                <w:sz w:val="24"/>
                <w:szCs w:val="24"/>
                <w:lang w:val="en-US" w:eastAsia="zh-CN" w:bidi="ar-SA"/>
                <w:highlight w:val="auto"/>
              </w:rPr>
              <w:t>县</w:t>
            </w:r>
            <w:r>
              <w:rPr>
                <w:rFonts w:ascii="Times New Roman" w:eastAsia="仿宋_GB2312" w:cs="Times New Roman" w:hAnsi="Times New Roman"/>
                <w:color w:val="auto"/>
                <w:kern w:val="2"/>
                <w:sz w:val="24"/>
                <w:szCs w:val="24"/>
                <w:lang w:val="en-US" w:eastAsia="zh-CN" w:bidi="ar-SA"/>
                <w:highlight w:val="auto"/>
              </w:rPr>
              <w:t>发改</w:t>
            </w:r>
            <w:r>
              <w:rPr>
                <w:rFonts w:ascii="Times New Roman" w:eastAsia="仿宋_GB2312" w:cs="Times New Roman" w:hAnsi="Times New Roman" w:hint="eastAsia"/>
                <w:color w:val="auto"/>
                <w:kern w:val="2"/>
                <w:sz w:val="24"/>
                <w:szCs w:val="24"/>
                <w:lang w:val="en-US" w:eastAsia="zh-CN" w:bidi="ar-SA"/>
                <w:highlight w:val="auto"/>
              </w:rPr>
              <w:t>局</w:t>
            </w:r>
            <w:r>
              <w:rPr>
                <w:rFonts w:ascii="Times New Roman" w:eastAsia="仿宋_GB2312" w:cs="Times New Roman" w:hAnsi="Times New Roman"/>
                <w:color w:val="auto"/>
                <w:kern w:val="2"/>
                <w:sz w:val="24"/>
                <w:szCs w:val="24"/>
                <w:lang w:val="en-US" w:eastAsia="zh-CN" w:bidi="ar-SA"/>
                <w:highlight w:val="auto"/>
              </w:rPr>
              <w:t>牵头</w:t>
            </w:r>
            <w:r>
              <w:rPr>
                <w:rFonts w:ascii="Times New Roman" w:eastAsia="仿宋_GB2312" w:cs="Times New Roman" w:hAnsi="Times New Roman" w:hint="eastAsia"/>
                <w:color w:val="auto"/>
                <w:kern w:val="2"/>
                <w:sz w:val="24"/>
                <w:szCs w:val="24"/>
                <w:lang w:val="en-US" w:eastAsia="zh-CN" w:bidi="ar-SA"/>
                <w:highlight w:val="auto"/>
              </w:rPr>
              <w:t>畅通</w:t>
            </w:r>
            <w:r>
              <w:rPr>
                <w:rFonts w:ascii="Times New Roman" w:eastAsia="仿宋_GB2312" w:cs="Times New Roman" w:hAnsi="Times New Roman"/>
                <w:color w:val="auto"/>
                <w:kern w:val="2"/>
                <w:sz w:val="24"/>
                <w:szCs w:val="24"/>
                <w:lang w:val="en-US" w:eastAsia="zh-CN" w:bidi="ar-SA"/>
                <w:highlight w:val="auto"/>
              </w:rPr>
              <w:t>信息共享渠道，</w:t>
            </w:r>
            <w:r>
              <w:rPr>
                <w:rFonts w:ascii="Times New Roman" w:eastAsia="仿宋_GB2312" w:cs="Times New Roman" w:hAnsi="Times New Roman" w:hint="eastAsia"/>
                <w:color w:val="auto"/>
                <w:kern w:val="2"/>
                <w:sz w:val="24"/>
                <w:szCs w:val="24"/>
                <w:lang w:val="en-US" w:eastAsia="zh-CN" w:bidi="ar-SA"/>
                <w:highlight w:val="auto"/>
              </w:rPr>
              <w:t>县</w:t>
            </w:r>
            <w:r>
              <w:rPr>
                <w:rFonts w:ascii="Times New Roman" w:eastAsia="仿宋_GB2312" w:cs="Times New Roman" w:hAnsi="Times New Roman"/>
                <w:color w:val="auto"/>
                <w:kern w:val="2"/>
                <w:sz w:val="24"/>
                <w:szCs w:val="24"/>
                <w:lang w:val="en-US" w:eastAsia="zh-CN" w:bidi="ar-SA"/>
                <w:highlight w:val="auto"/>
              </w:rPr>
              <w:t>经信</w:t>
            </w:r>
            <w:r>
              <w:rPr>
                <w:rFonts w:ascii="Times New Roman" w:eastAsia="仿宋_GB2312" w:cs="Times New Roman" w:hAnsi="Times New Roman" w:hint="eastAsia"/>
                <w:color w:val="auto"/>
                <w:kern w:val="2"/>
                <w:sz w:val="24"/>
                <w:szCs w:val="24"/>
                <w:lang w:val="en-US" w:eastAsia="zh-CN" w:bidi="ar-SA"/>
                <w:highlight w:val="auto"/>
              </w:rPr>
              <w:t>局</w:t>
            </w:r>
            <w:r>
              <w:rPr>
                <w:rFonts w:ascii="Times New Roman" w:eastAsia="仿宋_GB2312" w:cs="Times New Roman" w:hAnsi="Times New Roman"/>
                <w:color w:val="auto"/>
                <w:kern w:val="2"/>
                <w:sz w:val="24"/>
                <w:szCs w:val="24"/>
                <w:lang w:val="en-US" w:eastAsia="zh-CN" w:bidi="ar-SA"/>
                <w:highlight w:val="auto"/>
              </w:rPr>
              <w:t>、</w:t>
            </w:r>
            <w:r>
              <w:rPr>
                <w:rFonts w:ascii="Times New Roman" w:eastAsia="仿宋_GB2312" w:cs="Times New Roman" w:hAnsi="Times New Roman" w:hint="eastAsia"/>
                <w:color w:val="auto"/>
                <w:kern w:val="2"/>
                <w:sz w:val="24"/>
                <w:szCs w:val="24"/>
                <w:lang w:val="en-US" w:eastAsia="zh-CN" w:bidi="ar-SA"/>
                <w:highlight w:val="auto"/>
              </w:rPr>
              <w:t>县科农局</w:t>
            </w:r>
            <w:r>
              <w:rPr>
                <w:rFonts w:ascii="Times New Roman" w:eastAsia="仿宋_GB2312" w:cs="Times New Roman" w:hAnsi="Times New Roman"/>
                <w:color w:val="auto"/>
                <w:kern w:val="2"/>
                <w:sz w:val="24"/>
                <w:szCs w:val="24"/>
                <w:lang w:val="en-US" w:eastAsia="zh-CN" w:bidi="ar-SA"/>
                <w:highlight w:val="auto"/>
              </w:rPr>
              <w:t>、</w:t>
            </w:r>
            <w:r>
              <w:rPr>
                <w:rFonts w:ascii="Times New Roman" w:eastAsia="仿宋_GB2312" w:cs="Times New Roman" w:hAnsi="Times New Roman" w:hint="eastAsia"/>
                <w:color w:val="auto"/>
                <w:kern w:val="2"/>
                <w:sz w:val="24"/>
                <w:szCs w:val="24"/>
                <w:lang w:val="en-US" w:eastAsia="zh-CN" w:bidi="ar-SA"/>
                <w:highlight w:val="auto"/>
              </w:rPr>
              <w:t>县</w:t>
            </w:r>
            <w:r>
              <w:rPr>
                <w:rFonts w:ascii="Times New Roman" w:eastAsia="仿宋_GB2312" w:cs="Times New Roman" w:hAnsi="Times New Roman"/>
                <w:color w:val="auto"/>
                <w:kern w:val="2"/>
                <w:sz w:val="24"/>
                <w:szCs w:val="24"/>
                <w:lang w:val="en-US" w:eastAsia="zh-CN" w:bidi="ar-SA"/>
                <w:highlight w:val="auto"/>
              </w:rPr>
              <w:t>粮食和物资储备</w:t>
            </w:r>
            <w:r>
              <w:rPr>
                <w:rFonts w:ascii="Times New Roman" w:eastAsia="仿宋_GB2312" w:cs="Times New Roman" w:hAnsi="Times New Roman" w:hint="eastAsia"/>
                <w:color w:val="auto"/>
                <w:kern w:val="2"/>
                <w:sz w:val="24"/>
                <w:szCs w:val="24"/>
                <w:lang w:val="en-US" w:eastAsia="zh-CN" w:bidi="ar-SA"/>
                <w:highlight w:val="auto"/>
              </w:rPr>
              <w:t>中心</w:t>
            </w:r>
            <w:r>
              <w:rPr>
                <w:rFonts w:ascii="Times New Roman" w:eastAsia="仿宋_GB2312" w:cs="Times New Roman" w:hAnsi="Times New Roman"/>
                <w:color w:val="auto"/>
                <w:kern w:val="2"/>
                <w:sz w:val="24"/>
                <w:szCs w:val="24"/>
                <w:lang w:val="en-US" w:eastAsia="zh-CN" w:bidi="ar-SA"/>
                <w:highlight w:val="auto"/>
              </w:rPr>
              <w:t>、</w:t>
            </w:r>
            <w:r>
              <w:rPr>
                <w:rFonts w:ascii="Times New Roman" w:eastAsia="仿宋_GB2312" w:cs="Times New Roman" w:hAnsi="Times New Roman" w:hint="eastAsia"/>
                <w:color w:val="auto"/>
                <w:kern w:val="2"/>
                <w:sz w:val="24"/>
                <w:szCs w:val="24"/>
                <w:lang w:val="en-US" w:eastAsia="zh-CN" w:bidi="ar-SA"/>
                <w:highlight w:val="auto"/>
              </w:rPr>
              <w:t>县</w:t>
            </w:r>
            <w:r>
              <w:rPr>
                <w:rFonts w:ascii="Times New Roman" w:eastAsia="仿宋_GB2312" w:cs="Times New Roman" w:hAnsi="Times New Roman"/>
                <w:color w:val="auto"/>
                <w:kern w:val="2"/>
                <w:sz w:val="24"/>
                <w:szCs w:val="24"/>
                <w:lang w:val="en-US" w:eastAsia="zh-CN" w:bidi="ar-SA"/>
                <w:highlight w:val="auto"/>
              </w:rPr>
              <w:t>市场监管</w:t>
            </w:r>
            <w:r>
              <w:rPr>
                <w:rFonts w:ascii="Times New Roman" w:eastAsia="仿宋_GB2312" w:cs="Times New Roman" w:hAnsi="Times New Roman" w:hint="eastAsia"/>
                <w:color w:val="auto"/>
                <w:kern w:val="2"/>
                <w:sz w:val="24"/>
                <w:szCs w:val="24"/>
                <w:lang w:val="en-US" w:eastAsia="zh-CN" w:bidi="ar-SA"/>
                <w:highlight w:val="auto"/>
              </w:rPr>
              <w:t>局</w:t>
            </w:r>
            <w:r>
              <w:rPr>
                <w:rFonts w:ascii="Times New Roman" w:eastAsia="仿宋_GB2312" w:cs="Times New Roman" w:hAnsi="Times New Roman"/>
                <w:color w:val="auto"/>
                <w:kern w:val="2"/>
                <w:sz w:val="24"/>
                <w:szCs w:val="24"/>
                <w:lang w:val="en-US" w:eastAsia="zh-CN" w:bidi="ar-SA"/>
                <w:highlight w:val="auto"/>
              </w:rPr>
              <w:t>、</w:t>
            </w:r>
            <w:r>
              <w:rPr>
                <w:rFonts w:ascii="Times New Roman" w:eastAsia="仿宋_GB2312" w:cs="Times New Roman" w:hAnsi="Times New Roman" w:hint="eastAsia"/>
                <w:color w:val="auto"/>
                <w:kern w:val="2"/>
                <w:sz w:val="24"/>
                <w:szCs w:val="24"/>
                <w:lang w:val="en-US" w:eastAsia="zh-CN" w:bidi="ar-SA"/>
                <w:highlight w:val="auto"/>
              </w:rPr>
              <w:t>县</w:t>
            </w:r>
            <w:r>
              <w:rPr>
                <w:rFonts w:ascii="Times New Roman" w:eastAsia="仿宋_GB2312" w:cs="Times New Roman" w:hAnsi="Times New Roman"/>
                <w:color w:val="auto"/>
                <w:kern w:val="2"/>
                <w:sz w:val="24"/>
                <w:szCs w:val="24"/>
                <w:lang w:val="en-US" w:eastAsia="zh-CN" w:bidi="ar-SA"/>
                <w:highlight w:val="auto"/>
              </w:rPr>
              <w:t>统计</w:t>
            </w:r>
            <w:r>
              <w:rPr>
                <w:rFonts w:ascii="Times New Roman" w:eastAsia="仿宋_GB2312" w:cs="Times New Roman" w:hAnsi="Times New Roman" w:hint="eastAsia"/>
                <w:color w:val="auto"/>
                <w:kern w:val="2"/>
                <w:sz w:val="24"/>
                <w:szCs w:val="24"/>
                <w:lang w:val="en-US" w:eastAsia="zh-CN" w:bidi="ar-SA"/>
                <w:highlight w:val="auto"/>
              </w:rPr>
              <w:t>局</w:t>
            </w:r>
            <w:r>
              <w:rPr>
                <w:rFonts w:ascii="Times New Roman" w:eastAsia="仿宋_GB2312" w:cs="Times New Roman" w:hAnsi="Times New Roman"/>
                <w:color w:val="auto"/>
                <w:kern w:val="2"/>
                <w:sz w:val="24"/>
                <w:szCs w:val="24"/>
                <w:lang w:val="en-US" w:eastAsia="zh-CN" w:bidi="ar-SA"/>
                <w:highlight w:val="auto"/>
              </w:rPr>
              <w:t>等部门按照职责分工于每月底将重要民生商品供需和价格等信息调查情况予以共享，如遇突发或异常情况及时发布预警信息；各部门将涉及保供稳价工作部署、应急价格监测、市场巡查、平价销售、产销对接、涉价舆情处置等情况及时予以报送。</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持续推进</w:t>
            </w:r>
          </w:p>
        </w:tc>
      </w:tr>
      <w:tr>
        <w:trPr>
          <w:trHeight w:val="750"/>
        </w:trPr>
        <w:tc>
          <w:tcPr>
            <w:tcW w:w="188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Times New Roman" w:eastAsia="仿宋_GB2312" w:cs="Times New Roman" w:hAnsi="Times New Roman"/>
                <w:color w:val="auto"/>
                <w:sz w:val="24"/>
                <w:szCs w:val="24"/>
                <w:u w:val="none"/>
                <w:lang w:eastAsia="zh-CN" w:bidi="ar-SA"/>
                <w:highlight w:val="auto"/>
              </w:rPr>
            </w:pPr>
            <w:r>
              <w:rPr>
                <w:rFonts w:ascii="Times New Roman" w:eastAsia="黑体" w:cs="Times New Roman" w:hAnsi="Times New Roman" w:hint="eastAsia"/>
                <w:color w:val="auto"/>
                <w:kern w:val="0"/>
                <w:sz w:val="24"/>
                <w:szCs w:val="24"/>
                <w:u w:val="none"/>
                <w:lang w:val="en-US" w:eastAsia="zh-CN"/>
                <w:highlight w:val="auto"/>
              </w:rPr>
              <w:t>六</w:t>
            </w:r>
            <w:r>
              <w:rPr>
                <w:rFonts w:ascii="Times New Roman" w:eastAsia="黑体" w:cs="Times New Roman" w:hAnsi="Times New Roman"/>
                <w:color w:val="auto"/>
                <w:kern w:val="0"/>
                <w:sz w:val="24"/>
                <w:szCs w:val="24"/>
                <w:u w:val="none"/>
                <w:lang w:val="en-US" w:eastAsia="zh-CN"/>
                <w:highlight w:val="auto"/>
              </w:rPr>
              <w:t>、有序推进常规工作</w:t>
            </w:r>
          </w:p>
        </w:tc>
        <w:tc>
          <w:tcPr>
            <w:tcW w:w="193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ascii="Times New Roman" w:eastAsia="仿宋_GB2312" w:cs="Times New Roman" w:hAnsi="Times New Roman"/>
                <w:color w:val="auto"/>
                <w:sz w:val="24"/>
                <w:szCs w:val="24"/>
                <w:u w:val="none"/>
                <w:lang w:val="en-US" w:eastAsia="zh-CN" w:bidi="ar-SA"/>
                <w:highlight w:val="auto"/>
              </w:rPr>
            </w:pPr>
            <w:r>
              <w:rPr>
                <w:rFonts w:ascii="Times New Roman" w:eastAsia="仿宋_GB2312" w:cs="Times New Roman" w:hAnsi="Times New Roman"/>
                <w:color w:val="auto"/>
                <w:sz w:val="24"/>
                <w:szCs w:val="24"/>
                <w:u w:val="none"/>
                <w:lang w:val="en-US" w:eastAsia="zh-CN" w:bidi="ar-SA"/>
                <w:highlight w:val="auto"/>
              </w:rPr>
              <w:t>15.按时按质按量报送相关工作情况及数据</w:t>
            </w: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县科农局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报送我</w:t>
            </w:r>
            <w:r>
              <w:rPr>
                <w:rFonts w:ascii="Times New Roman" w:eastAsia="仿宋_GB2312" w:cs="Times New Roman" w:hAnsi="Times New Roman" w:hint="eastAsia"/>
                <w:color w:val="auto"/>
                <w:kern w:val="2"/>
                <w:sz w:val="24"/>
                <w:szCs w:val="24"/>
                <w:lang w:val="en-US" w:eastAsia="zh-CN" w:bidi="ar-SA"/>
                <w:highlight w:val="auto"/>
              </w:rPr>
              <w:t>县</w:t>
            </w:r>
            <w:r>
              <w:rPr>
                <w:rFonts w:ascii="Times New Roman" w:eastAsia="仿宋_GB2312" w:cs="Times New Roman" w:hAnsi="Times New Roman"/>
                <w:color w:val="auto"/>
                <w:kern w:val="2"/>
                <w:sz w:val="24"/>
                <w:szCs w:val="24"/>
                <w:lang w:val="en-US" w:eastAsia="zh-CN" w:bidi="ar-SA"/>
                <w:highlight w:val="auto"/>
              </w:rPr>
              <w:t>生猪自给率、人均菜地保有量等情况</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每月底前5日</w:t>
            </w:r>
          </w:p>
        </w:tc>
      </w:tr>
      <w:tr>
        <w:trPr>
          <w:trHeight w:val="750"/>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center"/>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w:t>
            </w:r>
            <w:r>
              <w:rPr>
                <w:rFonts w:ascii="Times New Roman" w:eastAsia="仿宋_GB2312" w:cs="Times New Roman" w:hAnsi="Times New Roman"/>
                <w:color w:val="auto"/>
                <w:kern w:val="2"/>
                <w:sz w:val="24"/>
                <w:szCs w:val="24"/>
                <w:lang w:eastAsia="zh-CN" w:bidi="ar-SA"/>
                <w:highlight w:val="auto"/>
              </w:rPr>
              <w:t>发改</w:t>
            </w:r>
            <w:r>
              <w:rPr>
                <w:rFonts w:ascii="Times New Roman" w:eastAsia="仿宋_GB2312" w:cs="Times New Roman" w:hAnsi="Times New Roman" w:hint="eastAsia"/>
                <w:color w:val="auto"/>
                <w:kern w:val="2"/>
                <w:sz w:val="24"/>
                <w:szCs w:val="24"/>
                <w:lang w:eastAsia="zh-CN" w:bidi="ar-SA"/>
                <w:highlight w:val="auto"/>
              </w:rPr>
              <w:t>局</w:t>
            </w:r>
            <w:r>
              <w:rPr>
                <w:rFonts w:ascii="Times New Roman" w:eastAsia="仿宋_GB2312" w:cs="Times New Roman" w:hAnsi="Times New Roman"/>
                <w:color w:val="auto"/>
                <w:kern w:val="2"/>
                <w:sz w:val="24"/>
                <w:szCs w:val="24"/>
                <w:lang w:eastAsia="zh-CN" w:bidi="ar-SA"/>
                <w:highlight w:val="auto"/>
              </w:rPr>
              <w:t>（粮食和物资储备</w:t>
            </w:r>
            <w:r>
              <w:rPr>
                <w:rFonts w:ascii="Times New Roman" w:eastAsia="仿宋_GB2312" w:cs="Times New Roman" w:hAnsi="Times New Roman" w:hint="eastAsia"/>
                <w:color w:val="auto"/>
                <w:kern w:val="2"/>
                <w:sz w:val="24"/>
                <w:szCs w:val="24"/>
                <w:lang w:eastAsia="zh-CN" w:bidi="ar-SA"/>
                <w:highlight w:val="auto"/>
              </w:rPr>
              <w:t>中心</w:t>
            </w:r>
            <w:r>
              <w:rPr>
                <w:rFonts w:ascii="Times New Roman" w:eastAsia="仿宋_GB2312" w:cs="Times New Roman" w:hAnsi="Times New Roman"/>
                <w:color w:val="auto"/>
                <w:kern w:val="2"/>
                <w:sz w:val="24"/>
                <w:szCs w:val="24"/>
                <w:lang w:eastAsia="zh-CN" w:bidi="ar-SA"/>
                <w:highlight w:val="auto"/>
              </w:rPr>
              <w:t>）</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报送小包装成品油规模和在库数量情况</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每月底前5日</w:t>
            </w:r>
          </w:p>
        </w:tc>
      </w:tr>
      <w:tr>
        <w:trPr>
          <w:trHeight w:val="750"/>
        </w:trPr>
        <w:tc>
          <w:tcPr>
            <w:tcW w:w="1880" w:type="dxa"/>
            <w:vMerge/>
            <w:tcBorders>
              <w:top w:val="single" w:sz="4" w:space="0" w:color="auto"/>
              <w:left w:val="single" w:sz="4" w:space="0" w:color="auto"/>
              <w:bottom w:val="single" w:sz="4" w:space="0" w:color="auto"/>
              <w:right w:val="single" w:sz="4" w:space="0" w:color="auto"/>
            </w:tcBorders>
            <w:noWrap/>
            <w:vAlign w:val="center"/>
          </w:tcPr>
          <w:p/>
        </w:tc>
        <w:tc>
          <w:tcPr>
            <w:tcW w:w="1938" w:type="dxa"/>
            <w:vMerge/>
            <w:tcBorders>
              <w:top w:val="single" w:sz="4" w:space="0" w:color="auto"/>
              <w:left w:val="single" w:sz="4" w:space="0" w:color="auto"/>
              <w:bottom w:val="single" w:sz="4" w:space="0" w:color="auto"/>
              <w:right w:val="single" w:sz="4" w:space="0" w:color="auto"/>
            </w:tcBorders>
            <w:noWrap/>
            <w:vAlign w:val="center"/>
          </w:tcPr>
          <w:p/>
        </w:tc>
        <w:tc>
          <w:tcPr>
            <w:tcW w:w="2052"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eastAsia="zh-CN" w:bidi="ar-SA"/>
                <w:highlight w:val="auto"/>
              </w:rPr>
            </w:pPr>
            <w:r>
              <w:rPr>
                <w:rFonts w:ascii="Times New Roman" w:eastAsia="仿宋_GB2312" w:cs="Times New Roman" w:hAnsi="Times New Roman" w:hint="eastAsia"/>
                <w:color w:val="auto"/>
                <w:kern w:val="2"/>
                <w:sz w:val="24"/>
                <w:szCs w:val="24"/>
                <w:lang w:eastAsia="zh-CN" w:bidi="ar-SA"/>
                <w:highlight w:val="auto"/>
              </w:rPr>
              <w:t>县经信局</w:t>
            </w:r>
          </w:p>
        </w:tc>
        <w:tc>
          <w:tcPr>
            <w:tcW w:w="610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both"/>
              <w:rPr>
                <w:rFonts w:ascii="Times New Roman" w:eastAsia="仿宋_GB2312" w:cs="Times New Roman" w:hAnsi="Times New Roman"/>
                <w:color w:val="auto"/>
                <w:kern w:val="2"/>
                <w:sz w:val="24"/>
                <w:szCs w:val="24"/>
                <w:lang w:val="en-US" w:eastAsia="zh-CN" w:bidi="ar-SA"/>
                <w:highlight w:val="auto"/>
              </w:rPr>
            </w:pPr>
            <w:r>
              <w:rPr>
                <w:rFonts w:ascii="Times New Roman" w:eastAsia="仿宋_GB2312" w:cs="Times New Roman" w:hAnsi="Times New Roman"/>
                <w:color w:val="auto"/>
                <w:kern w:val="2"/>
                <w:sz w:val="24"/>
                <w:szCs w:val="24"/>
                <w:lang w:val="en-US" w:eastAsia="zh-CN" w:bidi="ar-SA"/>
                <w:highlight w:val="auto"/>
              </w:rPr>
              <w:t>报送冻猪肉、蔬菜储备规模和在库数量情况</w:t>
            </w:r>
            <w:r>
              <w:rPr>
                <w:rFonts w:ascii="Times New Roman" w:eastAsia="仿宋_GB2312" w:cs="Times New Roman" w:hAnsi="Times New Roman" w:hint="eastAsia"/>
                <w:color w:val="auto"/>
                <w:kern w:val="2"/>
                <w:sz w:val="24"/>
                <w:szCs w:val="24"/>
                <w:lang w:val="en-US" w:eastAsia="zh-CN" w:bidi="ar-SA"/>
                <w:highlight w:val="auto"/>
              </w:rPr>
              <w:t>。</w:t>
            </w:r>
          </w:p>
        </w:tc>
        <w:tc>
          <w:tcPr>
            <w:tcW w:w="1471" w:type="dxa"/>
            <w:tcBorders>
              <w:top w:val="single" w:sz="4" w:space="0" w:color="auto"/>
              <w:left w:val="single" w:sz="4" w:space="0" w:color="auto"/>
              <w:bottom w:val="single" w:sz="4" w:space="0" w:color="auto"/>
              <w:right w:val="single" w:sz="4" w:space="0" w:color="auto"/>
            </w:tcBorders>
            <w:noWrap/>
            <w:vAlign w:val="center"/>
          </w:tcPr>
          <w:p>
            <w:pPr>
              <w:spacing w:line="320" w:lineRule="exact"/>
              <w:ind w:left="0"/>
              <w:jc w:val="both"/>
              <w:rPr>
                <w:rFonts w:ascii="Times New Roman" w:eastAsia="仿宋_GB2312" w:cs="Times New Roman" w:hAnsi="Times New Roman"/>
                <w:color w:val="auto"/>
                <w:sz w:val="24"/>
                <w:szCs w:val="24"/>
                <w:u w:val="none"/>
                <w:lang w:eastAsia="zh-CN" w:bidi="ar-SA"/>
                <w:highlight w:val="auto"/>
              </w:rPr>
            </w:pPr>
            <w:r>
              <w:rPr>
                <w:rFonts w:ascii="Times New Roman" w:eastAsia="仿宋_GB2312" w:cs="Times New Roman" w:hAnsi="Times New Roman"/>
                <w:kern w:val="2"/>
                <w:sz w:val="24"/>
                <w:szCs w:val="24"/>
                <w:lang w:bidi="ar-SA"/>
              </w:rPr>
              <w:t>每月底前5日</w:t>
            </w:r>
          </w:p>
        </w:tc>
      </w:tr>
    </w:tbl>
    <w:p>
      <w:pPr>
        <w:pStyle w:val="31"/>
        <w:keepNext w:val="0"/>
        <w:keepLines w:val="0"/>
        <w:pageBreakBefore w:val="0"/>
        <w:widowControl w:val="0"/>
        <w:kinsoku/>
        <w:wordWrap/>
        <w:overflowPunct/>
        <w:topLinePunct w:val="0"/>
        <w:autoSpaceDE/>
        <w:autoSpaceDN/>
        <w:bidi w:val="0"/>
        <w:adjustRightInd/>
        <w:snapToGrid/>
        <w:spacing w:line="20" w:lineRule="exact"/>
        <w:ind w:leftChars="0" w:left="0" w:firstLineChars="0" w:firstLine="0"/>
        <w:textAlignment w:val="auto"/>
        <w:rPr>
          <w:rFonts w:ascii="Times New Roman" w:cs="Times New Roman" w:hAnsi="Times New Roman"/>
          <w:lang w:bidi="ar-SA"/>
        </w:rPr>
      </w:pPr>
    </w:p>
    <w:p>
      <w:pPr>
        <w:pStyle w:val="15"/>
        <w:ind w:leftChars="0" w:left="0" w:firstLineChars="0" w:firstLine="0"/>
        <w:sectPr>
          <w:footerReference w:type="default" r:id="rId2"/>
          <w:footerReference w:type="first" r:id="rId3"/>
          <w:pgSz w:w="16838" w:h="11906" w:orient="landscape"/>
          <w:pgMar w:top="1587" w:right="2098" w:bottom="1474" w:left="1984" w:header="851" w:footer="992" w:gutter="0"/>
          <w:pgNumType w:fmt="numberInDash" w:start="8"/>
          <w:titlePg/>
          <w:rtlGutter/>
          <w:docGrid w:type="linesAndChars" w:linePitch="289" w:charSpace="-1839"/>
        </w:sectPr>
      </w:pPr>
    </w:p>
    <w:p>
      <w:pPr>
        <w:pStyle w:val="31"/>
        <w:ind w:leftChars="0" w:left="0" w:firstLineChars="0" w:firstLine="0"/>
        <w:rPr>
          <w:rFonts w:ascii="黑体" w:eastAsia="黑体" w:cs="黑体" w:hint="eastAsia"/>
          <w:sz w:val="32"/>
          <w:szCs w:val="32"/>
          <w:lang w:val="en-US" w:eastAsia="zh-CN" w:bidi="ar-SA"/>
        </w:rPr>
      </w:pPr>
      <w:r>
        <w:rPr>
          <w:rFonts w:ascii="黑体" w:eastAsia="黑体" w:cs="黑体" w:hint="eastAsia"/>
          <w:sz w:val="32"/>
          <w:szCs w:val="32"/>
          <w:lang w:eastAsia="zh-CN" w:bidi="ar-SA"/>
        </w:rPr>
        <w:t>附件</w:t>
      </w:r>
      <w:r>
        <w:rPr>
          <w:rFonts w:ascii="黑体" w:eastAsia="黑体" w:cs="黑体" w:hint="eastAsia"/>
          <w:sz w:val="32"/>
          <w:szCs w:val="32"/>
          <w:lang w:val="en-US" w:eastAsia="zh-CN" w:bidi="ar-SA"/>
        </w:rPr>
        <w:t>2</w:t>
      </w:r>
    </w:p>
    <w:p>
      <w:pPr>
        <w:rPr>
          <w:lang w:val="en-US" w:eastAsia="zh-CN"/>
        </w:rPr>
      </w:pPr>
    </w:p>
    <w:p>
      <w:pPr>
        <w:pStyle w:val="22"/>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eastAsia="方正小标宋_GBK" w:cs="方正小标宋_GBK"/>
          <w:color w:val="000000"/>
          <w:sz w:val="44"/>
          <w:szCs w:val="44"/>
          <w14:textFill>
            <w14:solidFill>
              <w14:srgbClr w14:val="000000"/>
            </w14:solidFill>
          </w14:textFill>
          <w:lang w:val="en-US" w:eastAsia="zh-CN"/>
        </w:rPr>
      </w:pPr>
      <w:r>
        <w:rPr>
          <w:rFonts w:ascii="方正小标宋_GBK" w:eastAsia="方正小标宋_GBK" w:cs="方正小标宋_GBK" w:hint="eastAsia"/>
          <w:color w:val="000000"/>
          <w:sz w:val="44"/>
          <w:szCs w:val="44"/>
          <w14:textFill>
            <w14:solidFill>
              <w14:srgbClr w14:val="000000"/>
            </w14:solidFill>
          </w14:textFill>
          <w:lang w:val="en-US" w:eastAsia="zh-CN"/>
        </w:rPr>
        <w:t>黑水县</w:t>
      </w:r>
      <w:r>
        <w:rPr>
          <w:rFonts w:ascii="方正小标宋_GBK" w:eastAsia="方正小标宋_GBK" w:cs="方正小标宋_GBK"/>
          <w:color w:val="000000"/>
          <w:sz w:val="44"/>
          <w:szCs w:val="44"/>
          <w14:textFill>
            <w14:solidFill>
              <w14:srgbClr w14:val="000000"/>
            </w14:solidFill>
          </w14:textFill>
          <w:lang w:val="en-US" w:eastAsia="zh-CN"/>
        </w:rPr>
        <w:t>重要民生商品保供稳价工作</w:t>
      </w:r>
    </w:p>
    <w:p>
      <w:pPr>
        <w:pStyle w:val="22"/>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eastAsia="方正小标宋_GBK" w:cs="方正小标宋_GBK"/>
          <w:color w:val="000000"/>
          <w:sz w:val="44"/>
          <w:szCs w:val="44"/>
          <w14:textFill>
            <w14:solidFill>
              <w14:srgbClr w14:val="000000"/>
            </w14:solidFill>
          </w14:textFill>
          <w:lang w:val="en-US" w:eastAsia="zh-CN"/>
        </w:rPr>
      </w:pPr>
      <w:r>
        <w:rPr>
          <w:rFonts w:ascii="方正小标宋_GBK" w:eastAsia="方正小标宋_GBK" w:cs="方正小标宋_GBK"/>
          <w:color w:val="000000"/>
          <w:sz w:val="44"/>
          <w:szCs w:val="44"/>
          <w14:textFill>
            <w14:solidFill>
              <w14:srgbClr w14:val="000000"/>
            </w14:solidFill>
          </w14:textFill>
          <w:lang w:val="en-US" w:eastAsia="zh-CN"/>
        </w:rPr>
        <w:t>联席会议制度</w:t>
      </w:r>
    </w:p>
    <w:p>
      <w:pPr>
        <w:pStyle w:val="22"/>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firstLineChars="200" w:firstLine="622"/>
        <w:jc w:val="both"/>
        <w:textAlignment w:val="auto"/>
        <w:rPr>
          <w:rFonts w:ascii="仿宋_GB2312" w:eastAsia="仿宋_GB2312" w:cs="仿宋_GB2312" w:hint="eastAsia"/>
          <w:w w:val="100"/>
          <w:kern w:val="2"/>
          <w:sz w:val="32"/>
          <w:szCs w:val="32"/>
          <w:lang w:val="en-US" w:eastAsia="zh-CN" w:bidi="ar-SA"/>
          <w:highlight w:val="auto"/>
        </w:rPr>
      </w:pPr>
    </w:p>
    <w:p>
      <w:pPr>
        <w:pStyle w:val="22"/>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00" w:firstLine="622"/>
        <w:jc w:val="both"/>
        <w:textAlignment w:val="auto"/>
        <w:rPr>
          <w:rFonts w:ascii="Times New Roman" w:eastAsia="仿宋_GB2312" w:cs="Times New Roman" w:hAnsi="Times New Roman" w:hint="eastAsia"/>
          <w:sz w:val="32"/>
          <w:szCs w:val="32"/>
          <w:lang w:val="en-US" w:eastAsia="zh-CN" w:bidi="ar-SA"/>
        </w:rPr>
      </w:pPr>
      <w:r>
        <w:rPr>
          <w:rFonts w:ascii="方正楷体_GBK" w:eastAsia="方正楷体_GBK" w:cs="方正楷体_GBK" w:hint="eastAsia"/>
          <w:b/>
          <w:bCs/>
          <w:sz w:val="32"/>
          <w:szCs w:val="32"/>
          <w:lang w:val="en-US" w:eastAsia="zh-CN" w:bidi="ar-SA"/>
        </w:rPr>
        <w:t>牵头单位：</w:t>
      </w:r>
      <w:r>
        <w:rPr>
          <w:rFonts w:ascii="Times New Roman" w:eastAsia="仿宋_GB2312" w:cs="Times New Roman" w:hAnsi="Times New Roman" w:hint="eastAsia"/>
          <w:sz w:val="32"/>
          <w:szCs w:val="32"/>
          <w:lang w:val="en-US" w:eastAsia="zh-CN" w:bidi="ar-SA"/>
        </w:rPr>
        <w:t>县发展和改革局</w:t>
      </w:r>
    </w:p>
    <w:p>
      <w:pPr>
        <w:pStyle w:val="22"/>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00" w:firstLine="622"/>
        <w:jc w:val="both"/>
        <w:textAlignment w:val="auto"/>
        <w:rPr>
          <w:rFonts w:ascii="Times New Roman" w:eastAsia="仿宋_GB2312" w:cs="Times New Roman" w:hAnsi="Times New Roman" w:hint="eastAsia"/>
          <w:sz w:val="32"/>
          <w:szCs w:val="32"/>
          <w:lang w:val="en-US" w:eastAsia="zh-CN" w:bidi="ar-SA"/>
        </w:rPr>
      </w:pPr>
      <w:r>
        <w:rPr>
          <w:rFonts w:ascii="方正楷体_GBK" w:eastAsia="方正楷体_GBK" w:cs="方正楷体_GBK"/>
          <w:b/>
          <w:bCs/>
          <w:sz w:val="32"/>
          <w:szCs w:val="32"/>
          <w:lang w:val="en-US" w:eastAsia="zh-CN" w:bidi="ar-SA"/>
        </w:rPr>
        <w:t>成员单位</w:t>
      </w:r>
      <w:r>
        <w:rPr>
          <w:rFonts w:ascii="方正楷体_GBK" w:eastAsia="方正楷体_GBK" w:cs="方正楷体_GBK" w:hint="eastAsia"/>
          <w:b/>
          <w:bCs/>
          <w:sz w:val="32"/>
          <w:szCs w:val="32"/>
          <w:lang w:val="en-US" w:eastAsia="zh-CN" w:bidi="ar-SA"/>
        </w:rPr>
        <w:t>：</w:t>
      </w:r>
      <w:r>
        <w:rPr>
          <w:rFonts w:ascii="Times New Roman" w:eastAsia="仿宋_GB2312" w:cs="Times New Roman" w:hAnsi="Times New Roman" w:hint="eastAsia"/>
          <w:sz w:val="32"/>
          <w:szCs w:val="32"/>
          <w:lang w:eastAsia="zh-CN" w:bidi="ar-SA"/>
        </w:rPr>
        <w:t>县经信</w:t>
      </w:r>
      <w:r>
        <w:rPr>
          <w:rFonts w:ascii="Times New Roman" w:eastAsia="仿宋_GB2312" w:cs="Times New Roman" w:hAnsi="Times New Roman"/>
          <w:sz w:val="32"/>
          <w:szCs w:val="32"/>
          <w:lang w:eastAsia="zh-CN" w:bidi="ar-SA"/>
        </w:rPr>
        <w:t>局、</w:t>
      </w:r>
      <w:r>
        <w:rPr>
          <w:rFonts w:ascii="Times New Roman" w:eastAsia="仿宋_GB2312" w:cs="Times New Roman" w:hAnsi="Times New Roman" w:hint="eastAsia"/>
          <w:sz w:val="32"/>
          <w:szCs w:val="32"/>
          <w:lang w:eastAsia="zh-CN" w:bidi="ar-SA"/>
        </w:rPr>
        <w:t>县</w:t>
      </w:r>
      <w:r>
        <w:rPr>
          <w:rFonts w:ascii="Times New Roman" w:eastAsia="仿宋_GB2312" w:cs="Times New Roman" w:hAnsi="Times New Roman"/>
          <w:sz w:val="32"/>
          <w:szCs w:val="32"/>
          <w:lang w:eastAsia="zh-CN" w:bidi="ar-SA"/>
        </w:rPr>
        <w:t>市场</w:t>
      </w:r>
      <w:r>
        <w:rPr>
          <w:rFonts w:ascii="Times New Roman" w:eastAsia="仿宋_GB2312" w:cs="Times New Roman" w:hAnsi="Times New Roman" w:hint="eastAsia"/>
          <w:sz w:val="32"/>
          <w:szCs w:val="32"/>
          <w:lang w:eastAsia="zh-CN" w:bidi="ar-SA"/>
        </w:rPr>
        <w:t>监督管理</w:t>
      </w:r>
      <w:r>
        <w:rPr>
          <w:rFonts w:ascii="Times New Roman" w:eastAsia="仿宋_GB2312" w:cs="Times New Roman" w:hAnsi="Times New Roman"/>
          <w:sz w:val="32"/>
          <w:szCs w:val="32"/>
          <w:lang w:eastAsia="zh-CN" w:bidi="ar-SA"/>
        </w:rPr>
        <w:t>局</w:t>
      </w:r>
      <w:r>
        <w:rPr>
          <w:rFonts w:ascii="Times New Roman" w:eastAsia="仿宋_GB2312" w:cs="Times New Roman" w:hAnsi="Times New Roman" w:hint="eastAsia"/>
          <w:sz w:val="32"/>
          <w:szCs w:val="32"/>
          <w:lang w:eastAsia="zh-CN" w:bidi="ar-SA"/>
        </w:rPr>
        <w:t>、县</w:t>
      </w:r>
      <w:r>
        <w:rPr>
          <w:rFonts w:ascii="Times New Roman" w:eastAsia="仿宋_GB2312" w:cs="Times New Roman" w:hAnsi="Times New Roman"/>
          <w:sz w:val="32"/>
          <w:szCs w:val="32"/>
          <w:lang w:eastAsia="zh-CN" w:bidi="ar-SA"/>
        </w:rPr>
        <w:t>财政局、</w:t>
      </w:r>
      <w:r>
        <w:rPr>
          <w:rFonts w:ascii="Times New Roman" w:eastAsia="仿宋_GB2312" w:cs="Times New Roman" w:hAnsi="Times New Roman" w:hint="eastAsia"/>
          <w:sz w:val="32"/>
          <w:szCs w:val="32"/>
          <w:lang w:eastAsia="zh-CN" w:bidi="ar-SA"/>
        </w:rPr>
        <w:t>县科农局</w:t>
      </w:r>
      <w:r>
        <w:rPr>
          <w:rFonts w:ascii="Times New Roman" w:eastAsia="仿宋_GB2312" w:cs="Times New Roman" w:hAnsi="Times New Roman"/>
          <w:sz w:val="32"/>
          <w:szCs w:val="32"/>
          <w:lang w:eastAsia="zh-CN" w:bidi="ar-SA"/>
        </w:rPr>
        <w:t>、</w:t>
      </w:r>
      <w:r>
        <w:rPr>
          <w:rFonts w:ascii="Times New Roman" w:eastAsia="仿宋_GB2312" w:cs="Times New Roman" w:hAnsi="Times New Roman" w:hint="eastAsia"/>
          <w:sz w:val="32"/>
          <w:szCs w:val="32"/>
          <w:lang w:eastAsia="zh-CN" w:bidi="ar-SA"/>
        </w:rPr>
        <w:t>县</w:t>
      </w:r>
      <w:r>
        <w:rPr>
          <w:rFonts w:ascii="Times New Roman" w:eastAsia="仿宋_GB2312" w:cs="Times New Roman" w:hAnsi="Times New Roman"/>
          <w:sz w:val="32"/>
          <w:szCs w:val="32"/>
          <w:lang w:eastAsia="zh-CN" w:bidi="ar-SA"/>
        </w:rPr>
        <w:t>交通</w:t>
      </w:r>
      <w:r>
        <w:rPr>
          <w:rFonts w:ascii="Times New Roman" w:eastAsia="仿宋_GB2312" w:cs="Times New Roman" w:hAnsi="Times New Roman" w:hint="eastAsia"/>
          <w:sz w:val="32"/>
          <w:szCs w:val="32"/>
          <w:lang w:eastAsia="zh-CN" w:bidi="ar-SA"/>
        </w:rPr>
        <w:t>运输</w:t>
      </w:r>
      <w:r>
        <w:rPr>
          <w:rFonts w:ascii="Times New Roman" w:eastAsia="仿宋_GB2312" w:cs="Times New Roman" w:hAnsi="Times New Roman"/>
          <w:sz w:val="32"/>
          <w:szCs w:val="32"/>
          <w:lang w:eastAsia="zh-CN" w:bidi="ar-SA"/>
        </w:rPr>
        <w:t>局等部门</w:t>
      </w:r>
      <w:r>
        <w:rPr>
          <w:rFonts w:ascii="Times New Roman" w:eastAsia="仿宋_GB2312" w:cs="Times New Roman" w:hAnsi="Times New Roman" w:hint="eastAsia"/>
          <w:sz w:val="32"/>
          <w:szCs w:val="32"/>
          <w:lang w:val="en-US" w:eastAsia="zh-CN" w:bidi="ar-SA"/>
        </w:rPr>
        <w:t>。</w:t>
      </w:r>
    </w:p>
    <w:p>
      <w:pPr>
        <w:pStyle w:val="22"/>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00" w:firstLine="622"/>
        <w:jc w:val="both"/>
        <w:textAlignment w:val="auto"/>
        <w:rPr>
          <w:rFonts w:ascii="Times New Roman" w:eastAsia="仿宋_GB2312" w:cs="Times New Roman" w:hAnsi="Times New Roman"/>
          <w:sz w:val="32"/>
          <w:szCs w:val="32"/>
          <w:lang w:eastAsia="zh-CN" w:bidi="ar-SA"/>
        </w:rPr>
      </w:pPr>
      <w:r>
        <w:rPr>
          <w:rFonts w:ascii="Times New Roman" w:eastAsia="仿宋_GB2312" w:cs="Times New Roman" w:hAnsi="Times New Roman"/>
          <w:sz w:val="32"/>
          <w:szCs w:val="32"/>
          <w:lang w:eastAsia="zh-CN" w:bidi="ar-SA"/>
        </w:rPr>
        <w:t>联席会议办公室设在</w:t>
      </w:r>
      <w:r>
        <w:rPr>
          <w:rFonts w:ascii="Times New Roman" w:eastAsia="仿宋_GB2312" w:cs="Times New Roman" w:hAnsi="Times New Roman" w:hint="eastAsia"/>
          <w:sz w:val="32"/>
          <w:szCs w:val="32"/>
          <w:lang w:eastAsia="zh-CN" w:bidi="ar-SA"/>
        </w:rPr>
        <w:t>县</w:t>
      </w:r>
      <w:r>
        <w:rPr>
          <w:rFonts w:ascii="Times New Roman" w:eastAsia="仿宋_GB2312" w:cs="Times New Roman" w:hAnsi="Times New Roman"/>
          <w:sz w:val="32"/>
          <w:szCs w:val="32"/>
          <w:lang w:eastAsia="zh-CN" w:bidi="ar-SA"/>
        </w:rPr>
        <w:t>发改</w:t>
      </w:r>
      <w:r>
        <w:rPr>
          <w:rFonts w:ascii="Times New Roman" w:eastAsia="仿宋_GB2312" w:cs="Times New Roman" w:hAnsi="Times New Roman" w:hint="eastAsia"/>
          <w:sz w:val="32"/>
          <w:szCs w:val="32"/>
          <w:lang w:eastAsia="zh-CN" w:bidi="ar-SA"/>
        </w:rPr>
        <w:t>局</w:t>
      </w:r>
      <w:r>
        <w:rPr>
          <w:rFonts w:ascii="Times New Roman" w:eastAsia="仿宋_GB2312" w:cs="Times New Roman" w:hAnsi="Times New Roman"/>
          <w:sz w:val="32"/>
          <w:szCs w:val="32"/>
          <w:lang w:eastAsia="zh-CN" w:bidi="ar-SA"/>
        </w:rPr>
        <w:t>，各成员单位确定分管领导及联络科室、联络员，负责具体工作的开展及日常联络工作。</w:t>
      </w:r>
    </w:p>
    <w:p>
      <w:pPr>
        <w:pStyle w:val="22"/>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Autospacing="0" w:afterAutospacing="0" w:line="560" w:lineRule="exact"/>
        <w:ind w:firstLineChars="200" w:firstLine="622"/>
        <w:jc w:val="both"/>
        <w:rPr>
          <w:rFonts w:ascii="仿宋_GB2312" w:eastAsia="仿宋_GB2312" w:cs="仿宋_GB2312" w:hint="eastAsia"/>
          <w:color w:val="000000"/>
          <w:sz w:val="28"/>
          <w:szCs w:val="28"/>
          <w14:textFill>
            <w14:solidFill>
              <w14:srgbClr w14:val="000000"/>
            </w14:solidFill>
          </w14:textFill>
        </w:rPr>
      </w:pPr>
      <w:r>
        <w:rPr>
          <w:rFonts w:ascii="方正楷体_GBK" w:eastAsia="方正楷体_GBK" w:cs="方正楷体_GBK" w:hint="eastAsia"/>
          <w:b/>
          <w:bCs/>
          <w:sz w:val="32"/>
          <w:szCs w:val="32"/>
          <w:lang w:val="en-US" w:eastAsia="zh-CN" w:bidi="ar-SA"/>
        </w:rPr>
        <w:t>联席会议组织原则：</w:t>
      </w:r>
      <w:r>
        <w:rPr>
          <w:rFonts w:ascii="Times New Roman" w:eastAsia="仿宋_GB2312" w:cs="Times New Roman" w:hAnsi="Times New Roman"/>
          <w:sz w:val="32"/>
          <w:szCs w:val="32"/>
          <w:lang w:eastAsia="zh-CN" w:bidi="ar-SA"/>
        </w:rPr>
        <w:t>常态情况下，由</w:t>
      </w:r>
      <w:r>
        <w:rPr>
          <w:rFonts w:ascii="Times New Roman" w:eastAsia="仿宋_GB2312" w:cs="Times New Roman" w:hAnsi="Times New Roman" w:hint="eastAsia"/>
          <w:sz w:val="32"/>
          <w:szCs w:val="32"/>
          <w:lang w:eastAsia="zh-CN" w:bidi="ar-SA"/>
        </w:rPr>
        <w:t>县</w:t>
      </w:r>
      <w:r>
        <w:rPr>
          <w:rFonts w:ascii="Times New Roman" w:eastAsia="仿宋_GB2312" w:cs="Times New Roman" w:hAnsi="Times New Roman"/>
          <w:sz w:val="32"/>
          <w:szCs w:val="32"/>
          <w:lang w:eastAsia="zh-CN" w:bidi="ar-SA"/>
        </w:rPr>
        <w:t>发改</w:t>
      </w:r>
      <w:r>
        <w:rPr>
          <w:rFonts w:ascii="Times New Roman" w:eastAsia="仿宋_GB2312" w:cs="Times New Roman" w:hAnsi="Times New Roman" w:hint="eastAsia"/>
          <w:sz w:val="32"/>
          <w:szCs w:val="32"/>
          <w:lang w:eastAsia="zh-CN" w:bidi="ar-SA"/>
        </w:rPr>
        <w:t>局</w:t>
      </w:r>
      <w:r>
        <w:rPr>
          <w:rFonts w:ascii="Times New Roman" w:eastAsia="仿宋_GB2312" w:cs="Times New Roman" w:hAnsi="Times New Roman"/>
          <w:sz w:val="32"/>
          <w:szCs w:val="32"/>
          <w:lang w:eastAsia="zh-CN" w:bidi="ar-SA"/>
        </w:rPr>
        <w:t>负责召集组织，视情况每年召开一次重要民生商品调控工作座谈会，交流工作开展情况，分析研判形势，共商提高调控能力和质量的对策措施；紧急情况下，根据调控工作侧重和部门职能，由工作协调机制相关成员单位提出并负责召集组织；依据形势和工作需要可定期、不定期及时召开会议、通报情况、分析形势、研究对策、明确任务、落实责任。</w:t>
      </w:r>
      <w:bookmarkStart w:id="0" w:name="_GoBack"/>
      <w:bookmarkEnd w:id="0"/>
    </w:p>
    <w:sectPr>
      <w:footerReference w:type="default" r:id="rId4"/>
      <w:footerReference w:type="first" r:id="rId5"/>
      <w:pgSz w:w="11906" w:h="16838"/>
      <w:pgMar w:top="2098" w:right="1474" w:bottom="1984" w:left="1587" w:header="851" w:footer="992" w:gutter="0"/>
      <w:pgNumType w:fmt="numberInDash" w:start="11"/>
      <w:titlePg/>
      <w:rtlGutter/>
      <w:docGrid w:type="linesAndChars" w:linePitch="289" w:charSpace="-1839"/>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方正小标宋_GBK">
    <w:panose1 w:val="03000509000000000000"/>
    <w:charset w:val="86"/>
    <w:family w:val="auto"/>
    <w:pitch w:val="variable"/>
    <w:sig w:usb0="00000001" w:usb1="080E0000" w:usb2="00000000" w:usb3="00000000" w:csb0="00040000" w:csb1="00000000"/>
  </w:font>
  <w:font w:name="Times New Roman">
    <w:altName w:val="AR PL UKai CN"/>
    <w:panose1 w:val="02020603050405020304"/>
    <w:charset w:val="86"/>
    <w:family w:val="auto"/>
    <w:pitch w:val="variable"/>
    <w:sig w:usb0="E0002EFF" w:usb1="C000785B" w:usb2="00000009" w:usb3="00000000" w:csb0="400001FF" w:csb1="FFFF0000"/>
  </w:font>
  <w:font w:name="方正楷体_GBK">
    <w:panose1 w:val="03000509000000000000"/>
    <w:charset w:val="86"/>
    <w:family w:val="auto"/>
    <w:pitch w:val="variable"/>
    <w:sig w:usb0="00000001" w:usb1="080E0000" w:usb2="00000000" w:usb3="00000000" w:csb0="00040000" w:csb1="00000000"/>
  </w:font>
  <w:font w:name="宋体">
    <w:altName w:val="方正书宋_GBK"/>
    <w:panose1 w:val="02010600030101010101"/>
    <w:charset w:val="7A"/>
    <w:family w:val="auto"/>
    <w:pitch w:val="variable"/>
    <w:sig w:usb0="00000003" w:usb1="288F0000" w:usb2="00000006" w:usb3="00000000" w:csb0="0004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Microsoft JhengHei">
    <w:altName w:val="AR PL UKai CN"/>
    <w:panose1 w:val="020B0604030504040204"/>
    <w:charset w:val="88"/>
    <w:family w:val="swiss"/>
    <w:pitch w:val="variable"/>
    <w:sig w:usb0="000002A7" w:usb1="28CF4400" w:usb2="00000016" w:usb3="00000000" w:csb0="00100009" w:csb1="00000000"/>
  </w:font>
  <w:font w:name="Arial Unicode MS">
    <w:altName w:val="AR PL UKai CN"/>
    <w:panose1 w:val="020B0604020202020204"/>
    <w:charset w:val="86"/>
    <w:family w:val="swiss"/>
    <w:pitch w:val="variable"/>
    <w:sig w:usb0="FFFFFFFF" w:usb1="E9FFFFFF" w:usb2="0000003F" w:usb3="00000000" w:csb0="603F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1" name="文本框 5"/>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2">
                      <w:txbxContent>
                        <w:p>
                          <w:pPr>
                            <w:pStyle w:val="20"/>
                            <w:tabs>
                              <w:tab w:val="center" w:pos="4153"/>
                              <w:tab w:val="right" w:pos="8306"/>
                            </w:tabs>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rPr>
                            <w:t>- 9 -</w:t>
                          </w:r>
                          <w:r>
                            <w:rPr>
                              <w:rFonts w:ascii="仿宋_GB2312" w:eastAsia="仿宋_GB2312" w:cs="仿宋_GB2312"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5 3" o:spid="_x0000_s3" filled="f" stroked="f" strokeweight="0.5pt" style="position:absolute;margin-left:0.0pt;margin-top:0.0pt;width:42.0pt;height:18.130003pt;z-index:15;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0"/>
                      <w:tabs>
                        <w:tab w:val="center" w:pos="4153"/>
                        <w:tab w:val="right" w:pos="8306"/>
                      </w:tabs>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rPr>
                      <w:t>- 9 -</w:t>
                    </w:r>
                    <w:r>
                      <w:rPr>
                        <w:rFonts w:ascii="仿宋_GB2312" w:eastAsia="仿宋_GB2312" w:cs="仿宋_GB2312" w:hint="eastAsia"/>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left" w:pos="8003"/>
        <w:tab w:val="right" w:pos="8306"/>
      </w:tabs>
    </w:pPr>
    <w:r>
      <w:rPr>
        <w:sz w:val="18"/>
      </w:rPr>
      <mc:AlternateContent>
        <mc:Choice Requires="wps">
          <w:drawing>
            <wp:anchor distT="0" distB="0" distL="114298" distR="114298" simplePos="0" relativeHeight="17"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4" name="文本框 6"/>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5">
                      <w:txbxContent>
                        <w:p>
                          <w:pPr>
                            <w:pStyle w:val="20"/>
                            <w:tabs>
                              <w:tab w:val="center" w:pos="4153"/>
                              <w:tab w:val="right" w:pos="8306"/>
                            </w:tabs>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rPr>
                            <w:t>- 8 -</w:t>
                          </w:r>
                          <w:r>
                            <w:rPr>
                              <w:rFonts w:ascii="仿宋_GB2312" w:eastAsia="仿宋_GB2312" w:cs="仿宋_GB2312"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6 6" o:spid="_x0000_s6" filled="f" stroked="f" strokeweight="0.5pt" style="position:absolute;margin-left:0.0pt;margin-top:0.0pt;width:34.999996pt;height:18.130003pt;z-index:17;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20"/>
                      <w:tabs>
                        <w:tab w:val="center" w:pos="4153"/>
                        <w:tab w:val="right" w:pos="8306"/>
                      </w:tabs>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rPr>
                      <w:t>- 8 -</w:t>
                    </w:r>
                    <w:r>
                      <w:rPr>
                        <w:rFonts w:ascii="仿宋_GB2312" w:eastAsia="仿宋_GB2312" w:cs="仿宋_GB2312" w:hint="eastAsia"/>
                        <w:sz w:val="28"/>
                        <w:szCs w:val="28"/>
                      </w:rPr>
                      <w:fldChar w:fldCharType="end"/>
                    </w:r>
                  </w:p>
                </w:txbxContent>
              </v:textbox>
            </v:shape>
          </w:pict>
        </mc:Fallback>
      </mc:AlternateContent>
    </w:r>
    <w:r>
      <w:rPr>
        <w:rFonts w:hint="eastAsia"/>
      </w:rPr>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227914" cy="133159"/>
              <wp:effectExtent l="0" t="0" r="0" b="0"/>
              <wp:wrapNone/>
              <wp:docPr id="7" name="文本框 7"/>
              <wp:cNvGraphicFramePr>
                <a:graphicFrameLocks noChangeAspect="0"/>
              </wp:cNvGraphicFramePr>
              <a:graphic>
                <a:graphicData uri="http://schemas.microsoft.com/office/word/2010/wordprocessingShape">
                  <wps:wsp>
                    <wps:cNvSpPr/>
                    <wps:spPr>
                      <a:xfrm rot="0">
                        <a:off x="0" y="0"/>
                        <a:ext cx="227914" cy="133159"/>
                      </a:xfrm>
                      <a:prstGeom prst="rect"/>
                      <a:noFill/>
                      <a:ln w="6350" cmpd="sng" cap="flat">
                        <a:noFill/>
                        <a:prstDash val="solid"/>
                        <a:round/>
                      </a:ln>
                    </wps:spPr>
                    <wps:txbx id="8">
                      <w:txbxContent>
                        <w:p>
                          <w:pPr>
                            <w:pStyle w:val="20"/>
                            <w:tabs>
                              <w:tab w:val="center" w:pos="4153"/>
                              <w:tab w:val="right" w:pos="8306"/>
                            </w:tabs>
                          </w:pPr>
                          <w:r>
                            <w:fldChar w:fldCharType="begin"/>
                          </w:r>
                          <w:r>
                            <w:instrText xml:space="preserve"> PAGE  \* MERGEFORMAT </w:instrText>
                          </w:r>
                          <w:r>
                            <w:fldChar w:fldCharType="separate"/>
                          </w:r>
                          <w:r>
                            <w:t>- 9 -</w:t>
                          </w:r>
                          <w:r>
                            <w:fldChar w:fldCharType="end"/>
                          </w:r>
                        </w:p>
                      </w:txbxContent>
                    </wps:txbx>
                    <wps:bodyPr vert="horz" wrap="none" lIns="0" tIns="0" rIns="0" bIns="0" anchor="t" anchorCtr="0" upright="0">
                      <a:spAutoFit/>
                    </wps:bodyPr>
                  </wps:wsp>
                </a:graphicData>
              </a:graphic>
            </wp:anchor>
          </w:drawing>
        </mc:Choice>
        <mc:Fallback>
          <w:pict>
            <v:shape type="#_x0000_t202" id="文本框 7 9" o:spid="_x0000_s9" filled="f" stroked="f" strokeweight="0.5pt" style="position:absolute;margin-left:0.0pt;margin-top:0.0pt;width:17.945997pt;height:10.484998pt;z-index:19;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left" w:pos="8003"/>
        <w:tab w:val="right" w:pos="8306"/>
      </w:tabs>
    </w:pPr>
    <w:r>
      <w:rPr>
        <w:sz w:val="18"/>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10" name="文本框 8"/>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11">
                      <w:txbxContent>
                        <w:p>
                          <w:pPr>
                            <w:pStyle w:val="20"/>
                            <w:tabs>
                              <w:tab w:val="center" w:pos="4153"/>
                              <w:tab w:val="right" w:pos="8306"/>
                            </w:tabs>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rPr>
                            <w:t>- 8 -</w:t>
                          </w:r>
                          <w:r>
                            <w:rPr>
                              <w:rFonts w:ascii="仿宋_GB2312" w:eastAsia="仿宋_GB2312" w:cs="仿宋_GB2312"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8 12" o:spid="_x0000_s12" filled="f" stroked="f" strokeweight="0.5pt" style="position:absolute;margin-left:0.0pt;margin-top:0.0pt;width:42.0pt;height:18.130003pt;z-index:21;mso-position-horizontal:outside;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20"/>
                      <w:tabs>
                        <w:tab w:val="center" w:pos="4153"/>
                        <w:tab w:val="right" w:pos="8306"/>
                      </w:tabs>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rPr>
                      <w:t>- 8 -</w:t>
                    </w:r>
                    <w:r>
                      <w:rPr>
                        <w:rFonts w:ascii="仿宋_GB2312" w:eastAsia="仿宋_GB2312" w:cs="仿宋_GB2312" w:hint="eastAsia"/>
                        <w:sz w:val="28"/>
                        <w:szCs w:val="28"/>
                      </w:rPr>
                      <w:fldChar w:fldCharType="end"/>
                    </w:r>
                  </w:p>
                </w:txbxContent>
              </v:textbox>
            </v:shape>
          </w:pict>
        </mc:Fallback>
      </mc:AlternateContent>
    </w:r>
    <w:r>
      <w:rPr>
        <w:rFonts w:hint="eastAsia"/>
      </w:rPr>
      <w:tab/>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8"/>
  <w:bordersDoNotSurroundHeader/>
  <w:bordersDoNotSurroundFooter/>
  <w:documentProtection w:edit="readOnly" w:enforcement="0"/>
  <w:defaultTabStop w:val="420"/>
  <w:drawingGridHorizontalSpacing w:val="101"/>
  <w:drawingGridVerticalSpacing w:val="144"/>
  <w:displayHorizontalDrawingGridEvery w:val="0"/>
  <w:displayVerticalDrawingGridEvery w:val="1"/>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docVars>
    <w:docVar w:name="commondata" w:val="eyJoZGlkIjoiYTcwMTYwMWY1N2EyOWY4NDI1YmIzMTVkNWU4YTRmO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spacing w:line="564" w:lineRule="exact"/>
      <w:ind w:left="1385"/>
      <w:outlineLvl w:val="1"/>
    </w:pPr>
    <w:rPr>
      <w:rFonts w:ascii="Microsoft JhengHei" w:eastAsia="Microsoft JhengHei" w:cs="Microsoft JhengHei" w:hAnsi="Microsoft JhengHei"/>
      <w:b/>
      <w:bCs/>
      <w:sz w:val="32"/>
      <w:szCs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able of figures"/>
    <w:basedOn w:val="0"/>
    <w:next w:val="0"/>
    <w:pPr>
      <w:spacing w:before="100" w:beforeAutospacing="1" w:after="100" w:afterAutospacing="1"/>
      <w:ind w:leftChars="200" w:left="400" w:hangingChars="200" w:hanging="200"/>
    </w:pPr>
  </w:style>
  <w:style w:type="paragraph" w:styleId="16">
    <w:name w:val="Body Text"/>
    <w:basedOn w:val="0"/>
    <w:rPr>
      <w:sz w:val="32"/>
      <w:szCs w:val="32"/>
    </w:rPr>
  </w:style>
  <w:style w:type="paragraph" w:styleId="17">
    <w:name w:val="Body Text Indent"/>
    <w:basedOn w:val="0"/>
    <w:next w:val="18"/>
    <w:pPr>
      <w:ind w:leftChars="200" w:left="200"/>
    </w:pPr>
  </w:style>
  <w:style w:type="paragraph" w:styleId="18">
    <w:name w:val="Body Text First Indent 2"/>
    <w:basedOn w:val="17"/>
    <w:next w:val="0"/>
    <w:pPr>
      <w:ind w:firstLineChars="200" w:firstLine="200"/>
    </w:pPr>
  </w:style>
  <w:style w:type="paragraph" w:styleId="19">
    <w:name w:val="Balloon Text"/>
    <w:basedOn w:val="0"/>
    <w:rPr>
      <w:sz w:val="18"/>
      <w:szCs w:val="18"/>
    </w:rPr>
  </w:style>
  <w:style w:type="paragraph" w:styleId="20">
    <w:name w:val="footer"/>
    <w:basedOn w:val="0"/>
    <w:next w:val="0"/>
    <w:pPr>
      <w:tabs>
        <w:tab w:val="center" w:pos="4153"/>
        <w:tab w:val="right" w:pos="8306"/>
      </w:tabs>
      <w:snapToGrid w:val="0"/>
      <w:jc w:val="left"/>
    </w:pPr>
    <w:rPr>
      <w:sz w:val="18"/>
    </w:rPr>
  </w:style>
  <w:style w:type="paragraph" w:styleId="21">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2">
    <w:name w:val="Normal (Web)"/>
    <w:basedOn w:val="0"/>
    <w:next w:val="0"/>
    <w:pPr>
      <w:spacing w:beforeAutospacing="1" w:afterAutospacing="1"/>
      <w:jc w:val="left"/>
    </w:pPr>
    <w:rPr>
      <w:rFonts w:cs="Times New Roman"/>
      <w:kern w:val="0"/>
      <w:sz w:val="24"/>
    </w:rPr>
  </w:style>
  <w:style w:type="character" w:styleId="23">
    <w:name w:val="Strong"/>
    <w:basedOn w:val="10"/>
    <w:rPr>
      <w:b/>
    </w:rPr>
  </w:style>
  <w:style w:type="character" w:styleId="24">
    <w:name w:val="FollowedHyperlink"/>
    <w:basedOn w:val="10"/>
    <w:rPr>
      <w:color w:val="333333"/>
      <w:u w:val="none"/>
    </w:rPr>
  </w:style>
  <w:style w:type="character" w:styleId="25">
    <w:name w:val="Emphasis"/>
    <w:basedOn w:val="10"/>
  </w:style>
  <w:style w:type="character" w:styleId="26">
    <w:name w:val="Hyperlink"/>
    <w:basedOn w:val="10"/>
    <w:rPr>
      <w:color w:val="333333"/>
      <w:u w:val="none"/>
    </w:rPr>
  </w:style>
  <w:style w:type="paragraph" w:customStyle="1" w:styleId="27">
    <w:name w:val="标题 21"/>
    <w:next w:val="28"/>
    <w:pPr>
      <w:keepNext/>
      <w:keepLines/>
      <w:widowControl w:val="0"/>
      <w:spacing w:before="260" w:after="260" w:line="415" w:lineRule="auto"/>
      <w:jc w:val="both"/>
      <w:outlineLvl w:val="1"/>
    </w:pPr>
    <w:rPr>
      <w:rFonts w:ascii="Arial Unicode MS" w:eastAsia="Arial Unicode MS" w:cs="Times New Roman" w:hAnsi="Arial Unicode MS"/>
      <w:color w:val="000000"/>
      <w:kern w:val="2"/>
      <w:sz w:val="32"/>
      <w:szCs w:val="32"/>
      <w:u w:color="000000"/>
      <w:lang w:val="en-US" w:eastAsia="zh-CN" w:bidi="ar-SA"/>
    </w:rPr>
  </w:style>
  <w:style w:type="paragraph" w:customStyle="1" w:styleId="28">
    <w:name w:val="正文 A"/>
    <w:pPr>
      <w:widowControl w:val="0"/>
      <w:jc w:val="both"/>
    </w:pPr>
    <w:rPr>
      <w:rFonts w:ascii="Calibri" w:eastAsia="Calibri" w:cs="Times New Roman" w:hAnsi="Calibri"/>
      <w:color w:val="000000"/>
      <w:kern w:val="2"/>
      <w:sz w:val="21"/>
      <w:szCs w:val="21"/>
      <w:u w:color="000000"/>
      <w:lang w:val="en-US" w:eastAsia="zh-CN" w:bidi="ar-SA"/>
    </w:rPr>
  </w:style>
  <w:style w:type="paragraph" w:styleId="29">
    <w:name w:val="List Paragraph"/>
    <w:basedOn w:val="0"/>
    <w:pPr>
      <w:ind w:firstLineChars="200" w:firstLine="200"/>
    </w:pPr>
  </w:style>
  <w:style w:type="paragraph" w:customStyle="1" w:styleId="30">
    <w:name w:val="text-tag"/>
    <w:basedOn w:val="0"/>
    <w:pPr>
      <w:widowControl/>
      <w:spacing w:before="100" w:beforeAutospacing="1" w:after="100" w:afterAutospacing="1"/>
      <w:jc w:val="left"/>
    </w:pPr>
    <w:rPr>
      <w:rFonts w:ascii="宋体" w:eastAsia="宋体" w:cs="宋体"/>
      <w:kern w:val="0"/>
      <w:sz w:val="24"/>
    </w:rPr>
  </w:style>
  <w:style w:type="paragraph" w:customStyle="1" w:styleId="31">
    <w:name w:val="table of figures1"/>
    <w:basedOn w:val="0"/>
    <w:next w:val="0"/>
    <w:pPr>
      <w:ind w:leftChars="200" w:left="400" w:hangingChars="200" w:hanging="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Yozo_Office27021597764231179</Application>
  <Pages>4</Pages>
  <Words>1907</Words>
  <Characters>1928</Characters>
  <Lines>193</Lines>
  <Paragraphs>104</Paragraphs>
  <CharactersWithSpaces>1935</CharactersWithSpaces>
  <Company>Kingsoft</Company>
</Properties>
</file>

<file path=docProps/core.xml><?xml version="1.0" encoding="utf-8"?>
<cp:coreProperties xmlns:cp="http://schemas.openxmlformats.org/package/2006/metadata/core-properties" xmlns:dc="http://purl.org/dc/elements/1.1/" xmlns:dcterms="http://purl.org/dc/terms/" xmlns:xsi="http://www.w3.org/2001/XMLSchema-instance">
  <dc:creator>zhaoxinlei</dc:creator>
  <cp:lastModifiedBy>user</cp:lastModifiedBy>
  <cp:revision>79</cp:revision>
  <cp:lastPrinted>2022-09-15T10:40:00Z</cp:lastPrinted>
  <dcterms:created xsi:type="dcterms:W3CDTF">2014-11-05T20:08:00Z</dcterms:created>
  <dcterms:modified xsi:type="dcterms:W3CDTF">2022-10-18T09:25:01Z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5CD6B81FA91A43699121E44397834AF7</vt:lpwstr>
  </property>
</Properties>
</file>