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</w:rPr>
        <w:t>黑水县人民政府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  <w:lang w:bidi="ar-SA"/>
        </w:rPr>
        <w:t>关于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黑水县2022年财政决算和2023年财政预算1-6月执行情况的报告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27日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在县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届人大常委会第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县人大常委会：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受县人民政府委托，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向会议报告黑水县2022年财政决算和2023年财政预算1-6月执行情况，请予审议。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</w:rPr>
        <w:t>一、202</w:t>
      </w: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eastAsia="黑体" w:cs="黑体"/>
          <w:color w:val="000000"/>
          <w:sz w:val="32"/>
          <w:szCs w:val="32"/>
          <w:highlight w:val="none"/>
        </w:rPr>
        <w:t>年度财政决算情况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现已完成全县财政决算编审工作，按照202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年6月州财政局下达的结算通知，现将202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年度财政决算情况报告如下：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color w:val="000000"/>
          <w:sz w:val="32"/>
          <w:szCs w:val="32"/>
          <w:highlight w:val="none"/>
        </w:rPr>
        <w:t>（一）一般公共预算收支决算情况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  <w:highlight w:val="none"/>
        </w:rPr>
        <w:t>1.一般公共预算收入决算情况。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年度一般公共预算收入1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46064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万元。与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2022年9月30日在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通过的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预算调整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</w:rPr>
        <w:t>地方一般公共预算收入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33215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万元相比，增加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12849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9.65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。州财政结算批复一般公共预算总收入的具体构成为：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</w:rPr>
        <w:t>一是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地方一般公共预算收入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8125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与年初预算数和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通过的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</w:rPr>
        <w:t>地方一般公共预算收入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9541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万元相比，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1416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14.84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，与上年决算数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9278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万元相比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，减少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1153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12.43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。其中：税收收入实际完成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4644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万元，与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通过的税收收入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  <w:lang w:val="en-US" w:eastAsia="zh-CN"/>
        </w:rPr>
        <w:t>6171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万元相比，减少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  <w:lang w:val="en-US" w:eastAsia="zh-CN"/>
        </w:rPr>
        <w:t>1527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万元；非税收入实际完成3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  <w:lang w:val="en-US" w:eastAsia="zh-CN"/>
        </w:rPr>
        <w:t>481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万元，与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通过的非税收入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  <w:lang w:val="en-US" w:eastAsia="zh-CN"/>
        </w:rPr>
        <w:t>3370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万元相比，增加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  <w:lang w:val="en-US" w:eastAsia="zh-CN"/>
        </w:rPr>
        <w:t>111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二是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上级财政补助收入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130759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</w:rPr>
        <w:t>三是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上年结转结余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414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万元，为上年一般公共预算结余。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</w:rPr>
        <w:t>四是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调入资金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万元，主要从政府基金预算调入一般公共预算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</w:rPr>
        <w:t>五是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债券转贷收入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1906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万元，为202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年再融资债券资金。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</w:rPr>
        <w:t>六是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上年超收收入的预算稳定调节基金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万元安排在当年使用。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</w:rPr>
        <w:t>七是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接受其他地区援助收入45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0万元（均为浙江援建扶贫项目资金）。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  <w:highlight w:val="none"/>
        </w:rPr>
        <w:t>2.一般公共预算支出决算情况。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年度一般公共预算支出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146064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与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通过的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</w:rPr>
        <w:t>一般公共预算支出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133215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万元相比，增加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12849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9.65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。具体构成为：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</w:rPr>
        <w:t>一是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一般公共预算支出为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136040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万元。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二是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上解支出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390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9万元。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三是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地方政府性债务还本支出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00万元。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四是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结转下年资金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5615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  <w:highlight w:val="none"/>
        </w:rPr>
        <w:t>3.一般公共预算总收支平衡情况。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年度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安排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预算稳定调节基金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2308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，结转下年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3307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按规定应结转下年继续安排使用的资金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2022年实现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一般公共预算收支平衡。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color w:val="000000"/>
          <w:sz w:val="32"/>
          <w:szCs w:val="32"/>
          <w:highlight w:val="none"/>
        </w:rPr>
        <w:t>（二）政府性基金预算收支决算情况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  <w:highlight w:val="none"/>
        </w:rPr>
        <w:t>1.政府性基金预算收入决算情况。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</w:rPr>
        <w:t>年度，州财政结算批复政府性基金总收入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8373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万元（本级收入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564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万元、上级补助收入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7809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万元），与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2022年9月30日在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通过的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预算调整政府性基金预算收入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6967万元相比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1406万元，增长20.18%；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与上年决算数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1505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万元相比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6868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456.35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%，</w:t>
      </w:r>
      <w:r>
        <w:rPr>
          <w:rFonts w:hint="eastAsia" w:ascii="仿宋_GB2312" w:eastAsia="仿宋_GB2312" w:cs="仿宋_GB2312"/>
          <w:b/>
          <w:color w:val="000000"/>
          <w:kern w:val="0"/>
          <w:sz w:val="32"/>
          <w:szCs w:val="32"/>
          <w:highlight w:val="none"/>
        </w:rPr>
        <w:t>其中：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县本级收入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564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与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年初预算数和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通过的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预算调整政府性基金预算收入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380万元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相比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184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48.42%，与上年决算数369万元相比，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195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52.85%；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上级补助收入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7809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通过的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预算调整政府性基金预算收入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6587万元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相比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1222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18.55%，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与上年决算数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1136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万元相比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6673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587.41%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  <w:highlight w:val="none"/>
        </w:rPr>
        <w:t>2.政府性基金预算支出决算情况。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年度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</w:rPr>
        <w:t>州财政结算批复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政府性基金总支出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8373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万元。与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通过的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预算调整政府性基金预算收入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6967万元相比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1406万元，增长20.18%；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与上年决算数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1505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万元相比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6868万元，增长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456.35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%，</w:t>
      </w:r>
      <w:r>
        <w:rPr>
          <w:rFonts w:hint="eastAsia" w:ascii="仿宋_GB2312" w:eastAsia="仿宋_GB2312" w:cs="仿宋_GB2312"/>
          <w:b/>
          <w:color w:val="000000"/>
          <w:kern w:val="0"/>
          <w:sz w:val="32"/>
          <w:szCs w:val="32"/>
          <w:highlight w:val="none"/>
        </w:rPr>
        <w:t>其中：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县本级支出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1045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万元，与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年初预算数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通过的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预算调整政府性基金预算安排支出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380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万元相比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665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175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%，与上年决算支出数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369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万元相比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676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183.2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上级补助支出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7328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万元，与上年决算数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1136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万元相比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6192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545.07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  <w:highlight w:val="none"/>
        </w:rPr>
        <w:t>3.政府性基金预算收支平衡情况。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年度政府性基金预算总收入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8373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8252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万元，调出资金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年终结余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43万元，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总体实现收支平衡。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32"/>
          <w:szCs w:val="32"/>
          <w:highlight w:val="none"/>
        </w:rPr>
        <w:t>（三）国有资本经营预算收支决算情况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我县现有3个县属国有企业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（粮食储备库、三奥自来水有限责任公司、县国有资产投资经营管理有限公司）202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年度均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无应交利润，也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未实现国有资本经营收益，故无县本级国有资本经营预算收支发生，与县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十四届人民代表大会第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通过的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报告数一致。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32"/>
          <w:szCs w:val="32"/>
          <w:highlight w:val="none"/>
        </w:rPr>
        <w:t>（四）社会保险基金预算收支决算情况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省社保基金预决算管理系统核定，我县202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</w:rPr>
        <w:t>城乡居民基本养老保险基金收入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8906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万元，由本年收入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1835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万元和上年结余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7071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万元构成。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未作调整，因此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与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县十四届人民代表大会第一次会议通过的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年初预算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  <w:lang w:val="en-US" w:eastAsia="zh-CN"/>
        </w:rPr>
        <w:t>8751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万元相比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1.77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与上年决算数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8077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万元相比，增加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829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万元，增长1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0.26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省社保基金预决算管理系统核定，我县202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</w:rPr>
        <w:t>城乡居民基本养老保险基金决算支出为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8906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万元。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未作调整，因此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与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县十四届人民代表大会第一次会议通过的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年初预算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  <w:lang w:val="en-US" w:eastAsia="zh-CN"/>
        </w:rPr>
        <w:t>8751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</w:rPr>
        <w:t>万元相比</w:t>
      </w:r>
      <w:r>
        <w:rPr>
          <w:rFonts w:hint="eastAsia" w:ascii="仿宋_GB2312" w:eastAsia="仿宋_GB2312" w:cs="仿宋_GB2312"/>
          <w:color w:val="000000"/>
          <w:w w:val="99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1.77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与上年决算数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8077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万元相比，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增加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829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万元，增长1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0.26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32"/>
          <w:szCs w:val="32"/>
          <w:highlight w:val="none"/>
        </w:rPr>
        <w:t>（五）政府债务情况说明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年年末政府性债务余额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19919.4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万元。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其中：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一般债券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13574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万元，专项债券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6345.4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万元。负债未突破省下达我县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年债务限额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30234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.4万元，政府负债在合理可控范围。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eastAsia="黑体" w:cs="黑体"/>
          <w:bCs/>
          <w:color w:val="auto"/>
          <w:kern w:val="0"/>
          <w:sz w:val="32"/>
          <w:szCs w:val="32"/>
        </w:rPr>
        <w:t>二、2023年1-6月预算执行情况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上半年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财政工作坚持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以习近平新时代中国特色社会主义思想为指引，深入贯彻党的二十大精神，全面贯彻落实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中央和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省州决策部署，紧紧围绕县委“一地三县六区”战略目标和“四业同优、六片共兴，四向发力、六区共建”工作思路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在县委的坚强领导下，在县人大、县政协的监督支持下，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实施积极的财政政策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，着力保市场主体、保就业、保民生，毫不放松地抓紧抓实抓细各项工作，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确保财政工作平稳安全运行，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为迎接建州70周年献礼。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上半年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完成一般公共财政预算收入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118566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万元（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其中：地方一般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公共预算收入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4812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万元，上级财政补助收入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103609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，东西部援建资金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4530万元,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上年结余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3307万元,预算稳定调节基金2308万元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），完成一般公共财政预算支出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68757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32"/>
          <w:szCs w:val="32"/>
          <w:highlight w:val="none"/>
        </w:rPr>
        <w:t>（一）一般公共预算收支执行情况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1.一般公共预算收入执行情况。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完成一般公共预算收入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118566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与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县十四届人民代表大会第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次会议通过的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年初预算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84374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万元相比增加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34192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40.52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具体构成为：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</w:rPr>
        <w:t>一是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完成地方一般公共预算收入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4812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，完成年初预算的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56.58%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，其中：税收收入完成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2673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万元，完成年初预算的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48.35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%；非税收入完成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2139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万元，完成年初预算的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71.85%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二是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到位上级财政补助收入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103609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三是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到位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eastAsia="zh-CN"/>
        </w:rPr>
        <w:t>东西部援建资金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4530万元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四是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上年结余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3307万元。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预算稳定调节基金2308万元。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2.一般公共预算支出执行情况。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完成一般公共预算支出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68757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县十四届人民代表大会第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次会议通过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年初预算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84374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81.49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重点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教育、文化、社保、公共卫生、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灾害防治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等民生公共服务及基础设施。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具体构成为：一般公共服务支出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8652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万元、国防支出2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万元、公共安全支出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3870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万元、教育支出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8489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万元、科学技术支出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万元、文化体育与传媒支出10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7468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7277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万元、节能环保支出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万元、城乡社区支出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万元、农林水支出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20817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万元、商业服务业等支出11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万元、金融支出2万元、自然资源海洋气象等支出3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万元、粮油物资储备支出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万元、灾害防治及应急管理支出2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万元、其他支出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、债务付息支出489万元。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32"/>
          <w:szCs w:val="32"/>
          <w:highlight w:val="none"/>
        </w:rPr>
        <w:t>（二）政府性基金预算收支变动及执行情况</w:t>
      </w:r>
    </w:p>
    <w:p>
      <w:pPr>
        <w:keepNext w:val="0"/>
        <w:keepLines w:val="0"/>
        <w:pageBreakBefore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1.202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上半年，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政府性基金收入完成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16484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万元，与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县十四届人民代表大会第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次会议通过的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年初预算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万元相比增加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16374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149倍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。其中：县本级收入完成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万元，上级财政补助收入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16464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万元。</w:t>
      </w:r>
    </w:p>
    <w:p>
      <w:pPr>
        <w:keepNext w:val="0"/>
        <w:keepLines w:val="0"/>
        <w:pageBreakBefore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上半年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，政府性基金支出完成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16550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万元，与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县十四届人民代表大会第一次会议通过的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年初预算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相比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16440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149倍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color w:val="auto"/>
          <w:kern w:val="0"/>
          <w:sz w:val="32"/>
          <w:szCs w:val="32"/>
          <w:highlight w:val="none"/>
        </w:rPr>
        <w:t>（三）社会保险基金预算收支执行情况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highlight w:val="none"/>
        </w:rPr>
        <w:t>1.202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highlight w:val="none"/>
        </w:rPr>
        <w:t>年上半年，我县城乡居民基本养老保险基金预算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收入完成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840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万元，与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县十四届人民代表大会第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次会议通过的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年初预算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10077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相比减少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9237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万元，下降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91.66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highlight w:val="none"/>
        </w:rPr>
        <w:t>2.202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highlight w:val="none"/>
        </w:rPr>
        <w:t>年上半年，我县城乡居民基本养老保险基金预算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支出完成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840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万元，与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县十四届人民代表大会第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次会议通过的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年初预算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10077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相比减少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9237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万元，下降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91.66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color w:val="auto"/>
          <w:kern w:val="0"/>
          <w:sz w:val="32"/>
          <w:szCs w:val="32"/>
        </w:rPr>
        <w:t>（四）国有资本经营预</w:t>
      </w:r>
      <w:r>
        <w:rPr>
          <w:rFonts w:hint="eastAsia" w:ascii="楷体_GB2312" w:eastAsia="楷体_GB2312" w:cs="楷体_GB2312"/>
          <w:b/>
          <w:color w:val="auto"/>
          <w:kern w:val="0"/>
          <w:sz w:val="32"/>
          <w:szCs w:val="32"/>
          <w:lang w:eastAsia="zh-CN"/>
        </w:rPr>
        <w:t>算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我县现有县属国有企业3个，其中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三奥自来水有限责任公司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属自收自支事业单位（企业化管理经营）长期处于亏损状态；县粮食储备库经营持平，无应交利润；县国有资产投资经营管理有限公司经营亏损，无年度可支配国有资产经营收入，国有资产经营预算收支为零。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kern w:val="0"/>
          <w:sz w:val="32"/>
          <w:szCs w:val="32"/>
          <w:highlight w:val="none"/>
        </w:rPr>
        <w:t>（五）政府债务情况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年初政府性债务余额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19919.40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万元，其中：一般债券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13574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万元，专项债券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6345.40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万元。202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年新增债券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16000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截至6月30日，我县政府债务余额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35919.40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万元，其中：一般债券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13574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万元，专项债券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22345.40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万元。负债未突破省下达我县债务限额，政府负债在合理可控范围。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三、主要工作措施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2" w:firstLineChars="200"/>
        <w:textAlignment w:val="auto"/>
        <w:rPr>
          <w:rFonts w:hint="eastAsia" w:asci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</w:rPr>
        <w:t>优化支出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lang w:eastAsia="zh-CN"/>
        </w:rPr>
        <w:t>结构，严格资金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</w:rPr>
        <w:t>监管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继续实施“有保有压”的财政措施，按照“保民生、保工资、保运转、优结构、防风险”序列严格控制一般性支出，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牢固树立党政机关过“紧日子”思想，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进一步压缩三公经费等支出，依托预算管理一体化系统，科学化、精细化、制度化加强各项预算指标执行管理。</w:t>
      </w:r>
    </w:p>
    <w:p>
      <w:pPr>
        <w:keepNext w:val="0"/>
        <w:keepLines w:val="0"/>
        <w:pageBreakBefore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2" w:firstLineChars="200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加强国库管理，规范支付行为。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准确研判预算执行动态监控系统预警信息，定期通报违规办理资金支付情况和直达资金监控工作，增强动态监控结果应用效果。上半年，累计分配下达直达资金27325万元，支出9973万元，支出进度36.5%。处理监控系统预警信息94条。</w:t>
      </w:r>
    </w:p>
    <w:p>
      <w:pPr>
        <w:keepNext w:val="0"/>
        <w:keepLines w:val="0"/>
        <w:pageBreakBefore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2" w:firstLineChars="200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2.抓实财评工作，提升资金效益。一是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以服务全县财政投资项目建设为切入点，积极协调各项目单位，及时组织咨询服务机构高质高效完成财评工作任务。上半年，已完成涉及自然灾害治理、旅游基础设施建设、乡村振兴建设、幸福美丽乡村路建设、安全饮水、生态环境等重点领域预算评审项目69个，送审金额为19373.82万元，审定金额为18334.20万元，审减金额为1039.63万元，审减率为5.34%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组织财务决算公司召开座谈会议1次，对基本建设项目决算工作中存在的问题进行沟通交流。截至6月底，完成竣工财务决算25个，送审金额为8736.29万元，审定金额为8836.03万元(应按权责发生制进行会计核算，而实际按收付实现制进行会计核算，导致部分应付未付项目款未记账，故送审金额小于审定金额）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拟定《黑水县财政局粮食购销领域腐败问题专项整治实施方案》，加强对粮食购销领域和粮食风险基金的管理。截至6月底，参与储备库县级储备粮油轮出、轮入询价1次，参与小麦、大米、粮油等入库、出库验收2次。及时拨付州级储备粮油费用利息补贴39.95万元，拨付县级储备利息补贴、管理费用补贴59.28万元。</w:t>
      </w:r>
    </w:p>
    <w:p>
      <w:pPr>
        <w:keepNext w:val="0"/>
        <w:keepLines w:val="0"/>
        <w:pageBreakBefore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3.深化采购监管，规范采购流程。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坚持阳光采购、公平原则，优化政府采购领域营商环境，落实监督责任，规范政府采购行为。截至6月底，完成政府采购计划备案工作81个，审核采购公告45个、更正公告17个、结果（成交）公告38个（预算金额7743.99万元，中标金额为7329.80万元，节省资金414.19万元、节资率5.3%）。政府采购项目合同备案16个，抽取政府采购评审专家6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人，调查核实审计反馈关于2019年色湾藏香猪一级扩繁场项目问题。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4.深化重点保障，加大统筹力度。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坚持“保基本民生、保工资、保运转”支出优先顺序，加强对“三保”执行情况研判分析，防范支付风险。上半年，投入教育、社会保障和就业等民生领域支出44732万元，其中，教育支出7800万元、社会保障和就业支出7042万元、卫生健康支出7100万元、农林水支出20210万元，交通支出2580万元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lang w:eastAsia="zh-CN"/>
        </w:rPr>
        <w:t>加强财会监督，严肃财经纪律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深入学习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《财政违法行为处罚处分条例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eastAsia="仿宋_GB2312" w:cs="仿宋_GB2312"/>
          <w:color w:val="auto"/>
          <w:sz w:val="32"/>
          <w:szCs w:val="32"/>
          <w:lang w:eastAsia="zh-CN"/>
        </w:rPr>
        <w:t>中华人民共和国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2"/>
          <w:szCs w:val="32"/>
        </w:rPr>
        <w:t>预算法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预算法实施条例》重要法规和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《关于进一步加强财会监督工作的意见》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精神，进一步加强财政资金管理，严肃财经纪律，维护财政秩序，落实厉行节约反对铺张浪费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系列部署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，从严控制一般性支出，统一压减非急需非刚性支出，切实从源头上控制一般性支出增长，全面提高财政资金使用效益和财务管理水平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切实强化责任担当，增强防范意识，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提升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依法理财、管财和治财的自觉性，坚决杜绝违法违纪行为。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完成75个预算单位2022年以来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财会监督和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财经纪律重点问题专项整治工作自查，抽取复查预算单位31个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</w:rPr>
        <w:t>深耕绩效管理，抓实绩效评价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紧扣全省财政绩效更加凸显目标，探索建立“全方位、全过程、全覆盖”预算绩效管理体系，将预算绩效作为财政管理的“底线”，不断优化工作机制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加大财政资金监管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对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2022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年会计质量监督检查6个单位开展整改回头看。完成《黑水县关于全面实施预算绩效管理的工作方案》等文件起草工作，进一步规范预算绩效管理，提高财政资金使用效益。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eastAsia="黑体"/>
          <w:color w:val="auto"/>
          <w:sz w:val="32"/>
          <w:szCs w:val="32"/>
        </w:rPr>
        <w:t>存在的困难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今年上半年财政收支运行总体平稳，有力支撑了县域经济高质量发展和重要政策、重大项目高效推动。但也面临着一些困难和问题：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2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方正楷体_GBK"/>
          <w:b/>
          <w:bCs/>
          <w:color w:val="000000"/>
          <w:kern w:val="0"/>
          <w:sz w:val="32"/>
          <w:szCs w:val="32"/>
          <w:lang w:eastAsia="zh-CN"/>
        </w:rPr>
        <w:t>（一）财政收入增长乏力。</w:t>
      </w:r>
      <w:r>
        <w:rPr>
          <w:rFonts w:hint="eastAsia" w:ascii="仿宋_GB2312" w:eastAsia="仿宋_GB2312" w:cs="仿宋_GB2312"/>
          <w:bCs/>
          <w:sz w:val="32"/>
          <w:szCs w:val="32"/>
        </w:rPr>
        <w:t>我县</w:t>
      </w:r>
      <w:r>
        <w:rPr>
          <w:rFonts w:hint="eastAsia" w:ascii="仿宋_GB2312" w:eastAsia="仿宋_GB2312" w:cs="仿宋_GB2312"/>
          <w:sz w:val="32"/>
          <w:szCs w:val="32"/>
        </w:rPr>
        <w:t>收入增长乏力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 w:cs="仿宋_GB2312"/>
          <w:bCs/>
          <w:sz w:val="32"/>
          <w:szCs w:val="32"/>
        </w:rPr>
        <w:t>财力薄弱，</w:t>
      </w:r>
      <w:r>
        <w:rPr>
          <w:rFonts w:hint="eastAsia" w:ascii="仿宋_GB2312" w:eastAsia="仿宋_GB2312" w:cs="仿宋_GB2312"/>
          <w:sz w:val="32"/>
          <w:szCs w:val="32"/>
        </w:rPr>
        <w:t>是典型上级补助收入占据优势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</w:rPr>
        <w:t>大县，95%以上靠上级补助收入，</w:t>
      </w:r>
      <w:r>
        <w:rPr>
          <w:rFonts w:hint="eastAsia" w:ascii="仿宋_GB2312" w:eastAsia="仿宋_GB2312" w:cs="仿宋_GB2312"/>
          <w:bCs/>
          <w:sz w:val="32"/>
          <w:szCs w:val="32"/>
        </w:rPr>
        <w:t>产业结构不合理，财源单一且匮乏，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财政增收税源主要以电力企业的税收为主。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2" w:firstLineChars="200"/>
        <w:textAlignment w:val="auto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楷体_GB2312" w:eastAsia="楷体_GB2312" w:cs="方正楷体_GBK"/>
          <w:b/>
          <w:bCs/>
          <w:color w:val="000000"/>
          <w:kern w:val="0"/>
          <w:sz w:val="32"/>
          <w:szCs w:val="32"/>
          <w:lang w:eastAsia="zh-CN"/>
        </w:rPr>
        <w:t>（二）收支矛盾更加突出。</w:t>
      </w:r>
      <w:r>
        <w:rPr>
          <w:rFonts w:hint="eastAsia" w:ascii="仿宋_GB2312" w:eastAsia="仿宋_GB2312" w:cs="仿宋_GB2312"/>
          <w:bCs/>
          <w:sz w:val="32"/>
          <w:szCs w:val="32"/>
        </w:rPr>
        <w:t>随着经济社会发展，县级政府从事社会管理的事务不断增多，提供公共服务的范围逐步扩大，各项刚性支出快速增加，可用财力严重不足，尽管当前保工资的压力基本消除，但保运转、保民生的压力仍然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巨大</w:t>
      </w:r>
      <w:r>
        <w:rPr>
          <w:rFonts w:hint="eastAsia" w:ascii="仿宋_GB2312" w:eastAsia="仿宋_GB2312" w:cs="仿宋_GB2312"/>
          <w:bCs/>
          <w:sz w:val="32"/>
          <w:szCs w:val="32"/>
        </w:rPr>
        <w:t>。而且很多由县级实施的公共服务及为民办实事项目、救灾、环保等应急事项，没有相应预算或预算不足，无法满足我县经济社会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高质量</w:t>
      </w:r>
      <w:r>
        <w:rPr>
          <w:rFonts w:hint="eastAsia" w:ascii="仿宋_GB2312" w:eastAsia="仿宋_GB2312" w:cs="仿宋_GB2312"/>
          <w:bCs/>
          <w:sz w:val="32"/>
          <w:szCs w:val="32"/>
        </w:rPr>
        <w:t>发展的现实需要。同时，我县在交通、市政、旅游、水利、生态环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保</w:t>
      </w:r>
      <w:r>
        <w:rPr>
          <w:rFonts w:hint="eastAsia" w:ascii="仿宋_GB2312" w:eastAsia="仿宋_GB2312" w:cs="仿宋_GB2312"/>
          <w:bCs/>
          <w:sz w:val="32"/>
          <w:szCs w:val="32"/>
        </w:rPr>
        <w:t>、乡村振兴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bCs/>
          <w:sz w:val="32"/>
          <w:szCs w:val="32"/>
        </w:rPr>
        <w:t>地质灾害防治等领域项目及专项业务所需资金持续增加，财政收支矛盾更加凸显。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2" w:firstLineChars="200"/>
        <w:textAlignment w:val="auto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楷体_GB2312" w:eastAsia="楷体_GB2312" w:cs="方正楷体_GBK"/>
          <w:b/>
          <w:bCs/>
          <w:color w:val="000000"/>
          <w:kern w:val="0"/>
          <w:sz w:val="32"/>
          <w:szCs w:val="32"/>
          <w:lang w:eastAsia="zh-CN"/>
        </w:rPr>
        <w:t>（三）资金使用效益不高。</w:t>
      </w:r>
      <w:r>
        <w:rPr>
          <w:rFonts w:hint="eastAsia" w:ascii="仿宋_GB2312" w:eastAsia="仿宋_GB2312" w:cs="仿宋_GB2312"/>
          <w:bCs/>
          <w:sz w:val="32"/>
          <w:szCs w:val="32"/>
        </w:rPr>
        <w:t>在目前经济新常态下，实现高质量发展对各部门提出了更高的要求，部分单位资金拨付滞缓，闲置资金清理退回成效不高，未充分发挥资金使用效益。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bCs/>
          <w:color w:val="000000"/>
          <w:sz w:val="32"/>
          <w:szCs w:val="32"/>
        </w:rPr>
        <w:t>五、2023年下半年</w:t>
      </w:r>
      <w:r>
        <w:rPr>
          <w:rFonts w:hint="eastAsia" w:ascii="黑体" w:eastAsia="黑体" w:cs="黑体"/>
          <w:color w:val="000000"/>
          <w:sz w:val="32"/>
          <w:szCs w:val="32"/>
        </w:rPr>
        <w:t>工作计划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下半年，我们将持续关注宏观经济变化趋势，积极发挥财政职能作用，持续深化财政管理改革，加强财政资源的统筹与调控，不断优化财政资源配置，提升财政资金使用效益，力争如期完成全年财政收支任务，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做</w:t>
      </w:r>
      <w:r>
        <w:rPr>
          <w:rFonts w:hint="eastAsia" w:ascii="仿宋_GB2312" w:eastAsia="仿宋_GB2312" w:cs="仿宋_GB2312"/>
          <w:bCs/>
          <w:sz w:val="32"/>
          <w:szCs w:val="32"/>
        </w:rPr>
        <w:t>好“收入、支出、监督、赋能”四篇文章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，为</w:t>
      </w:r>
      <w:r>
        <w:rPr>
          <w:rFonts w:hint="eastAsia" w:ascii="仿宋_GB2312" w:eastAsia="仿宋_GB2312" w:cs="仿宋_GB2312"/>
          <w:bCs/>
          <w:sz w:val="32"/>
          <w:szCs w:val="32"/>
        </w:rPr>
        <w:t>实现县域经济高质量发展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多担当、多贡献</w:t>
      </w:r>
      <w:r>
        <w:rPr>
          <w:rFonts w:hint="eastAsia" w:asci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2" w:firstLineChars="200"/>
        <w:textAlignment w:val="auto"/>
        <w:rPr>
          <w:rFonts w:hint="eastAsia" w:ascii="仿宋_GB2312" w:eastAsia="仿宋_GB2312" w:cs="宋体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做好收入文章，提高财政资金使用效益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宋体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eastAsia="仿宋_GB2312" w:cs="宋体"/>
          <w:color w:val="000000"/>
          <w:sz w:val="32"/>
          <w:szCs w:val="32"/>
        </w:rPr>
        <w:t>加大财税协调，进一步加强税源培植同时加强税源监管，防止“跑冒滴漏”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，确保全年县级财政收入目标任务圆满完成。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eastAsia="仿宋_GB2312" w:cs="宋体"/>
          <w:color w:val="000000"/>
          <w:sz w:val="32"/>
          <w:szCs w:val="32"/>
        </w:rPr>
        <w:t>协同各行业部门做深做细做实项目储备、项目前期、项目建管、资金使用各环节工作，形成联动合力，积极向省、州汇报，争取更多项目资金落地，推动县域经济高质量发展。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2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做好支出文章，确保财政资金安全高效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继续实行“有保有压”支出原则，控制和压缩一般性支出，降低行政运行成本，确保工资发放和机关运转，确保教育、文化、卫生、社会保障、三农等民生支出，确保重点工程和办实事项目顺利推进。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2" w:firstLineChars="200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做好监管文章，提升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财政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资金使用效益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发挥财政监督检查职能职责，加大对各单位的财会监督检查力度，提高单位负责人强化财务管理意识，规范财务人员管理，健全财务制度，提高财务管理水平。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加强绩效评价管理，以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-SA"/>
        </w:rPr>
        <w:t>财政预算绩效管理为切入点，切实将绩效管理贯穿于各单位预算编制、执行、监督全过程，</w:t>
      </w:r>
      <w:r>
        <w:rPr>
          <w:rFonts w:ascii="仿宋_GB2312" w:eastAsia="仿宋_GB2312"/>
          <w:color w:val="000000"/>
          <w:sz w:val="32"/>
          <w:szCs w:val="32"/>
        </w:rPr>
        <w:t>切实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-SA"/>
        </w:rPr>
        <w:t>提高财政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-SA"/>
        </w:rPr>
        <w:t>资金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-SA"/>
        </w:rPr>
        <w:t>使用效益，力求预算绩效管理更加规范化、科学化和精细化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-SA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2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做好赋能文章，增强财政队伍整体素质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-SA"/>
        </w:rPr>
        <w:t>完善教育培训和实践锻炼相结合的财政人才培养体系，</w:t>
      </w:r>
      <w:r>
        <w:rPr>
          <w:rFonts w:hint="eastAsia" w:ascii="仿宋_GB2312" w:eastAsia="仿宋_GB2312"/>
          <w:color w:val="000000"/>
          <w:sz w:val="32"/>
          <w:szCs w:val="32"/>
        </w:rPr>
        <w:t>聚焦人才培育需求，整合培训资源，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采取“走出去”和“请进来”相结合方式，综合运用沟通交流、跟岗锻炼、专业培训、理论补缺等措施，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-SA"/>
        </w:rPr>
        <w:t>让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-SA"/>
        </w:rPr>
        <w:t>全县财务人员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-SA"/>
        </w:rPr>
        <w:t>在实践锻炼中经风雨、见世面、壮筋骨、长才干，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不断提升全县财政系统人员综合素质和业务能力，坚定信仰、对党忠诚，全力打造一支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“讲政治、敢担当、善作为、保本色”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的财政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系统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队伍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pBdr>
          <w:bottom w:val="single" w:color="FFFFFF" w:sz="4" w:space="13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县人大常委会：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实现今年各项财政工作目标，任务艰巨、责任重大，我们将在县委的坚强领导下，在县人大及其常委会的监督支持下，全力以赴攻坚克难，锐意进取开拓创新，以“拼”的精神状态，履好职、尽好责，为县域经济高质量发展提供坚实的财力保障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jFhZjhlMjBjZGY1N2IzY2I2NzkyMmQ3NDc1MjkifQ=="/>
  </w:docVars>
  <w:rsids>
    <w:rsidRoot w:val="23CA2AB7"/>
    <w:rsid w:val="23CA2AB7"/>
    <w:rsid w:val="FFDFC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3">
    <w:name w:val="Body Text Indent"/>
    <w:basedOn w:val="1"/>
    <w:next w:val="4"/>
    <w:qFormat/>
    <w:uiPriority w:val="0"/>
    <w:pPr>
      <w:spacing w:line="540" w:lineRule="exact"/>
      <w:ind w:firstLine="200" w:firstLineChars="200"/>
    </w:pPr>
    <w:rPr>
      <w:rFonts w:ascii="Times New Roman" w:hAnsi="Times New Roman" w:eastAsia="仿宋_GB2312" w:cs="Times New Roman"/>
      <w:sz w:val="30"/>
      <w:szCs w:val="30"/>
    </w:rPr>
  </w:style>
  <w:style w:type="paragraph" w:styleId="4">
    <w:name w:val="Body Text First Indent 2"/>
    <w:basedOn w:val="3"/>
    <w:next w:val="1"/>
    <w:qFormat/>
    <w:uiPriority w:val="0"/>
    <w:pPr>
      <w:spacing w:after="120" w:line="240" w:lineRule="auto"/>
      <w:ind w:left="200" w:leftChars="200"/>
    </w:pPr>
    <w:rPr>
      <w:rFonts w:ascii="Calibri" w:hAnsi="Calibri" w:eastAsia="宋体" w:cs="Calibri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2023-07-26T08:55:00Z</dcterms:created>
  <dc:creator>毒药</dc:creator>
  <cp:lastModifiedBy>user</cp:lastModifiedBy>
  <cp:lastPrinted>2023-07-26T09:02:00Z</cp:lastPrinted>
  <dcterms:modified xsi:type="dcterms:W3CDTF">2023-09-10T17:35:19Z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CE4501AA167346A78ECA582190982476_11</vt:lpwstr>
  </property>
</Properties>
</file>