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8BE9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left="0" w:leftChars="0" w:right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sz w:val="44"/>
          <w:szCs w:val="44"/>
          <w:lang w:val="en-US" w:eastAsia="zh-CN"/>
        </w:rPr>
        <w:t>黑水县人民政府</w:t>
      </w:r>
    </w:p>
    <w:p w14:paraId="0C94549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left="0" w:leftChars="0" w:right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sz w:val="44"/>
          <w:szCs w:val="44"/>
          <w:lang w:val="en-US" w:eastAsia="zh-CN"/>
        </w:rPr>
        <w:t>关于黑水县2025年财政决算和2026年</w:t>
      </w:r>
      <w:r>
        <w:rPr>
          <w:rFonts w:hint="eastAsia" w:eastAsia="方正小标宋_GBK" w:cs="Times New Roman"/>
          <w:b w:val="0"/>
          <w:bCs w:val="0"/>
          <w:color w:val="auto"/>
          <w:spacing w:val="0"/>
          <w:w w:val="100"/>
          <w:sz w:val="44"/>
          <w:szCs w:val="44"/>
          <w:lang w:val="en-US" w:eastAsia="zh-CN"/>
        </w:rPr>
        <w:t>上半年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sz w:val="44"/>
          <w:szCs w:val="44"/>
          <w:lang w:val="en-US" w:eastAsia="zh-CN"/>
        </w:rPr>
        <w:t>财政预算执行情况的报告</w:t>
      </w:r>
    </w:p>
    <w:p w14:paraId="217FD3D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lang w:val="en-US" w:eastAsia="zh-CN"/>
        </w:rPr>
        <w:t>2026年7月29日在县第</w:t>
      </w:r>
      <w:r>
        <w:rPr>
          <w:rFonts w:hint="eastAsia" w:eastAsia="楷体_GB2312" w:cs="Times New Roman"/>
          <w:b/>
          <w:color w:val="auto"/>
          <w:sz w:val="32"/>
          <w:szCs w:val="32"/>
          <w:highlight w:val="none"/>
          <w:lang w:val="en-US" w:eastAsia="zh-CN"/>
        </w:rPr>
        <w:t>十四届黑水县人大常委会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lang w:val="en-US" w:eastAsia="zh-CN"/>
        </w:rPr>
        <w:t>第35次会议上</w:t>
      </w:r>
    </w:p>
    <w:p w14:paraId="23FAEF3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lang w:val="en-US" w:eastAsia="zh-CN"/>
        </w:rPr>
        <w:t>黑水县人民政府</w:t>
      </w:r>
    </w:p>
    <w:p w14:paraId="53675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183A2D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黑体" w:cs="Times New Roman"/>
          <w:color w:val="auto"/>
          <w:sz w:val="32"/>
          <w:szCs w:val="32"/>
          <w:highlight w:val="none"/>
          <w:lang w:val="en-US" w:eastAsia="zh-CN"/>
        </w:rPr>
        <w:t>主任、各位副主任、各位委员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：</w:t>
      </w:r>
    </w:p>
    <w:p w14:paraId="3DB68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受刘俊县长委托，我代表县人民政府，向县第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十四届黑水县人大常委会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第35次会议报告关于黑水县2025年财政决算和2026年</w:t>
      </w:r>
      <w:r>
        <w:rPr>
          <w:rFonts w:hint="eastAsia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上半年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财政预算执行情况，请予审议。</w:t>
      </w:r>
    </w:p>
    <w:p w14:paraId="376EBE0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一、202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年度财政决算情况</w:t>
      </w:r>
    </w:p>
    <w:p w14:paraId="45A6292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</w:rPr>
        <w:t>（一）一般公共预算收支决算情况</w:t>
      </w:r>
    </w:p>
    <w:p w14:paraId="548F92D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1.一般公共预算收入决算情况。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年度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一般公共预算收入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218467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万元。与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2025年9月16日在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十四届黑水县人大常委会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通过的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预算调整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一般公共预算收入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184764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万元相比，增加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33703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万元，增长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18.24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。州财政结算批复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一般公共预算收入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具体构成为：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一是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地方一般公共预算收入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12243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与年初预算数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和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十四届黑水县人大常委会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通过的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地方一般公共预算收入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11735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万元相比，增加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508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增长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4.33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，与上年决算数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11105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，增加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1138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增长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10.25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。其中：税收收入实际完成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9148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万元，与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十四届黑水县人大常委会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通过的税收收入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val="en-US" w:eastAsia="zh-CN"/>
        </w:rPr>
        <w:t>9135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万元相比，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增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加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eastAsia="zh-CN"/>
        </w:rPr>
        <w:t>，增长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val="en-US" w:eastAsia="zh-CN"/>
        </w:rPr>
        <w:t>0.14%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；非税收入实际完成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val="en-US" w:eastAsia="zh-CN"/>
        </w:rPr>
        <w:t>3095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万元，与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十四届黑水县人大常委会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通过的非税收入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val="en-US" w:eastAsia="zh-CN"/>
        </w:rPr>
        <w:t>2600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万元相比，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val="en-US" w:eastAsia="zh-CN"/>
        </w:rPr>
        <w:t>495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eastAsia="zh-CN"/>
        </w:rPr>
        <w:t>，增长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val="en-US" w:eastAsia="zh-CN"/>
        </w:rPr>
        <w:t>19.04%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</w:rPr>
        <w:t>二是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上级财政补助收入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159213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三是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上年结转结余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20721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万元，为上年一般公共预算结余。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四是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债券转贷收入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20647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其中：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5647万元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为202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年再融资债券资金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15000万元为2025年发行一般债券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五是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上年超收收入的预算稳定调节基金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809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万元安排在当年使用。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六是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接受其他地区援助收入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4815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万元（均为浙江援建项目资金）。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七是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政府性基金预算调入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19万元。</w:t>
      </w:r>
    </w:p>
    <w:p w14:paraId="048B236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2.一般公共预算支出决算情况。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年度一般公共预算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总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218467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与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十四届黑水县人大常委会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通过的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  <w:lang w:eastAsia="zh-CN"/>
        </w:rPr>
        <w:t>调整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一般公共预算支出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184764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万元相比，增加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33703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万元，增长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18.24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。具体构成为：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一般公共预算支出为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170342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</w:rPr>
        <w:t>二是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上解支出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4086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</w:rPr>
        <w:t>三是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地方政府性债务还本支出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6274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</w:rPr>
        <w:t>四是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</w:rPr>
        <w:t>安排预算稳定调节基金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508万元。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eastAsia="zh-CN"/>
        </w:rPr>
        <w:t>五是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结转下年资金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37257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万元。</w:t>
      </w:r>
    </w:p>
    <w:p w14:paraId="7182E49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3.一般公共预算总收支平衡情况。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年度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安排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预算稳定调节基金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508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，结转下年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37257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mallCaps w:val="0"/>
          <w:color w:val="auto"/>
          <w:spacing w:val="0"/>
          <w:sz w:val="32"/>
          <w:szCs w:val="32"/>
          <w:shd w:val="clear" w:color="auto" w:fill="FFFFFF"/>
        </w:rPr>
        <w:t>按规定应结转下年继续安排使用的资金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2025年实现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一般公共预算收支平衡。</w:t>
      </w:r>
    </w:p>
    <w:p w14:paraId="632FD89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</w:rPr>
        <w:t>（二）政府性基金预算收支决算情况</w:t>
      </w:r>
    </w:p>
    <w:p w14:paraId="2B6F2B8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1.政府性基金预算收入决算情况。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年度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/>
        </w:rPr>
        <w:t>政府性基金预算总收入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6933万元，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2025年9月16日在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十四届黑水县人大常委会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通过的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预算调整政府性基金预算收入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5940万元相比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993万元，增长16.72%。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州财政结算批复政府性基金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/>
        </w:rPr>
        <w:t>预算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总收入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具体构成为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本级收入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159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万元、地方政府专项债务转贷收入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3700万元、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上级补助收入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2198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上年结转结余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184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、调入资金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692万元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，与上年决算数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1881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5052万元，增长268.58%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color w:val="auto"/>
          <w:kern w:val="0"/>
          <w:sz w:val="32"/>
          <w:szCs w:val="32"/>
          <w:highlight w:val="none"/>
        </w:rPr>
        <w:t>其中：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县本级收入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159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与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年初预算数和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十四届黑水县人大常委会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通过的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预算调整政府性基金预算收入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200万元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，减少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41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20.5%，与上年决算数372万元相比，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213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57.26%；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上级补助收入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2198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与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十四届黑水县人大常委会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通过的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预算调整政府性基金预算收入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1856万元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342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18.43%，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与上年决算数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803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1395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173.72%；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地方政府专项债务转贷收入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3700万元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与上年决算数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3700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100%；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上年结转结余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184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与上年决算数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173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1572.73%；调入资金692万元，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与上年决算数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695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，减少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0.43%。</w:t>
      </w:r>
    </w:p>
    <w:p w14:paraId="6192E74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2.政府性基金预算支出决算情况。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年度政府性基金总支出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6933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万元。与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十四届黑水县人大常委会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通过的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预算调整政府性基金预算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支出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5940万元相比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993万元，增长16.72%；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与上年决算数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1881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5052万元，增长268.58%，</w:t>
      </w:r>
      <w:r>
        <w:rPr>
          <w:rFonts w:hint="default" w:ascii="Times New Roman" w:hAnsi="Times New Roman" w:eastAsia="仿宋_GB2312" w:cs="Times New Roman"/>
          <w:b/>
          <w:color w:val="auto"/>
          <w:kern w:val="0"/>
          <w:sz w:val="32"/>
          <w:szCs w:val="32"/>
          <w:highlight w:val="none"/>
        </w:rPr>
        <w:t>其中：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县本级支出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866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万元，与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年初预算数和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十四届黑水县人大常委会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通过的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预算调整政府性基金预算安排支出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200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666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，增长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333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%，与上年决算支出数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1042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减少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176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，下降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16.89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上级补助支出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6067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万元，与上年决算数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839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，增加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5228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，增长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623.12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2434EEF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3.政府性基金预算收支平衡情况。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年度政府性基金预算总收入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69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万元，支出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3999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，年终结余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2915万元、调出资金19万元，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2025年实现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政府性基金预算收支平衡。</w:t>
      </w:r>
    </w:p>
    <w:p w14:paraId="7FE9D17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</w:rPr>
        <w:t>（三）国有资本经营预算收支决算情况</w:t>
      </w:r>
    </w:p>
    <w:p w14:paraId="0DF6577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年，全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国有资本经营预算收入完成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因我县3家县属国有企业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（县粮食储备库、三奥自来水有限责任公司、县国有资产投资经营管理有限公司），2家长期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处于亏损状态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1家经营收支持平，无经营利润，县属国有企业无利润上缴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县本级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国有资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经营预算收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支为零，1万元均为上级补助收入。收入总量为1万元，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届人大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</w:t>
      </w:r>
      <w:r>
        <w:rPr>
          <w:rFonts w:hint="default" w:ascii="Times New Roman" w:hAnsi="Times New Roman" w:eastAsia="仿宋_GB2312" w:cs="Times New Roman"/>
          <w:color w:val="auto"/>
          <w:w w:val="99"/>
          <w:kern w:val="0"/>
          <w:sz w:val="32"/>
          <w:szCs w:val="32"/>
          <w:highlight w:val="none"/>
        </w:rPr>
        <w:t>通过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国有资本经营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年初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预算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收入数1万元持平。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全县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国有资本经营预算支出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无结余资金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2025年实现收支平衡。</w:t>
      </w:r>
    </w:p>
    <w:p w14:paraId="1EF4373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</w:rPr>
        <w:t>（四）政府债务情况说明</w:t>
      </w:r>
    </w:p>
    <w:p w14:paraId="4CCFBA5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2025年年末政府性债务余额58042.4万元。其中：一般债券32297万元，专项债券25745.4万元。负债未突破省下达我县2025年债务限额59654.9万元，政府负债在合理可控范围。  </w:t>
      </w:r>
    </w:p>
    <w:p w14:paraId="58EC874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  <w:t>二、202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  <w:t>年1-6月预算执行情况</w:t>
      </w:r>
    </w:p>
    <w:p w14:paraId="55B49FD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上半年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财政工作坚持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以习近平新时代中国特色社会主义思想为指引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，将财政部“继续实施更加积极的财政政策”及坚持“稳增长、调结构、防风险、惠民生”一体推进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作为财政工作的行动指南，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坚决贯彻落实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中央、省委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州县各项决策部署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，聚焦州委“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1610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”系列部署，锚定民族地区高质量发展阿坝典范总目标，用心用情用力做好“生财、聚财、理财、用财”四篇文章，奋力推进“三县三地六区”战略目标落地落实，为“十五五”良好开局提供坚实财政力量。上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半年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完成一般公共预算收入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174239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万元</w:t>
      </w:r>
      <w:r>
        <w:rPr>
          <w:rFonts w:hint="eastAsia" w:eastAsia="仿宋_GB2312" w:cs="Times New Roman"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其中：地方一般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公共预算收入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6828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万元，上级财政补助收入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127698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，地方政府债券收入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1948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万元，上年结余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37257万元,预算稳定调节基金508万元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，完成一般公共财政预算支出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73628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万元。</w:t>
      </w:r>
    </w:p>
    <w:p w14:paraId="64F1FA4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</w:rPr>
        <w:t>（一）一般公共预算收支执行情况</w:t>
      </w:r>
    </w:p>
    <w:p w14:paraId="6CBF7FE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</w:rPr>
        <w:t>1.一般公共预算收入执行情况。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完成一般公共预算收入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174239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县十四届人大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次会议通过的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年初预算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137977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万元相比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增加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36262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万元，增长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26.28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%。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具体构成为：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一是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完成地方一般公共预算收入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6828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同比增长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16.16%，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其中：税收收入完成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6608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万元，完成年初预算的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66.88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%；非税收入完成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220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万元，完成年初预算的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7.53%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</w:rPr>
        <w:t>二是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上级财政补助收入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127698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eastAsia="zh-CN"/>
        </w:rPr>
        <w:t>三是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地方政府债券收入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1948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eastAsia="zh-CN"/>
        </w:rPr>
        <w:t>四是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上年结余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37257万元。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五是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预算稳定调节基金508万元。</w:t>
      </w:r>
    </w:p>
    <w:p w14:paraId="196C69A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</w:rPr>
        <w:t>2.一般公共预算支出执行情况。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完成一般公共预算支出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73628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县十四届人大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次会议通过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年初预算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137977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53.36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%。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重点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保障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教育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文化、社保、公共卫生、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灾害防治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等民生公共服务及基础设施。具体构成为：一般公共服务支出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10717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万元、国防支出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45万元、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公共安全支出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3624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万元、教育支出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7851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万元、科学技术支出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219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万元、文化体育与传媒支出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1309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万元、社会保障和就业支出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8455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万元、卫生健康支出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6632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万元、节能环保支出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万元、城乡社区支出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4884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万元、农林水支出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15553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万元、交通运输支出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1337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万元、资源勘探工业信息等支出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461万元、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商业服务业等支出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692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万元、金融支出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1万元、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自然资源海洋气象等支出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378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万元、住房保障支出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3019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万元、粮油物资储备支出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万元、灾害防治及应急管理支出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5161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万元、债务付息支出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万元。</w:t>
      </w:r>
    </w:p>
    <w:p w14:paraId="5C28141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</w:rPr>
        <w:t>（二）政府性基金预算收支变动及执行情况</w:t>
      </w:r>
    </w:p>
    <w:p w14:paraId="47811F3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1.202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上半年，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政府性基金收入完成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3639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县十四届人大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次会议通过的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年初预算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3114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万元的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116.86%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。其中：县本级收入完成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338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万元，上级财政补助收入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386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万元，上年结余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2915万元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。</w:t>
      </w:r>
    </w:p>
    <w:p w14:paraId="70DD265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2.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202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上半年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，政府性基金支出完成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2597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县十四届人大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次会议通过的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年初预算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3114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万元的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83.40%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。</w:t>
      </w:r>
    </w:p>
    <w:p w14:paraId="69DB29A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</w:rPr>
        <w:t>（三）</w:t>
      </w:r>
      <w:r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</w:rPr>
        <w:t>国有资本经营预</w:t>
      </w:r>
      <w:r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lang w:eastAsia="zh-CN"/>
        </w:rPr>
        <w:t>算</w:t>
      </w:r>
    </w:p>
    <w:p w14:paraId="562E732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上半年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国有资本经营预算收入完成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元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  <w:t>均为上级补助收入。</w:t>
      </w:r>
    </w:p>
    <w:p w14:paraId="1D07824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上半年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国有资本经营预算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48B8C63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  <w:lang w:eastAsia="zh-CN"/>
        </w:rPr>
        <w:t>四</w:t>
      </w:r>
      <w:r>
        <w:rPr>
          <w:rFonts w:hint="default" w:ascii="Times New Roman" w:hAnsi="Times New Roman" w:eastAsia="楷体_GB2312" w:cs="Times New Roman"/>
          <w:b/>
          <w:color w:val="auto"/>
          <w:kern w:val="0"/>
          <w:sz w:val="32"/>
          <w:szCs w:val="32"/>
          <w:highlight w:val="none"/>
        </w:rPr>
        <w:t>）政府债务情况</w:t>
      </w:r>
    </w:p>
    <w:p w14:paraId="7349A02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2026年初政府性债务余额58042.4万元，其中：一般债券32297万元，专项债券25745.4万元。截至6月30日，我县政府债务余额59714.4万元，其中：一般债券33969万元，专项债券25745.4万元。负债未突破省下达我县债务限额，政府负债在合理可控范围。</w:t>
      </w:r>
    </w:p>
    <w:p w14:paraId="77C1D1B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三、主要工作措施</w:t>
      </w:r>
    </w:p>
    <w:p w14:paraId="3D13249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（一）强化资金保障，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优化支出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结构</w:t>
      </w:r>
    </w:p>
    <w:p w14:paraId="6BC8EB8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持续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实施“有保有压”的财政措施，按照“保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基本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民生、保工资、保运转、优结构、防风险”序列严格控制一般性支出，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牢固树立党政机关习惯过“紧日子”思想，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进一步压缩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三公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经费等支出，依托预算管理一体化系统，科学化、精细化、制度化加强各项预算指标执行管理。</w:t>
      </w:r>
    </w:p>
    <w:p w14:paraId="298AB7C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抓好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国库管理，规范支付行为。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准确研判预算执行动态监控系统预警信息，增强动态监控结果应用效果。上半年，通过监控国库集中支付资金，及时发现并处理预警信息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条，有效保障财政数据安全，维护财政资金正常运行秩序。</w:t>
      </w:r>
    </w:p>
    <w:p w14:paraId="736DB6B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2.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抓好财政评审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，提升资金效益。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全面推进财政评审数字化转型，推广应用财政投资评审综合业务系统。上半年累计完成各类评审项目140个，送审总金额594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28.68万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元，审定总金额54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163.36万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元，累计审减5265.32万元，综合审减率8.86%。其中：招标控制价评审52个，审减3443.84万元、审减率7.43%；预算评审85个，审减1768.71万元、审减率14.3%；结算评审3个，审减52.76万元、审减率7.53%。上半年累计完成项目财务决算审核13个。通过精准造价管控、全程合规审核，从源头严控项目投资、杜绝资金浪费，切实把财政资金用出实效。</w:t>
      </w:r>
    </w:p>
    <w:p w14:paraId="2168CDA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3.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抓好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采购监管，规范采购流程。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强化政府采购监管，科学编制采购预算、规范采购流程，完成采购项目44个，预算金额11503.86万元，中标金额10788.98万元，节约资金714.88万元，审减率为6.2%。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健全投诉处置机制，依法依规办结投诉18件，开展2012年以来历史招标项目全域清查，建立224个项目管理底册，抽查15个重点项目、排查整改各类问题39个，实现历史遗留问题清零、采购管理全面规范。</w:t>
      </w:r>
    </w:p>
    <w:p w14:paraId="6F04081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4.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抓好资金统筹，优先保障民生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加强对“三保”执行情况研判分析，防范支付风险。上半年，投入教育、社会保障和就业等民生领域支出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55719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万元，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占总支出的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72%。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其中，教育支出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7851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万元、社会保障和就业支出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8455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万元、卫生健康支出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6632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万元、农林水支出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15553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万元，交通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运输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支出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1337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，节能环保支出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2599万元，城乡社区支出4884万元，灾害防治及应急管理支出378万元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。</w:t>
      </w:r>
    </w:p>
    <w:p w14:paraId="76630C9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）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强化财会监督，严肃财经纪律</w:t>
      </w:r>
    </w:p>
    <w:p w14:paraId="3990CED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C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以“监督保障执行、促进规范管理”为导向，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加强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预算执行全过程监管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一是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做好线上监管盘活存量资金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依托预算一体化系统开展常态化线上监管，1-6月推送预警553条，建立刚性管控机制，上半年冻结执行滞后项目7个，清理盘活沉淀项目6个、资金4261.93万元。同步开展绩效运行监控，紧盯资金风险，严防资金低效闲置，保障财政资金规范高效运转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做好监督检查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后续整改。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开展会计监督整改“回头看”，抽查4家单位，排查财经问题49项，实行台账销号，已完成整改34项，补齐基层财务管理短板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通过跟踪督促的方式，推动被检查单位完成整改，纠正会计核算不规范、财务管理制度不健全等问题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做好结果应用约束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坚持以预算刚性约束压实整改主体责任，将财会监督发现问题与部门预算编制、资金拨付、项目入库直接挂钩，对整改不到位、屡审屡犯的单位从严核减年度预算额度。同步健全问题台账闭环管理机制，逐项明确整改时限、整改标准与责任人员，常态化跟踪督办整改成效，推动举一反三健全内控制度，全面堵塞财务管控漏洞，持续规范基层财务管理，切实把监督成效转化为财政治理效能。</w:t>
      </w:r>
    </w:p>
    <w:p w14:paraId="68A77FC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强化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绩效管理，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深耕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绩效评价</w:t>
      </w:r>
    </w:p>
    <w:p w14:paraId="6D4B6E0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紧扣全省财政绩效更加凸显目标，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对标优化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“全方位、全过程、全覆盖”预算绩效管理体系。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  <w:t>一是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eastAsia="zh-CN"/>
        </w:rPr>
        <w:t>绩效管理全域覆盖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完成全县65家预算单位2025年度预算绩效全覆盖自评，实现项目与资金绩效全复盘。高质量配合省级民族地区发展专项资金重点绩效评价，涉及18个项目、2229万元，规范流程、严把资料与数据关口，稳步筑牢全过程预算绩效管理基础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  <w:t>是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eastAsia="zh-CN"/>
        </w:rPr>
        <w:t>逗硬绩效结果应用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严格落实“花钱必问效、无效必问责”，构建评价、反馈、整改、提升全闭环管理体系。将绩效结果与预算安排硬性挂钩，对绩效较差单位累计扣减2026年公用经费18.36万元；实行问题台账销号管理，做到以评促改；同步公开绩效评价信息，主动接受社会监督，持续提升财政资金配置效益。</w:t>
      </w:r>
    </w:p>
    <w:p w14:paraId="2ED0552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四、存在问题与不足</w:t>
      </w:r>
    </w:p>
    <w:p w14:paraId="6569B04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（一）财税增收乏力。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一是收入增长速度缓慢。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上半年我县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地方一般公共预算收入较上年同期虽然实现了16.16%的增长，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但仍低于全州平均水平，财税增收动力不足。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二是项目争取谋划薄弱。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财政牵头撬动作用不明显，协同各行业主管部门对上争取和项目谋划包装“统”得不够、“引”得不强，缺少高质量储备，缺乏精准对接，拓宽财源增量小。</w:t>
      </w:r>
    </w:p>
    <w:p w14:paraId="607FA55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（二）支出强度不够。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受项目建设推进不及预期等因素制约，截至6月30日,常态化资金支出1072.85万元、支出进度为5.74%，一般债券项目资金支出1753万元、支出进度为16.45%。  </w:t>
      </w:r>
    </w:p>
    <w:p w14:paraId="1587201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（三）资金管理有待加强。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一是财政评审方面。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受业主单位专业力量薄弱等因素制约，一个项目财政评审往往需经多次反复修改才能完成，导致项目评审效率不高、效果欠佳。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二是政府采购方面。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业主单位对采购需求的合理性、合规性审核不够严格，部分项目存在需求模糊、参数设置不合理等问题，可能为“倾向性采购”留下空间；评标过程的规范性有待提升，个别项目存在评标专家自由裁量权过大、评分细则不规范等现象，影响采购公平性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三是绩效管理方面。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部分单位仍存在“重资金投入、轻实际成效”的倾向，对绩效管理的主体责任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意识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不到位。同时，专业人才短缺、数据共享不畅及信息化水平偏低等问题交织，进一步限制了管理效能的提升。</w:t>
      </w:r>
    </w:p>
    <w:p w14:paraId="7BB3480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五、下步工作计划</w:t>
      </w:r>
    </w:p>
    <w:p w14:paraId="001434FD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下半年，县财政局将以冲刺决胜姿态抓实全年目标任务，持续做强财政保障、做优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纳税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服务、做实改革创新、做严风险防控，全力服务全县“三县三地六区”发展战略，为黑水经济高质量发展贡献坚实财政力量。</w:t>
      </w:r>
    </w:p>
    <w:p w14:paraId="5BBF8967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（一）聚焦开源增收，夯实稳健运行财力支撑。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持续深化财税协同征管机制，常态化开展税源摸排、行业分析、企业走访，稳住存量税源、培育增量税源、挖掘潜在税源，规范非税收入征管秩序，拓宽收入渠道、夯实收入底盘，全力稳住财政增收基本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盘，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确保圆满完成12800万元年度收入目标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抢抓中央预算内投资、地方政府专项债券等政策窗口期，加大向上对接汇报力度，精准把握政策导向、资金投向，全力争取更多上级资金、优质项目落地黑水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15ACF702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（二）聚焦民生优先，织密全域共享保障网络。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持续优化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财政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支出结构，优先保障民生领域财力需求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聚焦就业增收、一老一小、教育医疗等群众急难愁盼，足额保障教育、医疗、养老、就业等基本公共服务供给，扎实做好困难群众救助帮扶，织密扎牢社会保障网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坚持“三保”支出优先顺序，尽力而为、量力而行，足额保障工资发放、机构运转、基本民生，切实兜牢兜实“三保”底线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多渠道筹措整合涉农资金，支持乡村特色产业壮大、基础设施改善、人居环境提升，全面推进乡村振兴落地见效。</w:t>
      </w:r>
    </w:p>
    <w:p w14:paraId="5288DC3C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（三）聚焦项目攻坚，激活有效投资增长动能。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紧扣交通基础设施、清洁能源、农林水利、生态环保等重点领域，坚持超前谋划、精准储备、滚动推进，把向上争取政策资金作为增强财力、破解瓶颈的关键抓手。压实行业部门主体责任，破除“等靠要”思想，健全“谋划一批、储备一批、申报一批、实施一批”常态化滚动储备机制，全力争取上级重大项目布局与财政资金支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深入研究上级资金支持重点，确保项目规划与上级政策导向精准衔接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从严做实项目可研、收益测算、合规论证，从源头提升项目质量与申报通过率。</w:t>
      </w:r>
    </w:p>
    <w:p w14:paraId="359D95AD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C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（四）聚焦精细管控，提升财政综合治理效能。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坚持严监管、提质效并重，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健全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全过程、全链条财政监管体系，持续提升财政资金规范化、精细化管理水平。强化政府投资项目全生命周期管控，严把事前、事中、事后关口，从严开展财政投资评审，加大审减力度，从源头节约财政资金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严格规范政府采购全流程管理，完善监管体系、健全制度规范、优化采购程序，推动采购管理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进一步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精细化、规范化、科学化，持续提升政府采购质效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做实做深预算绩效管理，强化绩效结果刚性运用，严格将绩效评价结果与年度预算安排、资金调整直接挂钩，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加大惩治力度，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真正把“花钱必问效、无效必问责”的约束贯穿资金管理全过程。</w:t>
      </w:r>
    </w:p>
    <w:p w14:paraId="2C1B981A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（五）聚焦改革破局，激发财政国资内生动力。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纵深推进财税体制与国资国企改革，以改革破难题、激活力、提效能。深化零基预算改革，牢固树立过“紧日子”思想，持续压减非刚性、非重点支出和低效无效支出，集中财力保障重点领域、关键环节；严控预算追加、硬化预算约束，规范预算执行管理，提升预算编制科学性与执行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持续深化国资国企改革，推动国有资本向重点行业、关键领域和优势产业集中，指导县属国企聚焦主责主业、深化改革创新，加快市场化转型步伐，有效激活发展新动能、释放经营新活力，不断增强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国有企业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核心功能、提升核心竞争力，全面提高国有资本配置效率和运营效益。</w:t>
      </w:r>
    </w:p>
    <w:p w14:paraId="733F65DB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EEAA58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附件：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黑水县2025年度一般公共预算收入决算情况表</w:t>
      </w:r>
    </w:p>
    <w:p w14:paraId="6C1924CA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黑水县2025年度一般公共预算支出决算情况表</w:t>
      </w:r>
    </w:p>
    <w:p w14:paraId="688FC101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黑水</w:t>
      </w:r>
      <w:r>
        <w:rPr>
          <w:rFonts w:hint="default" w:ascii="Times New Roman" w:hAnsi="Times New Roman" w:eastAsia="仿宋_GB2312" w:cs="Times New Roman"/>
          <w:color w:val="auto"/>
          <w:spacing w:val="-17"/>
          <w:sz w:val="32"/>
          <w:szCs w:val="32"/>
        </w:rPr>
        <w:t>县2025年度一般公共预算支出功能决算情况表</w:t>
      </w:r>
    </w:p>
    <w:p w14:paraId="3E8FB489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黑水县2025年度一般公共预算(基本)支出决算</w:t>
      </w:r>
    </w:p>
    <w:p w14:paraId="4BB46446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2128" w:firstLineChars="665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政府经济分类情况表</w:t>
      </w:r>
    </w:p>
    <w:p w14:paraId="2A029CC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1-5-1.黑水县2025年度政府性基金预算收入决算表</w:t>
      </w:r>
    </w:p>
    <w:p w14:paraId="2C3C735E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1600" w:firstLineChars="5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1-5-2.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黑水县2025年度政府性基金预算支出决算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表</w:t>
      </w:r>
    </w:p>
    <w:p w14:paraId="51BBE3E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1-6.黑水县2025年度国有资本经营预算收支决算表</w:t>
      </w:r>
    </w:p>
    <w:p w14:paraId="5F69532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1-7.黑水县2025年末地方性政府债务明细表</w:t>
      </w:r>
    </w:p>
    <w:p w14:paraId="317B762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1-8.黑水县2026年上半年一般公共预算收入情况表</w:t>
      </w:r>
    </w:p>
    <w:p w14:paraId="0DD33A2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1-9.黑水县2026年上半年一般公共预算支出情况表</w:t>
      </w:r>
    </w:p>
    <w:p w14:paraId="54448FD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1-10.黑水县2026年上半年一般公共预算支出功能情况表</w:t>
      </w:r>
    </w:p>
    <w:p w14:paraId="605720F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1-11.黑水县2026年上半年一般公共预算经济分类情况表</w:t>
      </w:r>
    </w:p>
    <w:p w14:paraId="373E737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1-12-1.黑水县2026年上半年政府性基金预算收入情况表</w:t>
      </w:r>
    </w:p>
    <w:p w14:paraId="14F614D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1-12-2.黑水县202</w:t>
      </w:r>
      <w:r>
        <w:rPr>
          <w:rFonts w:hint="eastAsia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年上半年政府性基金预算支出情况表</w:t>
      </w:r>
    </w:p>
    <w:p w14:paraId="33A5DB5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1-13.黑水县2026年上半年国有资本经营预算收支情况表</w:t>
      </w:r>
    </w:p>
    <w:p w14:paraId="74B22A8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0" w:lineRule="exact"/>
        <w:ind w:left="1058" w:leftChars="504" w:firstLine="572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17"/>
          <w:kern w:val="2"/>
          <w:sz w:val="32"/>
          <w:szCs w:val="32"/>
          <w:lang w:val="en-US" w:eastAsia="zh-CN" w:bidi="ar-SA"/>
        </w:rPr>
        <w:t>1-14.黑水县2026年6月30日地方性政府债务明细表</w:t>
      </w:r>
    </w:p>
    <w:p w14:paraId="08D17C4D">
      <w:pPr>
        <w:rPr>
          <w:rFonts w:hint="default" w:ascii="Times New Roman" w:hAnsi="Times New Roman" w:cs="Times New Roman"/>
          <w:lang w:val="en-US" w:eastAsia="zh-CN"/>
        </w:rPr>
      </w:pPr>
    </w:p>
    <w:p w14:paraId="6EFE66CB">
      <w:pPr>
        <w:rPr>
          <w:rFonts w:hint="default" w:ascii="Times New Roman" w:hAnsi="Times New Roman" w:cs="Times New Roman"/>
          <w:lang w:val="en-US" w:eastAsia="zh-CN"/>
        </w:rPr>
      </w:pPr>
    </w:p>
    <w:p w14:paraId="77ED2283">
      <w:pPr>
        <w:rPr>
          <w:rFonts w:hint="default" w:ascii="Times New Roman" w:hAnsi="Times New Roman" w:cs="Times New Roman"/>
          <w:lang w:val="en-US" w:eastAsia="zh-CN"/>
        </w:rPr>
      </w:pPr>
    </w:p>
    <w:p w14:paraId="018454CD">
      <w:pPr>
        <w:rPr>
          <w:rFonts w:hint="default" w:ascii="Times New Roman" w:hAnsi="Times New Roman" w:cs="Times New Roman"/>
          <w:lang w:val="en-US" w:eastAsia="zh-CN"/>
        </w:rPr>
      </w:pPr>
    </w:p>
    <w:p w14:paraId="5DE30D7B">
      <w:pPr>
        <w:rPr>
          <w:rFonts w:hint="default" w:ascii="Times New Roman" w:hAnsi="Times New Roman" w:cs="Times New Roman"/>
          <w:lang w:val="en-US" w:eastAsia="zh-CN"/>
        </w:rPr>
      </w:pPr>
    </w:p>
    <w:p w14:paraId="28C83EF9">
      <w:pPr>
        <w:rPr>
          <w:rFonts w:hint="default" w:ascii="Times New Roman" w:hAnsi="Times New Roman" w:cs="Times New Roman"/>
          <w:lang w:val="en-US" w:eastAsia="zh-CN"/>
        </w:rPr>
      </w:pPr>
    </w:p>
    <w:p w14:paraId="42C86DC2">
      <w:pPr>
        <w:rPr>
          <w:rFonts w:hint="default" w:ascii="Times New Roman" w:hAnsi="Times New Roman" w:cs="Times New Roman"/>
          <w:lang w:val="en-US" w:eastAsia="zh-CN"/>
        </w:rPr>
      </w:pPr>
    </w:p>
    <w:p w14:paraId="5D7B677B">
      <w:pPr>
        <w:rPr>
          <w:rFonts w:hint="default" w:ascii="Times New Roman" w:hAnsi="Times New Roman" w:cs="Times New Roman"/>
          <w:lang w:val="en-US" w:eastAsia="zh-CN"/>
        </w:rPr>
      </w:pPr>
    </w:p>
    <w:p w14:paraId="394FCA05">
      <w:pPr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p w14:paraId="58DEB21A">
      <w:pPr>
        <w:rPr>
          <w:rFonts w:hint="default" w:ascii="Times New Roman" w:hAnsi="Times New Roman" w:cs="Times New Roman"/>
          <w:lang w:val="en-US" w:eastAsia="zh-CN"/>
        </w:rPr>
      </w:pPr>
    </w:p>
    <w:p w14:paraId="5E6FEFFD">
      <w:pPr>
        <w:rPr>
          <w:rFonts w:hint="default" w:ascii="Times New Roman" w:hAnsi="Times New Roman" w:cs="Times New Roman"/>
          <w:lang w:val="en-US" w:eastAsia="zh-CN"/>
        </w:rPr>
      </w:pPr>
    </w:p>
    <w:p w14:paraId="5A3A4B25">
      <w:pPr>
        <w:rPr>
          <w:rFonts w:hint="default" w:ascii="Times New Roman" w:hAnsi="Times New Roman" w:cs="Times New Roman"/>
          <w:lang w:val="en-US" w:eastAsia="zh-CN"/>
        </w:rPr>
      </w:pPr>
    </w:p>
    <w:p w14:paraId="04BD9E59">
      <w:pPr>
        <w:rPr>
          <w:rFonts w:hint="default" w:ascii="Times New Roman" w:hAnsi="Times New Roman" w:cs="Times New Roman"/>
          <w:lang w:val="en-US" w:eastAsia="zh-CN"/>
        </w:rPr>
      </w:pPr>
    </w:p>
    <w:p w14:paraId="5BE55726">
      <w:pPr>
        <w:rPr>
          <w:rFonts w:hint="default" w:ascii="Times New Roman" w:hAnsi="Times New Roman" w:cs="Times New Roman"/>
          <w:lang w:val="en-US" w:eastAsia="zh-CN"/>
        </w:rPr>
      </w:pPr>
    </w:p>
    <w:p w14:paraId="764F3C71">
      <w:pPr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43F4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3C3AE7">
                          <w:pPr>
                            <w:pStyle w:val="6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3C3AE7">
                    <w:pPr>
                      <w:pStyle w:val="6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C7041"/>
    <w:rsid w:val="0014488F"/>
    <w:rsid w:val="002C5A53"/>
    <w:rsid w:val="008F7580"/>
    <w:rsid w:val="00B87A8B"/>
    <w:rsid w:val="00F551E8"/>
    <w:rsid w:val="02F7365E"/>
    <w:rsid w:val="041A537A"/>
    <w:rsid w:val="04F7EDCC"/>
    <w:rsid w:val="08070B29"/>
    <w:rsid w:val="088D046A"/>
    <w:rsid w:val="08B8605D"/>
    <w:rsid w:val="099E482D"/>
    <w:rsid w:val="09B07C9A"/>
    <w:rsid w:val="09F5519D"/>
    <w:rsid w:val="0A2B62DF"/>
    <w:rsid w:val="0CE31F58"/>
    <w:rsid w:val="0F0B291E"/>
    <w:rsid w:val="107F9368"/>
    <w:rsid w:val="11D007D8"/>
    <w:rsid w:val="128522C7"/>
    <w:rsid w:val="129F7B39"/>
    <w:rsid w:val="12E00DC6"/>
    <w:rsid w:val="15E66C62"/>
    <w:rsid w:val="15EB3DE5"/>
    <w:rsid w:val="18AD187C"/>
    <w:rsid w:val="19B84F96"/>
    <w:rsid w:val="19D83220"/>
    <w:rsid w:val="1A4C7041"/>
    <w:rsid w:val="1AB23B08"/>
    <w:rsid w:val="1AB90010"/>
    <w:rsid w:val="1D5412D8"/>
    <w:rsid w:val="1D8475BB"/>
    <w:rsid w:val="1FBF9A04"/>
    <w:rsid w:val="1FFA44A9"/>
    <w:rsid w:val="20516AEF"/>
    <w:rsid w:val="214F5F2E"/>
    <w:rsid w:val="21F155B2"/>
    <w:rsid w:val="21FB057A"/>
    <w:rsid w:val="249B37B3"/>
    <w:rsid w:val="265F330A"/>
    <w:rsid w:val="2669235E"/>
    <w:rsid w:val="268E7BC5"/>
    <w:rsid w:val="27427B68"/>
    <w:rsid w:val="27D1127F"/>
    <w:rsid w:val="27DF3337"/>
    <w:rsid w:val="27ED85D3"/>
    <w:rsid w:val="28120AE5"/>
    <w:rsid w:val="28401CBD"/>
    <w:rsid w:val="28FF0FBA"/>
    <w:rsid w:val="298341D5"/>
    <w:rsid w:val="2A0C65CE"/>
    <w:rsid w:val="2A3278FC"/>
    <w:rsid w:val="2A85335C"/>
    <w:rsid w:val="2AE347B3"/>
    <w:rsid w:val="2BFA547B"/>
    <w:rsid w:val="2C080B24"/>
    <w:rsid w:val="2D4E07FF"/>
    <w:rsid w:val="2D626844"/>
    <w:rsid w:val="2D7391E7"/>
    <w:rsid w:val="2DE55ECA"/>
    <w:rsid w:val="307B38EB"/>
    <w:rsid w:val="31B8695C"/>
    <w:rsid w:val="32907109"/>
    <w:rsid w:val="329F4D82"/>
    <w:rsid w:val="33C21C2B"/>
    <w:rsid w:val="362F1A54"/>
    <w:rsid w:val="36EF10F4"/>
    <w:rsid w:val="376A24B6"/>
    <w:rsid w:val="378B5119"/>
    <w:rsid w:val="38D66ECE"/>
    <w:rsid w:val="397E2EEC"/>
    <w:rsid w:val="3AA62B80"/>
    <w:rsid w:val="3C3D2295"/>
    <w:rsid w:val="3C6E7B90"/>
    <w:rsid w:val="3CCB40C7"/>
    <w:rsid w:val="3EDE67B6"/>
    <w:rsid w:val="3EF57B21"/>
    <w:rsid w:val="3F2746C1"/>
    <w:rsid w:val="3FF350A8"/>
    <w:rsid w:val="3FFB567D"/>
    <w:rsid w:val="409800C8"/>
    <w:rsid w:val="40E8543E"/>
    <w:rsid w:val="41507C78"/>
    <w:rsid w:val="41EA7FBD"/>
    <w:rsid w:val="4220137B"/>
    <w:rsid w:val="4255690C"/>
    <w:rsid w:val="42E10450"/>
    <w:rsid w:val="43127348"/>
    <w:rsid w:val="44641089"/>
    <w:rsid w:val="44724FF0"/>
    <w:rsid w:val="453D7B9C"/>
    <w:rsid w:val="45B303DA"/>
    <w:rsid w:val="469E65CC"/>
    <w:rsid w:val="47222BDE"/>
    <w:rsid w:val="4798038E"/>
    <w:rsid w:val="47DC523D"/>
    <w:rsid w:val="48CC55EA"/>
    <w:rsid w:val="4A1B46B8"/>
    <w:rsid w:val="4AEA784A"/>
    <w:rsid w:val="4AF278C3"/>
    <w:rsid w:val="4C5A7B6F"/>
    <w:rsid w:val="4CD601E6"/>
    <w:rsid w:val="4DF43368"/>
    <w:rsid w:val="4E646071"/>
    <w:rsid w:val="4F146810"/>
    <w:rsid w:val="4F6E4CE3"/>
    <w:rsid w:val="50A80E0D"/>
    <w:rsid w:val="5136775A"/>
    <w:rsid w:val="53592D30"/>
    <w:rsid w:val="573A2867"/>
    <w:rsid w:val="578D09E9"/>
    <w:rsid w:val="58A426A9"/>
    <w:rsid w:val="58CB46EF"/>
    <w:rsid w:val="59273D3E"/>
    <w:rsid w:val="59C96B20"/>
    <w:rsid w:val="5B7F477B"/>
    <w:rsid w:val="5DC00148"/>
    <w:rsid w:val="5DCF1EBD"/>
    <w:rsid w:val="5EF63D43"/>
    <w:rsid w:val="5FB04754"/>
    <w:rsid w:val="5FFF7609"/>
    <w:rsid w:val="60B86522"/>
    <w:rsid w:val="60F05DBA"/>
    <w:rsid w:val="624D78A9"/>
    <w:rsid w:val="657E4935"/>
    <w:rsid w:val="65E42755"/>
    <w:rsid w:val="66BB70A5"/>
    <w:rsid w:val="66DE9BAF"/>
    <w:rsid w:val="67875BDE"/>
    <w:rsid w:val="697D143F"/>
    <w:rsid w:val="69E94D24"/>
    <w:rsid w:val="6A321272"/>
    <w:rsid w:val="6C206B27"/>
    <w:rsid w:val="6CD71BA7"/>
    <w:rsid w:val="6D016598"/>
    <w:rsid w:val="6EE8281D"/>
    <w:rsid w:val="6F932FE8"/>
    <w:rsid w:val="6FDD3E47"/>
    <w:rsid w:val="6FF9037E"/>
    <w:rsid w:val="70D01B0A"/>
    <w:rsid w:val="72574B4A"/>
    <w:rsid w:val="726A24F7"/>
    <w:rsid w:val="72792F33"/>
    <w:rsid w:val="72895DEE"/>
    <w:rsid w:val="72B64C49"/>
    <w:rsid w:val="745274BD"/>
    <w:rsid w:val="747B8570"/>
    <w:rsid w:val="763655EE"/>
    <w:rsid w:val="76EF1B1F"/>
    <w:rsid w:val="77585F7B"/>
    <w:rsid w:val="7792FFE4"/>
    <w:rsid w:val="77FFF43A"/>
    <w:rsid w:val="790309EB"/>
    <w:rsid w:val="79324000"/>
    <w:rsid w:val="7963055C"/>
    <w:rsid w:val="7A10167F"/>
    <w:rsid w:val="7B7FA57A"/>
    <w:rsid w:val="7BF020E3"/>
    <w:rsid w:val="7BF2175E"/>
    <w:rsid w:val="7CBEE6BD"/>
    <w:rsid w:val="7CE64AF1"/>
    <w:rsid w:val="7D2F89F4"/>
    <w:rsid w:val="7DDB24B9"/>
    <w:rsid w:val="7DDFA15D"/>
    <w:rsid w:val="7DFF2C13"/>
    <w:rsid w:val="7DFFAC88"/>
    <w:rsid w:val="7EE73CF0"/>
    <w:rsid w:val="7EF77FF3"/>
    <w:rsid w:val="7F0FBF25"/>
    <w:rsid w:val="7F671369"/>
    <w:rsid w:val="7F7E6F18"/>
    <w:rsid w:val="7FFDB170"/>
    <w:rsid w:val="7FFE4F92"/>
    <w:rsid w:val="89ED9491"/>
    <w:rsid w:val="99EEF3B7"/>
    <w:rsid w:val="B8F273DC"/>
    <w:rsid w:val="BAFDD3E2"/>
    <w:rsid w:val="BFAF2C9E"/>
    <w:rsid w:val="BFCC70C4"/>
    <w:rsid w:val="CFFE1711"/>
    <w:rsid w:val="D457BB38"/>
    <w:rsid w:val="D7B7FFBE"/>
    <w:rsid w:val="DBE62410"/>
    <w:rsid w:val="DF5D93CB"/>
    <w:rsid w:val="DFBE4EDD"/>
    <w:rsid w:val="DFFE386E"/>
    <w:rsid w:val="E7EAC5F2"/>
    <w:rsid w:val="EBED9C2F"/>
    <w:rsid w:val="EF442F21"/>
    <w:rsid w:val="EFA46E96"/>
    <w:rsid w:val="EFE85C7F"/>
    <w:rsid w:val="F9F7D4F4"/>
    <w:rsid w:val="F9FB2D20"/>
    <w:rsid w:val="FB9FC433"/>
    <w:rsid w:val="FBD71F1F"/>
    <w:rsid w:val="FBDB51BB"/>
    <w:rsid w:val="FBF87030"/>
    <w:rsid w:val="FBFE31B5"/>
    <w:rsid w:val="FCF7FAED"/>
    <w:rsid w:val="FD7B208A"/>
    <w:rsid w:val="FDAE7832"/>
    <w:rsid w:val="FDDEAE19"/>
    <w:rsid w:val="FDFF9FFE"/>
    <w:rsid w:val="FE355080"/>
    <w:rsid w:val="FEA6465F"/>
    <w:rsid w:val="FF7F75CB"/>
    <w:rsid w:val="FFCF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unhideWhenUsed/>
    <w:qFormat/>
    <w:uiPriority w:val="99"/>
    <w:pPr>
      <w:ind w:left="1680" w:leftChars="800"/>
      <w:jc w:val="left"/>
    </w:pPr>
  </w:style>
  <w:style w:type="paragraph" w:styleId="4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5">
    <w:name w:val="Body Text First Indent 2"/>
    <w:basedOn w:val="4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able of figures"/>
    <w:basedOn w:val="1"/>
    <w:next w:val="1"/>
    <w:qFormat/>
    <w:uiPriority w:val="0"/>
    <w:pPr>
      <w:spacing w:before="100" w:beforeAutospacing="1" w:after="100" w:afterAutospacing="1"/>
      <w:ind w:left="400" w:leftChars="200" w:hanging="200" w:hangingChars="200"/>
    </w:p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customStyle="1" w:styleId="12">
    <w:name w:val="TOAHeading"/>
    <w:basedOn w:val="1"/>
    <w:next w:val="1"/>
    <w:qFormat/>
    <w:uiPriority w:val="0"/>
    <w:pPr>
      <w:spacing w:before="120"/>
    </w:pPr>
    <w:rPr>
      <w:sz w:val="24"/>
    </w:rPr>
  </w:style>
  <w:style w:type="character" w:customStyle="1" w:styleId="13">
    <w:name w:val="font0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6785</Words>
  <Characters>7729</Characters>
  <Lines>0</Lines>
  <Paragraphs>0</Paragraphs>
  <TotalTime>3</TotalTime>
  <ScaleCrop>false</ScaleCrop>
  <LinksUpToDate>false</LinksUpToDate>
  <CharactersWithSpaces>7733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2024-07-21T16:45:00Z</dcterms:created>
  <dc:creator>冻结</dc:creator>
  <cp:lastModifiedBy>WPS_1604458475</cp:lastModifiedBy>
  <cp:lastPrinted>2025-07-14T09:53:00Z</cp:lastPrinted>
  <dcterms:modified xsi:type="dcterms:W3CDTF">2026-09-10T02:55:20Z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eyJoZGlkIjoiYmMxZWViYzY2OTBkMWNmMDZlNjI2NmUwYzQyZTk2ZTMiLCJ1c2VySWQiOiIxMTM5OTQ5NTAyIn0=</vt:lpwstr>
  </property>
  <property fmtid="{D5CDD505-2E9C-101B-9397-08002B2CF9AE}" pid="4" name="ICV">
    <vt:lpwstr>32593EE591F3A895696A606AA93481BD</vt:lpwstr>
  </property>
</Properties>
</file>