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charts/colors1.xml" ContentType="application/vnd.ms-office.chartcolorstyle+xml"/>
  <Override PartName="/word/charts/colors2.xml" ContentType="application/vnd.ms-office.chartcolorstyle+xml"/>
  <Override PartName="/word/charts/style1.xml" ContentType="application/vnd.ms-office.chartstyle+xml"/>
  <Override PartName="/word/charts/style2.xml" ContentType="application/vnd.ms-office.chartstyle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600" w:lineRule="exact"/>
        <w:jc w:val="center"/>
        <w:outlineLvl w:val="0"/>
        <w:rPr>
          <w:rFonts w:hint="eastAsia" w:ascii="黑体" w:hAnsi="黑体" w:eastAsia="黑体" w:cs="黑体"/>
          <w:b/>
          <w:sz w:val="44"/>
          <w:szCs w:val="44"/>
          <w:lang w:eastAsia="zh-CN"/>
        </w:rPr>
      </w:pPr>
      <w:bookmarkStart w:id="0" w:name="_Toc15396616"/>
      <w:r>
        <w:rPr>
          <w:rFonts w:hint="eastAsia" w:ascii="黑体" w:hAnsi="黑体" w:eastAsia="黑体" w:cs="黑体"/>
          <w:b/>
          <w:sz w:val="44"/>
          <w:szCs w:val="44"/>
          <w:lang w:eastAsia="zh-CN"/>
        </w:rPr>
        <w:t>黑水县人民代表大会常务委员会办公室</w:t>
      </w:r>
    </w:p>
    <w:p>
      <w:pPr>
        <w:spacing w:line="600" w:lineRule="exact"/>
        <w:jc w:val="center"/>
        <w:outlineLvl w:val="0"/>
        <w:rPr>
          <w:rFonts w:hint="eastAsia" w:ascii="黑体" w:hAnsi="黑体" w:eastAsia="黑体" w:cs="黑体"/>
          <w:b/>
          <w:sz w:val="44"/>
          <w:szCs w:val="44"/>
        </w:rPr>
      </w:pPr>
      <w:r>
        <w:rPr>
          <w:rFonts w:hint="eastAsia" w:ascii="黑体" w:hAnsi="黑体" w:eastAsia="黑体" w:cs="黑体"/>
          <w:b/>
          <w:sz w:val="44"/>
          <w:szCs w:val="44"/>
        </w:rPr>
        <w:t>20</w:t>
      </w:r>
      <w:r>
        <w:rPr>
          <w:rFonts w:hint="eastAsia" w:ascii="黑体" w:hAnsi="黑体" w:eastAsia="黑体" w:cs="黑体"/>
          <w:b/>
          <w:sz w:val="44"/>
          <w:szCs w:val="44"/>
          <w:lang w:val="en-US" w:eastAsia="zh-CN"/>
        </w:rPr>
        <w:t>23</w:t>
      </w:r>
      <w:r>
        <w:rPr>
          <w:rFonts w:hint="eastAsia" w:ascii="黑体" w:hAnsi="黑体" w:eastAsia="黑体" w:cs="黑体"/>
          <w:b/>
          <w:sz w:val="44"/>
          <w:szCs w:val="44"/>
        </w:rPr>
        <w:t>年部门整体支出绩效评价报告</w:t>
      </w:r>
      <w:bookmarkEnd w:id="0"/>
      <w:bookmarkStart w:id="1" w:name="_GoBack"/>
      <w:bookmarkEnd w:id="1"/>
    </w:p>
    <w:p>
      <w:pPr>
        <w:spacing w:line="580" w:lineRule="exact"/>
        <w:ind w:firstLine="642" w:firstLineChars="200"/>
        <w:rPr>
          <w:rFonts w:ascii="仿宋_GB2312" w:hAnsi="黑体" w:eastAsia="仿宋_GB2312" w:cs="黑体"/>
          <w:b/>
          <w:sz w:val="32"/>
          <w:szCs w:val="32"/>
        </w:rPr>
      </w:pPr>
    </w:p>
    <w:p>
      <w:pPr>
        <w:spacing w:line="580" w:lineRule="exact"/>
        <w:ind w:firstLine="640" w:firstLineChars="200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一、部门（单位）概况</w:t>
      </w:r>
    </w:p>
    <w:p>
      <w:pPr>
        <w:snapToGrid w:val="0"/>
        <w:spacing w:line="360" w:lineRule="auto"/>
        <w:ind w:firstLine="642" w:firstLineChars="200"/>
        <w:rPr>
          <w:rFonts w:hint="eastAsia" w:ascii="仿宋" w:hAnsi="仿宋" w:eastAsia="仿宋"/>
          <w:sz w:val="32"/>
          <w:szCs w:val="32"/>
          <w:lang w:val="en-US" w:eastAsia="zh-CN"/>
        </w:rPr>
      </w:pPr>
      <w:r>
        <w:rPr>
          <w:rFonts w:hint="eastAsia" w:ascii="仿宋" w:hAnsi="仿宋" w:eastAsia="仿宋"/>
          <w:b/>
          <w:bCs/>
          <w:sz w:val="32"/>
          <w:szCs w:val="32"/>
          <w:lang w:val="zh-CN" w:eastAsia="zh-CN"/>
        </w:rPr>
        <w:t>（一）</w:t>
      </w:r>
      <w:r>
        <w:rPr>
          <w:rFonts w:hint="default" w:ascii="仿宋" w:hAnsi="仿宋" w:eastAsia="仿宋"/>
          <w:b/>
          <w:bCs/>
          <w:sz w:val="32"/>
          <w:szCs w:val="32"/>
          <w:lang w:val="zh-CN" w:eastAsia="zh-CN"/>
        </w:rPr>
        <w:t>机构组成。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县人大下设三个专门委员会：法制监察司法和民族宗教事务委员会、财政经济预算和农业农村城乡环境保护委员会、教育科学文化卫生和社会建设委员会；县人大常委会办公室、人大代表联络工作委员会；县人大常委会办公室下设人大代表服务中心（公益一类事业单位）。</w:t>
      </w:r>
    </w:p>
    <w:p>
      <w:pPr>
        <w:snapToGrid w:val="0"/>
        <w:spacing w:line="360" w:lineRule="auto"/>
        <w:ind w:firstLine="642" w:firstLineChars="200"/>
        <w:rPr>
          <w:rFonts w:hint="default" w:ascii="仿宋" w:hAnsi="仿宋" w:eastAsia="仿宋"/>
          <w:sz w:val="32"/>
          <w:szCs w:val="32"/>
          <w:lang w:val="zh-CN" w:eastAsia="zh-CN"/>
        </w:rPr>
      </w:pPr>
      <w:r>
        <w:rPr>
          <w:rFonts w:hint="eastAsia" w:ascii="仿宋" w:hAnsi="仿宋" w:eastAsia="仿宋"/>
          <w:b/>
          <w:bCs/>
          <w:sz w:val="32"/>
          <w:szCs w:val="32"/>
          <w:lang w:val="zh-CN" w:eastAsia="zh-CN"/>
        </w:rPr>
        <w:t>（二）机构职能。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负责做好本级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fldChar w:fldCharType="begin"/>
      </w:r>
      <w:r>
        <w:rPr>
          <w:rFonts w:hint="eastAsia" w:ascii="仿宋" w:hAnsi="仿宋" w:eastAsia="仿宋"/>
          <w:sz w:val="32"/>
          <w:szCs w:val="32"/>
          <w:lang w:val="en-US" w:eastAsia="zh-CN"/>
        </w:rPr>
        <w:instrText xml:space="preserve"> HYPERLINK "https://www.baidu.com/s?wd=%E4%BA%BA%E6%B0%91%E4%BB%A3%E8%A1%A8%E5%A4%A7%E4%BC%9A&amp;tn=44039180_cpr&amp;fenlei=mv6quAkxTZn0IZRqIHckPjm4nH00T1dBrHmvmWRzmyc3myuWPyub0ZwV5Hcvrjm3rH6sPfKWUMw85HfYnjn4nH6sgvPsT6KdThsqpZwYTjCEQLGCpyw9Uz4Bmy-bIi4WUvYETgN-TLwGUv3EnHRsPHmkPWR1" </w:instrText>
      </w:r>
      <w:r>
        <w:rPr>
          <w:rFonts w:hint="eastAsia" w:ascii="仿宋" w:hAnsi="仿宋" w:eastAsia="仿宋"/>
          <w:sz w:val="32"/>
          <w:szCs w:val="32"/>
          <w:lang w:val="en-US" w:eastAsia="zh-CN"/>
        </w:rPr>
        <w:fldChar w:fldCharType="separate"/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人民代表大会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fldChar w:fldCharType="end"/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、常委会会议、主任会议、党组会议以及其他有关会议各种文件的起草、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fldChar w:fldCharType="begin"/>
      </w:r>
      <w:r>
        <w:rPr>
          <w:rFonts w:hint="eastAsia" w:ascii="仿宋" w:hAnsi="仿宋" w:eastAsia="仿宋"/>
          <w:sz w:val="32"/>
          <w:szCs w:val="32"/>
          <w:lang w:val="en-US" w:eastAsia="zh-CN"/>
        </w:rPr>
        <w:instrText xml:space="preserve"> HYPERLINK "https://www.baidu.com/s?wd=%E4%BC%9A%E8%AE%AE%E8%AE%B0%E5%BD%95&amp;tn=44039180_cpr&amp;fenlei=mv6quAkxTZn0IZRqIHckPjm4nH00T1dBrHmvmWRzmyc3myuWPyub0ZwV5Hcvrjm3rH6sPfKWUMw85HfYnjn4nH6sgvPsT6KdThsqpZwYTjCEQLGCpyw9Uz4Bmy-bIi4WUvYETgN-TLwGUv3EnHRsPHmkPWR1" </w:instrText>
      </w:r>
      <w:r>
        <w:rPr>
          <w:rFonts w:hint="eastAsia" w:ascii="仿宋" w:hAnsi="仿宋" w:eastAsia="仿宋"/>
          <w:sz w:val="32"/>
          <w:szCs w:val="32"/>
          <w:lang w:val="en-US" w:eastAsia="zh-CN"/>
        </w:rPr>
        <w:fldChar w:fldCharType="separate"/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会议记录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fldChar w:fldCharType="end"/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和会务工作。对会议决定的事项负责办理落实，并及时报告反馈。负责做好本级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fldChar w:fldCharType="begin"/>
      </w:r>
      <w:r>
        <w:rPr>
          <w:rFonts w:hint="eastAsia" w:ascii="仿宋" w:hAnsi="仿宋" w:eastAsia="仿宋"/>
          <w:sz w:val="32"/>
          <w:szCs w:val="32"/>
          <w:lang w:val="en-US" w:eastAsia="zh-CN"/>
        </w:rPr>
        <w:instrText xml:space="preserve"> HYPERLINK "https://www.baidu.com/s?wd=%E4%BA%BA%E5%A4%A7%E5%B8%B8%E5%A7%94%E4%BC%9A&amp;tn=44039180_cpr&amp;fenlei=mv6quAkxTZn0IZRqIHckPjm4nH00T1dBrHmvmWRzmyc3myuWPyub0ZwV5Hcvrjm3rH6sPfKWUMw85HfYnjn4nH6sgvPsT6KdThsqpZwYTjCEQLGCpyw9Uz4Bmy-bIi4WUvYETgN-TLwGUv3EnHRsPHmkPWR1" </w:instrText>
      </w:r>
      <w:r>
        <w:rPr>
          <w:rFonts w:hint="eastAsia" w:ascii="仿宋" w:hAnsi="仿宋" w:eastAsia="仿宋"/>
          <w:sz w:val="32"/>
          <w:szCs w:val="32"/>
          <w:lang w:val="en-US" w:eastAsia="zh-CN"/>
        </w:rPr>
        <w:fldChar w:fldCharType="separate"/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人大常委会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fldChar w:fldCharType="end"/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日常文件材料的起草、编辑、校对、分发工作。负责做好上一级人代会期间本级代表团的服务工作；负责做好兄弟人大来参观、交流的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fldChar w:fldCharType="begin"/>
      </w:r>
      <w:r>
        <w:rPr>
          <w:rFonts w:hint="eastAsia" w:ascii="仿宋" w:hAnsi="仿宋" w:eastAsia="仿宋"/>
          <w:sz w:val="32"/>
          <w:szCs w:val="32"/>
          <w:lang w:val="en-US" w:eastAsia="zh-CN"/>
        </w:rPr>
        <w:instrText xml:space="preserve"> HYPERLINK "https://www.baidu.com/s?wd=%E6%8E%A5%E5%BE%85%E5%B7%A5%E4%BD%9C&amp;tn=44039180_cpr&amp;fenlei=mv6quAkxTZn0IZRqIHckPjm4nH00T1dBrHmvmWRzmyc3myuWPyub0ZwV5Hcvrjm3rH6sPfKWUMw85HfYnjn4nH6sgvPsT6KdThsqpZwYTjCEQLGCpyw9Uz4Bmy-bIi4WUvYETgN-TLwGUv3EnHRsPHmkPWR1" </w:instrText>
      </w:r>
      <w:r>
        <w:rPr>
          <w:rFonts w:hint="eastAsia" w:ascii="仿宋" w:hAnsi="仿宋" w:eastAsia="仿宋"/>
          <w:sz w:val="32"/>
          <w:szCs w:val="32"/>
          <w:lang w:val="en-US" w:eastAsia="zh-CN"/>
        </w:rPr>
        <w:fldChar w:fldCharType="separate"/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接待工作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fldChar w:fldCharType="end"/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，以及上级人大代表来我辖区开展视察、检查、调查活动的接待和服务工作。负责做好本级人大常委会机关的行政、财务、财产管理和日常事务工作，做好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fldChar w:fldCharType="begin"/>
      </w:r>
      <w:r>
        <w:rPr>
          <w:rFonts w:hint="eastAsia" w:ascii="仿宋" w:hAnsi="仿宋" w:eastAsia="仿宋"/>
          <w:sz w:val="32"/>
          <w:szCs w:val="32"/>
          <w:lang w:val="en-US" w:eastAsia="zh-CN"/>
        </w:rPr>
        <w:instrText xml:space="preserve"> HYPERLINK "https://www.baidu.com/s?wd=%E7%A6%BB%E9%80%80%E4%BC%91%E4%BA%BA%E5%91%98&amp;tn=44039180_cpr&amp;fenlei=mv6quAkxTZn0IZRqIHckPjm4nH00T1dBrHmvmWRzmyc3myuWPyub0ZwV5Hcvrjm3rH6sPfKWUMw85HfYnjn4nH6sgvPsT6KdThsqpZwYTjCEQLGCpyw9Uz4Bmy-bIi4WUvYETgN-TLwGUv3EnHRsPHmkPWR1" </w:instrText>
      </w:r>
      <w:r>
        <w:rPr>
          <w:rFonts w:hint="eastAsia" w:ascii="仿宋" w:hAnsi="仿宋" w:eastAsia="仿宋"/>
          <w:sz w:val="32"/>
          <w:szCs w:val="32"/>
          <w:lang w:val="en-US" w:eastAsia="zh-CN"/>
        </w:rPr>
        <w:fldChar w:fldCharType="separate"/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退休人员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fldChar w:fldCharType="end"/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的服务工作。负责本级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fldChar w:fldCharType="begin"/>
      </w:r>
      <w:r>
        <w:rPr>
          <w:rFonts w:hint="eastAsia" w:ascii="仿宋" w:hAnsi="仿宋" w:eastAsia="仿宋"/>
          <w:sz w:val="32"/>
          <w:szCs w:val="32"/>
          <w:lang w:val="en-US" w:eastAsia="zh-CN"/>
        </w:rPr>
        <w:instrText xml:space="preserve"> HYPERLINK "https://www.baidu.com/s?wd=%E4%BA%BA%E5%A4%A7%E5%B8%B8%E5%A7%94%E4%BC%9A&amp;tn=44039180_cpr&amp;fenlei=mv6quAkxTZn0IZRqIHckPjm4nH00T1dBrHmvmWRzmyc3myuWPyub0ZwV5Hcvrjm3rH6sPfKWUMw85HfYnjn4nH6sgvPsT6KdThsqpZwYTjCEQLGCpyw9Uz4Bmy-bIi4WUvYETgN-TLwGUv3EnHRsPHmkPWR1" </w:instrText>
      </w:r>
      <w:r>
        <w:rPr>
          <w:rFonts w:hint="eastAsia" w:ascii="仿宋" w:hAnsi="仿宋" w:eastAsia="仿宋"/>
          <w:sz w:val="32"/>
          <w:szCs w:val="32"/>
          <w:lang w:val="en-US" w:eastAsia="zh-CN"/>
        </w:rPr>
        <w:fldChar w:fldCharType="separate"/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人大常委会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fldChar w:fldCharType="end"/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印鉴管理和机关的文电、机要、保密、档案、文印等工作。负责领导交办的其他工作。</w:t>
      </w:r>
    </w:p>
    <w:p>
      <w:pPr>
        <w:snapToGrid w:val="0"/>
        <w:spacing w:line="360" w:lineRule="auto"/>
        <w:ind w:firstLine="642" w:firstLineChars="200"/>
        <w:rPr>
          <w:rFonts w:hint="default" w:ascii="仿宋" w:hAnsi="仿宋" w:eastAsia="仿宋"/>
          <w:sz w:val="32"/>
          <w:szCs w:val="32"/>
          <w:lang w:val="en-US" w:eastAsia="zh-CN"/>
        </w:rPr>
      </w:pPr>
      <w:r>
        <w:rPr>
          <w:rFonts w:hint="eastAsia" w:ascii="仿宋" w:hAnsi="仿宋" w:eastAsia="仿宋"/>
          <w:b/>
          <w:bCs/>
          <w:sz w:val="32"/>
          <w:szCs w:val="32"/>
          <w:lang w:val="zh-CN" w:eastAsia="zh-CN"/>
        </w:rPr>
        <w:t>（三）人员概况。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本单位</w:t>
      </w:r>
      <w:r>
        <w:rPr>
          <w:rFonts w:hint="eastAsia" w:ascii="仿宋" w:hAnsi="仿宋" w:eastAsia="仿宋"/>
          <w:sz w:val="32"/>
          <w:szCs w:val="32"/>
          <w:lang w:val="zh-CN" w:eastAsia="zh-CN"/>
        </w:rPr>
        <w:t>行政编制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21人，其中公务员15人，工勤6人。本年度年末实有在职人数为23人，与上年少1人，变动情况及原因为：1月调入行政工勤1人，8月退休公务员1人,12月退休公务员1人，年末实有在职人数为23人；年末实有退休人数为30人，比上年增加2人；年末实有遗属赡养人员为1人，无变动。</w:t>
      </w:r>
    </w:p>
    <w:p>
      <w:pPr>
        <w:snapToGrid w:val="0"/>
        <w:spacing w:line="360" w:lineRule="auto"/>
        <w:ind w:firstLine="642" w:firstLineChars="200"/>
        <w:rPr>
          <w:rFonts w:hint="eastAsia" w:ascii="仿宋" w:hAnsi="仿宋" w:eastAsia="仿宋"/>
          <w:b/>
          <w:bCs/>
          <w:sz w:val="32"/>
          <w:szCs w:val="32"/>
          <w:lang w:val="en-US" w:eastAsia="zh-CN"/>
        </w:rPr>
      </w:pPr>
      <w:r>
        <w:rPr>
          <w:rFonts w:hint="eastAsia" w:ascii="仿宋" w:hAnsi="仿宋" w:eastAsia="仿宋"/>
          <w:b/>
          <w:bCs/>
          <w:sz w:val="32"/>
          <w:szCs w:val="32"/>
          <w:lang w:val="en-US" w:eastAsia="zh-CN"/>
        </w:rPr>
        <w:t>二、部门财政资金收支情况</w:t>
      </w:r>
    </w:p>
    <w:p>
      <w:pPr>
        <w:snapToGrid w:val="0"/>
        <w:spacing w:line="360" w:lineRule="auto"/>
        <w:ind w:firstLine="642" w:firstLineChars="200"/>
        <w:rPr>
          <w:rFonts w:hint="eastAsia" w:ascii="仿宋" w:hAnsi="仿宋" w:eastAsia="仿宋"/>
          <w:sz w:val="32"/>
          <w:szCs w:val="32"/>
          <w:lang w:val="en-US" w:eastAsia="zh-CN"/>
        </w:rPr>
      </w:pPr>
      <w:r>
        <w:rPr>
          <w:rFonts w:hint="eastAsia" w:ascii="仿宋" w:hAnsi="仿宋" w:eastAsia="仿宋"/>
          <w:b/>
          <w:bCs/>
          <w:sz w:val="32"/>
          <w:szCs w:val="32"/>
          <w:lang w:val="en-US" w:eastAsia="zh-CN"/>
        </w:rPr>
        <w:t>（一）部门财政资金收入情况。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本单位本年度收入调整预算数为886.12万元，收入决算数为886.12万元，预算完成度为100.00%，上年度预算完成度为789.11万元，比上年增加97.01万元，存在差异的主要原因为1月调入行政工勤1人，1-7月25人，8月退休公务员1人,12月退休公务员1人。本年度支出调整预算数为886.12万元，支出决算数为886.12万元，预算完成度为100.00%，上年度预算完成度为789.11万元，比上年增加97.01万元，存在差异的主要原因为1月调入行政工勤1人，1-7月25人，8月退休公务员1人,12月退休公务员1人。</w:t>
      </w:r>
    </w:p>
    <w:p>
      <w:pPr>
        <w:spacing w:line="600" w:lineRule="exact"/>
        <w:ind w:firstLine="640" w:firstLineChars="200"/>
        <w:rPr>
          <w:rFonts w:ascii="仿宋_GB2312" w:hAnsi="仿宋" w:eastAsia="仿宋_GB2312"/>
          <w:color w:val="000000" w:themeColor="text1"/>
          <w:sz w:val="32"/>
          <w:szCs w:val="32"/>
          <w:shd w:val="clear" w:color="auto" w:fill="auto"/>
        </w:rPr>
      </w:pPr>
      <w:r>
        <w:rPr>
          <w:rFonts w:hint="eastAsia" w:ascii="仿宋_GB2312" w:hAnsi="仿宋" w:eastAsia="仿宋_GB2312"/>
          <w:color w:val="000000" w:themeColor="text1"/>
          <w:sz w:val="32"/>
          <w:szCs w:val="32"/>
          <w:shd w:val="clear" w:color="auto" w:fill="auto"/>
        </w:rPr>
        <w:t>（图1：收、支决算总计变动情况图）（柱状图）</w:t>
      </w:r>
    </w:p>
    <w:p>
      <w:pPr>
        <w:snapToGrid w:val="0"/>
        <w:spacing w:line="360" w:lineRule="auto"/>
        <w:ind w:firstLine="640" w:firstLineChars="200"/>
        <w:rPr>
          <w:rFonts w:hint="eastAsia" w:ascii="仿宋" w:hAnsi="仿宋" w:eastAsia="仿宋"/>
          <w:sz w:val="32"/>
          <w:szCs w:val="32"/>
          <w:lang w:val="en-US" w:eastAsia="zh-CN"/>
        </w:rPr>
      </w:pPr>
      <w:r>
        <w:rPr>
          <w:rFonts w:hint="eastAsia" w:ascii="仿宋" w:hAnsi="仿宋" w:eastAsia="仿宋"/>
          <w:sz w:val="32"/>
          <w:szCs w:val="32"/>
          <w:lang w:val="en-US" w:eastAsia="zh-CN"/>
        </w:rPr>
        <w:drawing>
          <wp:inline distT="0" distB="0" distL="114300" distR="114300">
            <wp:extent cx="4743450" cy="1885950"/>
            <wp:effectExtent l="5080" t="4445" r="13970" b="14605"/>
            <wp:docPr id="1" name="图表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"/>
              </a:graphicData>
            </a:graphic>
          </wp:inline>
        </w:drawing>
      </w:r>
    </w:p>
    <w:p>
      <w:pPr>
        <w:snapToGrid w:val="0"/>
        <w:spacing w:line="360" w:lineRule="auto"/>
        <w:ind w:firstLine="640" w:firstLineChars="200"/>
        <w:rPr>
          <w:rFonts w:hint="eastAsia" w:ascii="仿宋" w:hAnsi="仿宋" w:eastAsia="仿宋"/>
          <w:sz w:val="32"/>
          <w:szCs w:val="32"/>
          <w:lang w:val="en-US" w:eastAsia="zh-CN"/>
        </w:rPr>
      </w:pPr>
      <w:r>
        <w:rPr>
          <w:rFonts w:hint="eastAsia" w:ascii="仿宋" w:hAnsi="仿宋" w:eastAsia="仿宋"/>
          <w:sz w:val="32"/>
          <w:szCs w:val="32"/>
          <w:lang w:val="en-US" w:eastAsia="zh-CN"/>
        </w:rPr>
        <w:t>部门财政资金支出情况。本单位本年度收入调整预算数为886.12万元，收入决算数为886.12万元，预算完成度为100.00%，上年度预算完成度为789.11万元，比上年增加97.01万元，存在差异的主要原因为增加1人。本年度支出调整预算数为886.12万元，支出决算数为886.12万元，预算完成度为100.00%，上年度预算完成度为789.11万元，比上年增加97.01万元，存在差异的主要原因为增加1人。(可用柱形图或折线图)</w:t>
      </w:r>
    </w:p>
    <w:p>
      <w:pPr>
        <w:snapToGrid w:val="0"/>
        <w:spacing w:line="360" w:lineRule="auto"/>
        <w:ind w:firstLine="640" w:firstLineChars="200"/>
        <w:rPr>
          <w:rFonts w:hint="eastAsia" w:ascii="仿宋" w:hAnsi="仿宋" w:eastAsia="仿宋"/>
          <w:sz w:val="32"/>
          <w:szCs w:val="32"/>
          <w:lang w:val="en-US" w:eastAsia="zh-CN"/>
        </w:rPr>
      </w:pPr>
      <w:r>
        <w:rPr>
          <w:rFonts w:hint="eastAsia" w:ascii="仿宋" w:hAnsi="仿宋" w:eastAsia="仿宋"/>
          <w:sz w:val="32"/>
          <w:szCs w:val="32"/>
          <w:lang w:val="en-US" w:eastAsia="zh-CN"/>
        </w:rPr>
        <w:drawing>
          <wp:inline distT="0" distB="0" distL="114300" distR="114300">
            <wp:extent cx="4743450" cy="1885950"/>
            <wp:effectExtent l="5080" t="4445" r="13970" b="14605"/>
            <wp:docPr id="3" name="图表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</wp:inline>
        </w:drawing>
      </w:r>
    </w:p>
    <w:p>
      <w:pPr>
        <w:snapToGrid w:val="0"/>
        <w:spacing w:line="360" w:lineRule="auto"/>
        <w:ind w:firstLine="640" w:firstLineChars="200"/>
        <w:rPr>
          <w:rFonts w:hint="eastAsia" w:ascii="仿宋" w:hAnsi="仿宋" w:eastAsia="仿宋"/>
          <w:sz w:val="32"/>
          <w:szCs w:val="32"/>
          <w:lang w:val="en-US" w:eastAsia="zh-CN"/>
        </w:rPr>
      </w:pPr>
    </w:p>
    <w:p>
      <w:pPr>
        <w:snapToGrid w:val="0"/>
        <w:spacing w:line="360" w:lineRule="auto"/>
        <w:ind w:firstLine="642" w:firstLineChars="200"/>
        <w:rPr>
          <w:rFonts w:hint="default" w:ascii="仿宋" w:hAnsi="仿宋" w:eastAsia="仿宋"/>
          <w:b/>
          <w:bCs/>
          <w:sz w:val="32"/>
          <w:szCs w:val="32"/>
          <w:lang w:val="en-US" w:eastAsia="zh-CN"/>
        </w:rPr>
      </w:pPr>
      <w:r>
        <w:rPr>
          <w:rFonts w:hint="eastAsia" w:ascii="仿宋" w:hAnsi="仿宋" w:eastAsia="仿宋"/>
          <w:b/>
          <w:bCs/>
          <w:sz w:val="32"/>
          <w:szCs w:val="32"/>
          <w:lang w:val="en-US" w:eastAsia="zh-CN"/>
        </w:rPr>
        <w:t>三、部门整体预算绩效管理情况</w:t>
      </w:r>
    </w:p>
    <w:p>
      <w:pPr>
        <w:snapToGrid w:val="0"/>
        <w:spacing w:line="360" w:lineRule="auto"/>
        <w:ind w:firstLine="642" w:firstLineChars="200"/>
        <w:rPr>
          <w:rFonts w:hint="default" w:ascii="仿宋" w:hAnsi="仿宋" w:eastAsia="仿宋"/>
          <w:sz w:val="32"/>
          <w:szCs w:val="32"/>
          <w:lang w:val="en-US" w:eastAsia="zh-CN"/>
        </w:rPr>
      </w:pPr>
      <w:r>
        <w:rPr>
          <w:rFonts w:hint="eastAsia" w:ascii="仿宋" w:hAnsi="仿宋" w:eastAsia="仿宋"/>
          <w:b/>
          <w:bCs/>
          <w:sz w:val="32"/>
          <w:szCs w:val="32"/>
          <w:lang w:val="en-US" w:eastAsia="zh-CN"/>
        </w:rPr>
        <w:t>（一）部门预算管理。</w:t>
      </w:r>
      <w:r>
        <w:rPr>
          <w:rFonts w:hint="eastAsia" w:ascii="仿宋" w:hAnsi="仿宋" w:eastAsia="仿宋"/>
          <w:sz w:val="32"/>
          <w:szCs w:val="32"/>
          <w:lang w:val="zh-CN" w:eastAsia="zh-CN"/>
        </w:rPr>
        <w:t>20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23</w:t>
      </w:r>
      <w:r>
        <w:rPr>
          <w:rFonts w:hint="eastAsia" w:ascii="仿宋" w:hAnsi="仿宋" w:eastAsia="仿宋"/>
          <w:sz w:val="32"/>
          <w:szCs w:val="32"/>
          <w:lang w:val="zh-CN" w:eastAsia="zh-CN"/>
        </w:rPr>
        <w:t>年县人大办严格按照财政局下发的文件要求进行预算编制工作，较好地完成了县人大办预算编制工作，无违规行为。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一是高度重视预算编制质量，为夯实部门预算编制质量，县人大办高度重视，认真组织2023年单位预算编制工作；二是加快预算执行进度，县人大办按预算执行支出，确保合规使用；三是严控一般性支出，县人大办实时监控支出进度，对比预算与实际，严格控制一般性支出，定期分析偏差，查找原因并整改。</w:t>
      </w:r>
    </w:p>
    <w:tbl>
      <w:tblPr>
        <w:tblStyle w:val="5"/>
        <w:tblW w:w="829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66"/>
        <w:gridCol w:w="2212"/>
        <w:gridCol w:w="1802"/>
        <w:gridCol w:w="281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9" w:hRule="atLeast"/>
        </w:trPr>
        <w:tc>
          <w:tcPr>
            <w:tcW w:w="14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napToGrid w:val="0"/>
              <w:spacing w:line="360" w:lineRule="auto"/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科目编码</w:t>
            </w:r>
          </w:p>
        </w:tc>
        <w:tc>
          <w:tcPr>
            <w:tcW w:w="221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napToGrid w:val="0"/>
              <w:spacing w:line="360" w:lineRule="auto"/>
              <w:ind w:firstLine="420" w:firstLineChars="200"/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科目名称</w:t>
            </w:r>
          </w:p>
        </w:tc>
        <w:tc>
          <w:tcPr>
            <w:tcW w:w="180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napToGrid w:val="0"/>
              <w:spacing w:line="360" w:lineRule="auto"/>
              <w:ind w:firstLine="420" w:firstLineChars="200"/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预算收入</w:t>
            </w:r>
          </w:p>
        </w:tc>
        <w:tc>
          <w:tcPr>
            <w:tcW w:w="281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napToGrid w:val="0"/>
              <w:spacing w:line="360" w:lineRule="auto"/>
              <w:ind w:firstLine="420" w:firstLineChars="200"/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决算支出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9" w:hRule="atLeast"/>
        </w:trPr>
        <w:tc>
          <w:tcPr>
            <w:tcW w:w="14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napToGrid w:val="0"/>
              <w:spacing w:line="360" w:lineRule="auto"/>
              <w:ind w:firstLine="420" w:firstLineChars="200"/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2010101</w:t>
            </w:r>
          </w:p>
        </w:tc>
        <w:tc>
          <w:tcPr>
            <w:tcW w:w="221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napToGrid w:val="0"/>
              <w:spacing w:line="360" w:lineRule="auto"/>
              <w:ind w:firstLine="420" w:firstLineChars="200"/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行政运行</w:t>
            </w:r>
          </w:p>
        </w:tc>
        <w:tc>
          <w:tcPr>
            <w:tcW w:w="180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napToGrid w:val="0"/>
              <w:spacing w:line="360" w:lineRule="auto"/>
              <w:ind w:firstLine="420" w:firstLineChars="200"/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598.64</w:t>
            </w:r>
          </w:p>
        </w:tc>
        <w:tc>
          <w:tcPr>
            <w:tcW w:w="281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napToGrid w:val="0"/>
              <w:spacing w:line="360" w:lineRule="auto"/>
              <w:ind w:firstLine="420" w:firstLineChars="200"/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598.64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9" w:hRule="atLeast"/>
        </w:trPr>
        <w:tc>
          <w:tcPr>
            <w:tcW w:w="14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napToGrid w:val="0"/>
              <w:spacing w:line="360" w:lineRule="auto"/>
              <w:ind w:firstLine="420" w:firstLineChars="200"/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2010104</w:t>
            </w:r>
          </w:p>
        </w:tc>
        <w:tc>
          <w:tcPr>
            <w:tcW w:w="221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napToGrid w:val="0"/>
              <w:spacing w:line="360" w:lineRule="auto"/>
              <w:ind w:firstLine="420" w:firstLineChars="200"/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人大会议</w:t>
            </w:r>
          </w:p>
        </w:tc>
        <w:tc>
          <w:tcPr>
            <w:tcW w:w="180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napToGrid w:val="0"/>
              <w:spacing w:line="360" w:lineRule="auto"/>
              <w:ind w:firstLine="420" w:firstLineChars="200"/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58.6</w:t>
            </w:r>
          </w:p>
        </w:tc>
        <w:tc>
          <w:tcPr>
            <w:tcW w:w="281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napToGrid w:val="0"/>
              <w:spacing w:line="360" w:lineRule="auto"/>
              <w:ind w:firstLine="420" w:firstLineChars="200"/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58.6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69" w:hRule="atLeast"/>
        </w:trPr>
        <w:tc>
          <w:tcPr>
            <w:tcW w:w="14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napToGrid w:val="0"/>
              <w:spacing w:line="360" w:lineRule="auto"/>
              <w:ind w:firstLine="420" w:firstLineChars="200"/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2050803</w:t>
            </w:r>
          </w:p>
        </w:tc>
        <w:tc>
          <w:tcPr>
            <w:tcW w:w="221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napToGrid w:val="0"/>
              <w:spacing w:line="360" w:lineRule="auto"/>
              <w:ind w:firstLine="420" w:firstLineChars="200"/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培训支出</w:t>
            </w:r>
          </w:p>
        </w:tc>
        <w:tc>
          <w:tcPr>
            <w:tcW w:w="180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napToGrid w:val="0"/>
              <w:spacing w:line="360" w:lineRule="auto"/>
              <w:ind w:firstLine="420" w:firstLineChars="200"/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44.04</w:t>
            </w:r>
          </w:p>
        </w:tc>
        <w:tc>
          <w:tcPr>
            <w:tcW w:w="281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napToGrid w:val="0"/>
              <w:spacing w:line="360" w:lineRule="auto"/>
              <w:ind w:firstLine="420" w:firstLineChars="200"/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44.04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9" w:hRule="atLeast"/>
        </w:trPr>
        <w:tc>
          <w:tcPr>
            <w:tcW w:w="14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napToGrid w:val="0"/>
              <w:spacing w:line="360" w:lineRule="auto"/>
              <w:ind w:firstLine="420" w:firstLineChars="200"/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2080505</w:t>
            </w:r>
          </w:p>
        </w:tc>
        <w:tc>
          <w:tcPr>
            <w:tcW w:w="221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napToGrid w:val="0"/>
              <w:spacing w:line="360" w:lineRule="auto"/>
              <w:ind w:firstLine="420" w:firstLineChars="200"/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养老保险</w:t>
            </w:r>
          </w:p>
        </w:tc>
        <w:tc>
          <w:tcPr>
            <w:tcW w:w="180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napToGrid w:val="0"/>
              <w:spacing w:line="360" w:lineRule="auto"/>
              <w:ind w:firstLine="420" w:firstLineChars="200"/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63.12</w:t>
            </w:r>
          </w:p>
        </w:tc>
        <w:tc>
          <w:tcPr>
            <w:tcW w:w="281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napToGrid w:val="0"/>
              <w:spacing w:line="360" w:lineRule="auto"/>
              <w:ind w:firstLine="420" w:firstLineChars="200"/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63.12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9" w:hRule="atLeast"/>
        </w:trPr>
        <w:tc>
          <w:tcPr>
            <w:tcW w:w="14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napToGrid w:val="0"/>
              <w:spacing w:line="360" w:lineRule="auto"/>
              <w:ind w:firstLine="420" w:firstLineChars="200"/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2080506</w:t>
            </w:r>
          </w:p>
        </w:tc>
        <w:tc>
          <w:tcPr>
            <w:tcW w:w="221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napToGrid w:val="0"/>
              <w:spacing w:line="360" w:lineRule="auto"/>
              <w:ind w:firstLine="420" w:firstLineChars="200"/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职业年金</w:t>
            </w:r>
          </w:p>
        </w:tc>
        <w:tc>
          <w:tcPr>
            <w:tcW w:w="180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napToGrid w:val="0"/>
              <w:spacing w:line="360" w:lineRule="auto"/>
              <w:ind w:firstLine="420" w:firstLineChars="200"/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31.55</w:t>
            </w:r>
          </w:p>
        </w:tc>
        <w:tc>
          <w:tcPr>
            <w:tcW w:w="281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napToGrid w:val="0"/>
              <w:spacing w:line="360" w:lineRule="auto"/>
              <w:ind w:firstLine="420" w:firstLineChars="200"/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31.55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9" w:hRule="atLeast"/>
        </w:trPr>
        <w:tc>
          <w:tcPr>
            <w:tcW w:w="14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napToGrid w:val="0"/>
              <w:spacing w:line="360" w:lineRule="auto"/>
              <w:ind w:firstLine="420" w:firstLineChars="200"/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2101101</w:t>
            </w:r>
          </w:p>
        </w:tc>
        <w:tc>
          <w:tcPr>
            <w:tcW w:w="221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napToGrid w:val="0"/>
              <w:spacing w:line="360" w:lineRule="auto"/>
              <w:ind w:firstLine="420" w:firstLineChars="200"/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行政单位医疗</w:t>
            </w:r>
          </w:p>
        </w:tc>
        <w:tc>
          <w:tcPr>
            <w:tcW w:w="180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napToGrid w:val="0"/>
              <w:spacing w:line="360" w:lineRule="auto"/>
              <w:ind w:firstLine="420" w:firstLineChars="200"/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30.31</w:t>
            </w:r>
          </w:p>
        </w:tc>
        <w:tc>
          <w:tcPr>
            <w:tcW w:w="281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napToGrid w:val="0"/>
              <w:spacing w:line="360" w:lineRule="auto"/>
              <w:ind w:firstLine="420" w:firstLineChars="200"/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30.31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69" w:hRule="atLeast"/>
        </w:trPr>
        <w:tc>
          <w:tcPr>
            <w:tcW w:w="14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napToGrid w:val="0"/>
              <w:spacing w:line="360" w:lineRule="auto"/>
              <w:ind w:firstLine="420" w:firstLineChars="200"/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2101103</w:t>
            </w:r>
          </w:p>
        </w:tc>
        <w:tc>
          <w:tcPr>
            <w:tcW w:w="221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napToGrid w:val="0"/>
              <w:spacing w:line="360" w:lineRule="auto"/>
              <w:ind w:firstLine="420" w:firstLineChars="200"/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公务员医疗</w:t>
            </w:r>
          </w:p>
        </w:tc>
        <w:tc>
          <w:tcPr>
            <w:tcW w:w="180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napToGrid w:val="0"/>
              <w:spacing w:line="360" w:lineRule="auto"/>
              <w:ind w:firstLine="420" w:firstLineChars="200"/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11.47</w:t>
            </w:r>
          </w:p>
        </w:tc>
        <w:tc>
          <w:tcPr>
            <w:tcW w:w="281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napToGrid w:val="0"/>
              <w:spacing w:line="360" w:lineRule="auto"/>
              <w:ind w:firstLine="420" w:firstLineChars="200"/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11.47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9" w:hRule="atLeast"/>
        </w:trPr>
        <w:tc>
          <w:tcPr>
            <w:tcW w:w="14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napToGrid w:val="0"/>
              <w:spacing w:line="360" w:lineRule="auto"/>
              <w:ind w:firstLine="420" w:firstLineChars="200"/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2210201</w:t>
            </w:r>
          </w:p>
        </w:tc>
        <w:tc>
          <w:tcPr>
            <w:tcW w:w="221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napToGrid w:val="0"/>
              <w:spacing w:line="360" w:lineRule="auto"/>
              <w:ind w:firstLine="420" w:firstLineChars="200"/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住房公积金</w:t>
            </w:r>
          </w:p>
        </w:tc>
        <w:tc>
          <w:tcPr>
            <w:tcW w:w="180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napToGrid w:val="0"/>
              <w:spacing w:line="360" w:lineRule="auto"/>
              <w:ind w:firstLine="420" w:firstLineChars="200"/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48.39</w:t>
            </w:r>
          </w:p>
        </w:tc>
        <w:tc>
          <w:tcPr>
            <w:tcW w:w="281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napToGrid w:val="0"/>
              <w:spacing w:line="360" w:lineRule="auto"/>
              <w:ind w:firstLine="420" w:firstLineChars="200"/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48.39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7" w:hRule="atLeast"/>
        </w:trPr>
        <w:tc>
          <w:tcPr>
            <w:tcW w:w="367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napToGrid w:val="0"/>
              <w:spacing w:line="360" w:lineRule="auto"/>
              <w:ind w:firstLine="420" w:firstLineChars="200"/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合计</w:t>
            </w:r>
          </w:p>
        </w:tc>
        <w:tc>
          <w:tcPr>
            <w:tcW w:w="180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napToGrid w:val="0"/>
              <w:spacing w:line="360" w:lineRule="auto"/>
              <w:ind w:firstLine="420" w:firstLineChars="200"/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886.12</w:t>
            </w:r>
          </w:p>
        </w:tc>
        <w:tc>
          <w:tcPr>
            <w:tcW w:w="281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napToGrid w:val="0"/>
              <w:spacing w:line="360" w:lineRule="auto"/>
              <w:ind w:firstLine="420" w:firstLineChars="200"/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886.12</w:t>
            </w:r>
          </w:p>
        </w:tc>
      </w:tr>
    </w:tbl>
    <w:p>
      <w:pPr>
        <w:snapToGrid w:val="0"/>
        <w:spacing w:line="360" w:lineRule="auto"/>
        <w:ind w:firstLine="640" w:firstLineChars="200"/>
        <w:rPr>
          <w:rFonts w:hint="eastAsia" w:ascii="仿宋" w:hAnsi="仿宋" w:eastAsia="仿宋"/>
          <w:sz w:val="32"/>
          <w:szCs w:val="32"/>
          <w:lang w:val="en-US" w:eastAsia="zh-CN"/>
        </w:rPr>
      </w:pPr>
    </w:p>
    <w:p>
      <w:pPr>
        <w:snapToGrid w:val="0"/>
        <w:spacing w:line="360" w:lineRule="auto"/>
        <w:ind w:firstLine="642" w:firstLineChars="200"/>
        <w:rPr>
          <w:rFonts w:hint="default" w:ascii="仿宋" w:hAnsi="仿宋" w:eastAsia="仿宋"/>
          <w:sz w:val="32"/>
          <w:szCs w:val="32"/>
          <w:lang w:val="en-US" w:eastAsia="zh-CN"/>
        </w:rPr>
      </w:pPr>
      <w:r>
        <w:rPr>
          <w:rFonts w:hint="eastAsia" w:ascii="仿宋" w:hAnsi="仿宋" w:eastAsia="仿宋"/>
          <w:b/>
          <w:bCs/>
          <w:sz w:val="32"/>
          <w:szCs w:val="32"/>
          <w:lang w:val="en-US" w:eastAsia="zh-CN"/>
        </w:rPr>
        <w:t>（二）专项预算管理。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涉及</w:t>
      </w:r>
      <w:r>
        <w:rPr>
          <w:rFonts w:hint="default" w:ascii="仿宋" w:hAnsi="仿宋" w:eastAsia="仿宋"/>
          <w:sz w:val="32"/>
          <w:szCs w:val="32"/>
          <w:lang w:val="en-US" w:eastAsia="zh-CN"/>
        </w:rPr>
        <w:t>常年项目</w:t>
      </w:r>
      <w:r>
        <w:rPr>
          <w:rFonts w:hint="default" w:ascii="仿宋" w:hAnsi="仿宋" w:eastAsia="仿宋"/>
          <w:sz w:val="32"/>
          <w:szCs w:val="32"/>
          <w:lang w:val="zh-CN" w:eastAsia="zh-CN"/>
        </w:rPr>
        <w:t>总数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2</w:t>
      </w:r>
      <w:r>
        <w:rPr>
          <w:rFonts w:hint="default" w:ascii="仿宋" w:hAnsi="仿宋" w:eastAsia="仿宋"/>
          <w:sz w:val="32"/>
          <w:szCs w:val="32"/>
          <w:lang w:val="zh-CN" w:eastAsia="zh-CN"/>
        </w:rPr>
        <w:t>个，涉及预算总金额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102.64</w:t>
      </w:r>
      <w:r>
        <w:rPr>
          <w:rFonts w:hint="default" w:ascii="仿宋" w:hAnsi="仿宋" w:eastAsia="仿宋"/>
          <w:sz w:val="32"/>
          <w:szCs w:val="32"/>
          <w:lang w:val="zh-CN" w:eastAsia="zh-CN"/>
        </w:rPr>
        <w:t>万元，1</w:t>
      </w:r>
      <w:r>
        <w:rPr>
          <w:rFonts w:hint="eastAsia" w:ascii="仿宋" w:hAnsi="仿宋" w:eastAsia="仿宋"/>
          <w:sz w:val="32"/>
          <w:szCs w:val="32"/>
          <w:lang w:val="zh-CN" w:eastAsia="zh-CN"/>
        </w:rPr>
        <w:t>—</w:t>
      </w:r>
      <w:r>
        <w:rPr>
          <w:rFonts w:hint="default" w:ascii="仿宋" w:hAnsi="仿宋" w:eastAsia="仿宋"/>
          <w:sz w:val="32"/>
          <w:szCs w:val="32"/>
          <w:lang w:val="zh-CN" w:eastAsia="zh-CN"/>
        </w:rPr>
        <w:t>1</w:t>
      </w:r>
      <w:r>
        <w:rPr>
          <w:rFonts w:hint="default" w:ascii="仿宋" w:hAnsi="仿宋" w:eastAsia="仿宋"/>
          <w:sz w:val="32"/>
          <w:szCs w:val="32"/>
          <w:lang w:val="en-US" w:eastAsia="zh-CN"/>
        </w:rPr>
        <w:t>2</w:t>
      </w:r>
      <w:r>
        <w:rPr>
          <w:rFonts w:hint="default" w:ascii="仿宋" w:hAnsi="仿宋" w:eastAsia="仿宋"/>
          <w:sz w:val="32"/>
          <w:szCs w:val="32"/>
          <w:lang w:val="zh-CN" w:eastAsia="zh-CN"/>
        </w:rPr>
        <w:t>月预算执行总体进度为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100</w:t>
      </w:r>
      <w:r>
        <w:rPr>
          <w:rFonts w:hint="default" w:ascii="仿宋" w:hAnsi="仿宋" w:eastAsia="仿宋"/>
          <w:sz w:val="32"/>
          <w:szCs w:val="32"/>
          <w:lang w:val="en-US" w:eastAsia="zh-CN"/>
        </w:rPr>
        <w:t xml:space="preserve"> </w:t>
      </w:r>
      <w:r>
        <w:rPr>
          <w:rFonts w:hint="default" w:ascii="仿宋" w:hAnsi="仿宋" w:eastAsia="仿宋"/>
          <w:sz w:val="32"/>
          <w:szCs w:val="32"/>
          <w:lang w:val="zh-CN" w:eastAsia="zh-CN"/>
        </w:rPr>
        <w:t>%，其中：预算结余率大于</w:t>
      </w:r>
      <w:r>
        <w:rPr>
          <w:rFonts w:hint="default" w:ascii="仿宋" w:hAnsi="仿宋" w:eastAsia="仿宋"/>
          <w:sz w:val="32"/>
          <w:szCs w:val="32"/>
          <w:lang w:val="en-US" w:eastAsia="zh-CN"/>
        </w:rPr>
        <w:t>10%</w:t>
      </w:r>
      <w:r>
        <w:rPr>
          <w:rFonts w:hint="default" w:ascii="仿宋" w:hAnsi="仿宋" w:eastAsia="仿宋"/>
          <w:sz w:val="32"/>
          <w:szCs w:val="32"/>
          <w:lang w:val="zh-CN" w:eastAsia="zh-CN"/>
        </w:rPr>
        <w:t>的项目共计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0</w:t>
      </w:r>
      <w:r>
        <w:rPr>
          <w:rFonts w:hint="default" w:ascii="仿宋" w:hAnsi="仿宋" w:eastAsia="仿宋"/>
          <w:sz w:val="32"/>
          <w:szCs w:val="32"/>
          <w:lang w:val="zh-CN" w:eastAsia="zh-CN"/>
        </w:rPr>
        <w:t>个。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一是</w:t>
      </w:r>
      <w:r>
        <w:rPr>
          <w:rFonts w:hint="eastAsia" w:ascii="仿宋" w:hAnsi="仿宋" w:eastAsia="仿宋"/>
          <w:sz w:val="32"/>
          <w:szCs w:val="32"/>
          <w:lang w:val="zh-CN" w:eastAsia="zh-CN"/>
        </w:rPr>
        <w:t>项目决策程序运用科学的方法，广泛收集各种信息，制定出合理合规合法的决策；二是人大会议、人大代表和人大工作者培训是每年都需进行的常规项目，属正常运转项目，都按照要求做好项目入库、事前评估等工作；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三是执行结果，黑水县第十四届人民代表大会第二次会议于2023年1月6日至10日在县文化交流中心召开，费用33.6万元。两月1次的常委会，1月1次的主任会议，费用25万元，会议费合计58.60万元。2023年是人大代表履职能力提升年，根据《黑水县人民代表大会常务委员会2023年工作要点》《2023年度黑水县县乡人大代表培训计划》的要求，为加强县乡人大代表和人大工作者的培训，切实提高县乡人大代表的履职能力和人大工作者服务水平。共举办人大代表和人大工作者培训3期，共计费用44.04万元。</w:t>
      </w:r>
    </w:p>
    <w:p>
      <w:pPr>
        <w:snapToGrid w:val="0"/>
        <w:spacing w:line="360" w:lineRule="auto"/>
        <w:ind w:firstLine="642" w:firstLineChars="200"/>
        <w:rPr>
          <w:rFonts w:hint="eastAsia" w:ascii="仿宋" w:hAnsi="仿宋" w:eastAsia="仿宋"/>
          <w:sz w:val="32"/>
          <w:szCs w:val="32"/>
          <w:lang w:val="en-US" w:eastAsia="zh-CN"/>
        </w:rPr>
      </w:pPr>
      <w:r>
        <w:rPr>
          <w:rFonts w:hint="eastAsia" w:ascii="仿宋" w:hAnsi="仿宋" w:eastAsia="仿宋"/>
          <w:b/>
          <w:bCs/>
          <w:sz w:val="32"/>
          <w:szCs w:val="32"/>
          <w:lang w:val="en-US" w:eastAsia="zh-CN"/>
        </w:rPr>
        <w:t>（三）结果应用情况。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2023年共计支出886.12万元，较上年减少260.06万元，同比减少22.69%。</w:t>
      </w:r>
    </w:p>
    <w:p>
      <w:pPr>
        <w:snapToGrid w:val="0"/>
        <w:spacing w:line="360" w:lineRule="auto"/>
        <w:ind w:firstLine="640" w:firstLineChars="200"/>
        <w:rPr>
          <w:rFonts w:hint="eastAsia" w:ascii="仿宋" w:hAnsi="仿宋" w:eastAsia="仿宋"/>
          <w:sz w:val="32"/>
          <w:szCs w:val="32"/>
          <w:lang w:val="en-US" w:eastAsia="zh-CN"/>
        </w:rPr>
      </w:pPr>
      <w:r>
        <w:rPr>
          <w:rFonts w:hint="eastAsia" w:ascii="仿宋" w:hAnsi="仿宋" w:eastAsia="仿宋"/>
          <w:sz w:val="32"/>
          <w:szCs w:val="32"/>
          <w:lang w:val="en-US" w:eastAsia="zh-CN"/>
        </w:rPr>
        <w:t>一般公共服务支出 657.25万元，比上年减少324.9万元，同比减少33.08%，原因是厉行节约。主要用于：人大常委会机关人员工资、退休费、赡养费、工伤保险、失业保险、车辆运行费、差旅费、会议费、培训费等日常运转经费支出，提高了人大常委会机关的有效运转。</w:t>
      </w:r>
    </w:p>
    <w:p>
      <w:pPr>
        <w:snapToGrid w:val="0"/>
        <w:spacing w:line="360" w:lineRule="auto"/>
        <w:ind w:firstLine="640" w:firstLineChars="200"/>
        <w:rPr>
          <w:rFonts w:hint="default" w:ascii="仿宋" w:hAnsi="仿宋" w:eastAsia="仿宋"/>
          <w:sz w:val="32"/>
          <w:szCs w:val="32"/>
          <w:lang w:val="en-US" w:eastAsia="zh-CN"/>
        </w:rPr>
      </w:pPr>
      <w:r>
        <w:rPr>
          <w:rFonts w:hint="eastAsia" w:ascii="仿宋" w:hAnsi="仿宋" w:eastAsia="仿宋"/>
          <w:sz w:val="32"/>
          <w:szCs w:val="32"/>
          <w:lang w:val="en-US" w:eastAsia="zh-CN"/>
        </w:rPr>
        <w:t>教育支出44.04万元，比上年增加44.04万元，同比增长100%，保障人大代表和人大工作者的培训。</w:t>
      </w:r>
    </w:p>
    <w:p>
      <w:pPr>
        <w:snapToGrid w:val="0"/>
        <w:spacing w:line="360" w:lineRule="auto"/>
        <w:ind w:firstLine="640" w:firstLineChars="200"/>
        <w:rPr>
          <w:rFonts w:hint="eastAsia" w:ascii="仿宋" w:hAnsi="仿宋" w:eastAsia="仿宋"/>
          <w:sz w:val="32"/>
          <w:szCs w:val="32"/>
          <w:lang w:val="en-US" w:eastAsia="zh-CN"/>
        </w:rPr>
      </w:pPr>
      <w:r>
        <w:rPr>
          <w:rFonts w:hint="eastAsia" w:ascii="仿宋" w:hAnsi="仿宋" w:eastAsia="仿宋"/>
          <w:sz w:val="32"/>
          <w:szCs w:val="32"/>
          <w:lang w:val="en-US" w:eastAsia="zh-CN"/>
        </w:rPr>
        <w:t>社会保障和就业支出94.66万元，比上年增加11.97万元，同比增长14.48%，保障机关事业单位工作人员退休后的生活、促进人力资源合理流动具有重要意义。</w:t>
      </w:r>
    </w:p>
    <w:p>
      <w:pPr>
        <w:snapToGrid w:val="0"/>
        <w:spacing w:line="360" w:lineRule="auto"/>
        <w:ind w:firstLine="640" w:firstLineChars="200"/>
        <w:rPr>
          <w:rFonts w:hint="eastAsia" w:ascii="仿宋" w:hAnsi="仿宋" w:eastAsia="仿宋"/>
          <w:sz w:val="32"/>
          <w:szCs w:val="32"/>
          <w:lang w:val="en-US" w:eastAsia="zh-CN"/>
        </w:rPr>
      </w:pPr>
      <w:r>
        <w:rPr>
          <w:rFonts w:hint="eastAsia" w:ascii="仿宋" w:hAnsi="仿宋" w:eastAsia="仿宋"/>
          <w:sz w:val="32"/>
          <w:szCs w:val="32"/>
          <w:lang w:val="en-US" w:eastAsia="zh-CN"/>
        </w:rPr>
        <w:t>行政单位医疗支出41.78万元，比上年增加7.16万元，同比增加20.68%。主要用于：人大常委会机关按照规定标准为职工缴纳的基本医疗保险。</w:t>
      </w:r>
    </w:p>
    <w:p>
      <w:pPr>
        <w:snapToGrid w:val="0"/>
        <w:spacing w:line="360" w:lineRule="auto"/>
        <w:ind w:firstLine="640" w:firstLineChars="200"/>
        <w:rPr>
          <w:rFonts w:hint="eastAsia" w:ascii="仿宋" w:hAnsi="仿宋" w:eastAsia="仿宋"/>
          <w:sz w:val="32"/>
          <w:szCs w:val="32"/>
          <w:lang w:val="en-US" w:eastAsia="zh-CN"/>
        </w:rPr>
      </w:pPr>
      <w:r>
        <w:rPr>
          <w:rFonts w:hint="eastAsia" w:ascii="仿宋" w:hAnsi="仿宋" w:eastAsia="仿宋"/>
          <w:sz w:val="32"/>
          <w:szCs w:val="32"/>
          <w:lang w:val="en-US" w:eastAsia="zh-CN"/>
        </w:rPr>
        <w:t>住房公积金支出48.39万元，比上年增加1.68万元，同比增长3.59%。主要用于：人大常委会机关按照规定标准为职工缴纳住房公积金支出。</w:t>
      </w:r>
    </w:p>
    <w:p>
      <w:pPr>
        <w:snapToGrid w:val="0"/>
        <w:spacing w:line="360" w:lineRule="auto"/>
        <w:ind w:firstLine="642" w:firstLineChars="200"/>
        <w:rPr>
          <w:rFonts w:hint="eastAsia" w:ascii="仿宋" w:hAnsi="仿宋" w:eastAsia="仿宋"/>
          <w:b/>
          <w:bCs/>
          <w:sz w:val="32"/>
          <w:szCs w:val="32"/>
          <w:lang w:val="en-US" w:eastAsia="zh-CN"/>
        </w:rPr>
      </w:pPr>
      <w:r>
        <w:rPr>
          <w:rFonts w:hint="eastAsia" w:ascii="仿宋" w:hAnsi="仿宋" w:eastAsia="仿宋"/>
          <w:b/>
          <w:bCs/>
          <w:sz w:val="32"/>
          <w:szCs w:val="32"/>
          <w:lang w:val="en-US" w:eastAsia="zh-CN"/>
        </w:rPr>
        <w:t>四、评价结论及建议</w:t>
      </w:r>
    </w:p>
    <w:p>
      <w:pPr>
        <w:snapToGrid w:val="0"/>
        <w:spacing w:line="360" w:lineRule="auto"/>
        <w:ind w:firstLine="642" w:firstLineChars="200"/>
        <w:rPr>
          <w:rFonts w:hint="eastAsia" w:ascii="仿宋" w:hAnsi="仿宋" w:eastAsia="仿宋"/>
          <w:sz w:val="32"/>
          <w:szCs w:val="32"/>
          <w:lang w:val="en-US" w:eastAsia="zh-CN"/>
        </w:rPr>
      </w:pPr>
      <w:r>
        <w:rPr>
          <w:rFonts w:hint="eastAsia" w:ascii="仿宋" w:hAnsi="仿宋" w:eastAsia="仿宋"/>
          <w:b/>
          <w:bCs/>
          <w:sz w:val="32"/>
          <w:szCs w:val="32"/>
          <w:lang w:val="en-US" w:eastAsia="zh-CN"/>
        </w:rPr>
        <w:t>（一）评价结论。</w:t>
      </w:r>
      <w:r>
        <w:rPr>
          <w:rFonts w:hint="eastAsia" w:ascii="仿宋" w:hAnsi="仿宋" w:eastAsia="仿宋"/>
          <w:sz w:val="32"/>
          <w:szCs w:val="32"/>
          <w:lang w:val="zh-CN" w:eastAsia="zh-CN"/>
        </w:rPr>
        <w:t>20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23</w:t>
      </w:r>
      <w:r>
        <w:rPr>
          <w:rFonts w:hint="eastAsia" w:ascii="仿宋" w:hAnsi="仿宋" w:eastAsia="仿宋"/>
          <w:sz w:val="32"/>
          <w:szCs w:val="32"/>
          <w:lang w:val="zh-CN" w:eastAsia="zh-CN"/>
        </w:rPr>
        <w:t>年我办加强财务工作管理，严格财经纪律，在总结经验的基础上改进工作的方式方法，做好工作创新，保证了我办20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23</w:t>
      </w:r>
      <w:r>
        <w:rPr>
          <w:rFonts w:hint="eastAsia" w:ascii="仿宋" w:hAnsi="仿宋" w:eastAsia="仿宋"/>
          <w:sz w:val="32"/>
          <w:szCs w:val="32"/>
          <w:lang w:val="zh-CN" w:eastAsia="zh-CN"/>
        </w:rPr>
        <w:t>年的各项工作能够顺利开展。</w:t>
      </w:r>
    </w:p>
    <w:p>
      <w:pPr>
        <w:snapToGrid w:val="0"/>
        <w:spacing w:line="360" w:lineRule="auto"/>
        <w:ind w:firstLine="642" w:firstLineChars="200"/>
        <w:rPr>
          <w:rFonts w:hint="eastAsia" w:ascii="仿宋" w:hAnsi="仿宋" w:eastAsia="仿宋"/>
          <w:sz w:val="32"/>
          <w:szCs w:val="32"/>
          <w:lang w:val="en-US" w:eastAsia="zh-CN"/>
        </w:rPr>
      </w:pPr>
      <w:r>
        <w:rPr>
          <w:rFonts w:hint="eastAsia" w:ascii="仿宋" w:hAnsi="仿宋" w:eastAsia="仿宋"/>
          <w:b/>
          <w:bCs/>
          <w:sz w:val="32"/>
          <w:szCs w:val="32"/>
          <w:lang w:val="en-US" w:eastAsia="zh-CN"/>
        </w:rPr>
        <w:t>（二）存在问题。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绩效目标制定不够完善，预算编制不够科学合理。</w:t>
      </w:r>
    </w:p>
    <w:p>
      <w:pPr>
        <w:snapToGrid w:val="0"/>
        <w:spacing w:line="360" w:lineRule="auto"/>
        <w:ind w:firstLine="642" w:firstLineChars="200"/>
        <w:rPr>
          <w:rFonts w:hint="eastAsia" w:ascii="仿宋" w:hAnsi="仿宋" w:eastAsia="仿宋"/>
          <w:sz w:val="32"/>
          <w:szCs w:val="32"/>
          <w:lang w:val="zh-CN" w:eastAsia="zh-CN"/>
        </w:rPr>
      </w:pPr>
      <w:r>
        <w:rPr>
          <w:rFonts w:hint="eastAsia" w:ascii="仿宋" w:hAnsi="仿宋" w:eastAsia="仿宋"/>
          <w:b/>
          <w:bCs/>
          <w:sz w:val="32"/>
          <w:szCs w:val="32"/>
          <w:lang w:val="en-US" w:eastAsia="zh-CN"/>
        </w:rPr>
        <w:t>（三）改进建议。</w:t>
      </w:r>
      <w:r>
        <w:rPr>
          <w:rFonts w:hint="eastAsia" w:ascii="仿宋" w:hAnsi="仿宋" w:eastAsia="仿宋"/>
          <w:sz w:val="32"/>
          <w:szCs w:val="32"/>
          <w:lang w:val="zh-CN" w:eastAsia="zh-CN"/>
        </w:rPr>
        <w:t>进一步完善绩效目标填报工作，强化绩效指标实用性。绩效目标是整个预算绩效管理的起点，与部门履职效率形成直接关系，在接下来工作中，严格按照经济性、效率性及效益性原则设置对应指标，提高绩效指标实用性。认真履行预算编报要求，提高预算编报的科学性。严格按照相关预算编报文件要求，结合近年来执行情况，合理编制各项预算，提高预算的科学性和准确性。</w:t>
      </w:r>
    </w:p>
    <w:p>
      <w:pPr>
        <w:snapToGrid w:val="0"/>
        <w:spacing w:line="360" w:lineRule="auto"/>
        <w:ind w:firstLine="640" w:firstLineChars="200"/>
        <w:rPr>
          <w:rFonts w:hint="eastAsia" w:ascii="仿宋" w:hAnsi="仿宋" w:eastAsia="仿宋"/>
          <w:sz w:val="32"/>
          <w:szCs w:val="32"/>
          <w:lang w:val="en-US" w:eastAsia="zh-CN"/>
        </w:rPr>
      </w:pPr>
    </w:p>
    <w:p>
      <w:pPr>
        <w:snapToGrid w:val="0"/>
        <w:spacing w:line="360" w:lineRule="auto"/>
        <w:ind w:firstLine="640" w:firstLineChars="200"/>
        <w:rPr>
          <w:rFonts w:hint="eastAsia" w:ascii="仿宋" w:hAnsi="仿宋" w:eastAsia="仿宋"/>
          <w:sz w:val="32"/>
          <w:szCs w:val="32"/>
          <w:lang w:val="en-US" w:eastAsia="zh-CN"/>
        </w:rPr>
      </w:pPr>
    </w:p>
    <w:p>
      <w:pPr>
        <w:snapToGrid w:val="0"/>
        <w:spacing w:line="360" w:lineRule="auto"/>
        <w:ind w:firstLine="640" w:firstLineChars="200"/>
        <w:jc w:val="right"/>
        <w:rPr>
          <w:rFonts w:hint="default" w:ascii="仿宋" w:hAnsi="仿宋" w:eastAsia="仿宋"/>
          <w:sz w:val="32"/>
          <w:szCs w:val="32"/>
          <w:lang w:val="en-US" w:eastAsia="zh-CN"/>
        </w:rPr>
      </w:pPr>
      <w:r>
        <w:rPr>
          <w:rFonts w:hint="eastAsia" w:ascii="仿宋" w:hAnsi="仿宋" w:eastAsia="仿宋"/>
          <w:sz w:val="32"/>
          <w:szCs w:val="32"/>
          <w:lang w:val="en-US" w:eastAsia="zh-CN"/>
        </w:rPr>
        <w:t>2024年9月26日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01"/>
    <w:family w:val="swiss"/>
    <w:pitch w:val="default"/>
    <w:sig w:usb0="00000000" w:usb1="00000000" w:usb2="00000009" w:usb3="00000000" w:csb0="400001FF" w:csb1="FFFF0000"/>
  </w:font>
  <w:font w:name="宋体">
    <w:altName w:val="方正书宋_GBK"/>
    <w:panose1 w:val="02010600030101010101"/>
    <w:charset w:val="7A"/>
    <w:family w:val="auto"/>
    <w:pitch w:val="default"/>
    <w:sig w:usb0="00000000" w:usb1="0000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仿宋">
    <w:altName w:val="方正仿宋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YTFhM2IzOGQ0NGYzZmZjNWY3ZDYyMzZjMTI0ZWM5ZTQifQ=="/>
  </w:docVars>
  <w:rsids>
    <w:rsidRoot w:val="00491B22"/>
    <w:rsid w:val="00291808"/>
    <w:rsid w:val="00491B22"/>
    <w:rsid w:val="0052390C"/>
    <w:rsid w:val="006B6D1F"/>
    <w:rsid w:val="00D04E5E"/>
    <w:rsid w:val="01055032"/>
    <w:rsid w:val="01DC390D"/>
    <w:rsid w:val="022C0730"/>
    <w:rsid w:val="057C552B"/>
    <w:rsid w:val="06B31420"/>
    <w:rsid w:val="0717375D"/>
    <w:rsid w:val="08AE1E9F"/>
    <w:rsid w:val="0CA535B9"/>
    <w:rsid w:val="0DCB704F"/>
    <w:rsid w:val="10F468BD"/>
    <w:rsid w:val="127A1044"/>
    <w:rsid w:val="13E7095B"/>
    <w:rsid w:val="199F6E82"/>
    <w:rsid w:val="1A9A2283"/>
    <w:rsid w:val="1B1A1616"/>
    <w:rsid w:val="1CD20489"/>
    <w:rsid w:val="1FE3647B"/>
    <w:rsid w:val="20280331"/>
    <w:rsid w:val="22EC555B"/>
    <w:rsid w:val="232F19D7"/>
    <w:rsid w:val="271B474C"/>
    <w:rsid w:val="27A504B9"/>
    <w:rsid w:val="2A905C71"/>
    <w:rsid w:val="2C2B4EAC"/>
    <w:rsid w:val="300761B5"/>
    <w:rsid w:val="334E7C57"/>
    <w:rsid w:val="34EB1F43"/>
    <w:rsid w:val="3619454C"/>
    <w:rsid w:val="36435EC2"/>
    <w:rsid w:val="36575075"/>
    <w:rsid w:val="36CE5337"/>
    <w:rsid w:val="382611A3"/>
    <w:rsid w:val="38824072"/>
    <w:rsid w:val="3CB925E5"/>
    <w:rsid w:val="3D14529E"/>
    <w:rsid w:val="41E33B7F"/>
    <w:rsid w:val="42393649"/>
    <w:rsid w:val="434A21E9"/>
    <w:rsid w:val="43B43B06"/>
    <w:rsid w:val="43FD725B"/>
    <w:rsid w:val="46164604"/>
    <w:rsid w:val="46B1257F"/>
    <w:rsid w:val="46BA7686"/>
    <w:rsid w:val="4846543F"/>
    <w:rsid w:val="4CAE37E9"/>
    <w:rsid w:val="4D4E0B28"/>
    <w:rsid w:val="4DA22C22"/>
    <w:rsid w:val="4DD97D2F"/>
    <w:rsid w:val="4E5C7274"/>
    <w:rsid w:val="4F041DE6"/>
    <w:rsid w:val="4F5A37B4"/>
    <w:rsid w:val="4FAB400F"/>
    <w:rsid w:val="50514E64"/>
    <w:rsid w:val="513D3ABD"/>
    <w:rsid w:val="515661FD"/>
    <w:rsid w:val="53D84283"/>
    <w:rsid w:val="54DE4E87"/>
    <w:rsid w:val="56440D1A"/>
    <w:rsid w:val="5ADB706E"/>
    <w:rsid w:val="5C361105"/>
    <w:rsid w:val="5C4F21C6"/>
    <w:rsid w:val="5C844566"/>
    <w:rsid w:val="5CB52971"/>
    <w:rsid w:val="60123C37"/>
    <w:rsid w:val="60D032A5"/>
    <w:rsid w:val="61842912"/>
    <w:rsid w:val="64ED07CF"/>
    <w:rsid w:val="6502427A"/>
    <w:rsid w:val="676F196F"/>
    <w:rsid w:val="697E40EB"/>
    <w:rsid w:val="6A050368"/>
    <w:rsid w:val="6AE306AA"/>
    <w:rsid w:val="6CBF0CA2"/>
    <w:rsid w:val="6F1F1ECC"/>
    <w:rsid w:val="709B37D5"/>
    <w:rsid w:val="753F29A5"/>
    <w:rsid w:val="777A2FB3"/>
    <w:rsid w:val="799528DD"/>
    <w:rsid w:val="7CAD6D69"/>
    <w:rsid w:val="7D230DDA"/>
    <w:rsid w:val="7D7FD9C9"/>
    <w:rsid w:val="7E851D4C"/>
    <w:rsid w:val="7EF56FBB"/>
    <w:rsid w:val="7F9935D5"/>
    <w:rsid w:val="ED9D1E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qFormat="1" w:unhideWhenUsed="0" w:uiPriority="0" w:semiHidden="0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able of figures"/>
    <w:basedOn w:val="1"/>
    <w:next w:val="1"/>
    <w:qFormat/>
    <w:uiPriority w:val="0"/>
    <w:pPr>
      <w:ind w:leftChars="200" w:hanging="200" w:hangingChars="200"/>
    </w:pPr>
  </w:style>
  <w:style w:type="paragraph" w:styleId="3">
    <w:name w:val="footer"/>
    <w:basedOn w:val="1"/>
    <w:link w:val="8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4">
    <w:name w:val="header"/>
    <w:basedOn w:val="1"/>
    <w:link w:val="7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7">
    <w:name w:val="页眉 Char"/>
    <w:basedOn w:val="6"/>
    <w:link w:val="4"/>
    <w:semiHidden/>
    <w:qFormat/>
    <w:uiPriority w:val="99"/>
    <w:rPr>
      <w:sz w:val="18"/>
      <w:szCs w:val="18"/>
    </w:rPr>
  </w:style>
  <w:style w:type="character" w:customStyle="1" w:styleId="8">
    <w:name w:val="页脚 Char"/>
    <w:basedOn w:val="6"/>
    <w:link w:val="3"/>
    <w:semiHidden/>
    <w:qFormat/>
    <w:uiPriority w:val="99"/>
    <w:rPr>
      <w:sz w:val="18"/>
      <w:szCs w:val="18"/>
    </w:rPr>
  </w:style>
  <w:style w:type="character" w:customStyle="1" w:styleId="9">
    <w:name w:val="19"/>
    <w:basedOn w:val="6"/>
    <w:qFormat/>
    <w:uiPriority w:val="0"/>
    <w:rPr>
      <w:rFonts w:hint="default" w:ascii="Times New Roman" w:hAnsi="Times New Roman" w:cs="Times New Roman"/>
      <w:color w:val="0000FF"/>
      <w:u w:val="single"/>
    </w:rPr>
  </w:style>
  <w:style w:type="paragraph" w:customStyle="1" w:styleId="10">
    <w:name w:val="普通(网站) Char"/>
    <w:basedOn w:val="1"/>
    <w:qFormat/>
    <w:uiPriority w:val="0"/>
    <w:pPr>
      <w:spacing w:before="100" w:beforeAutospacing="1" w:after="100" w:afterAutospacing="1"/>
    </w:pPr>
  </w:style>
  <w:style w:type="character" w:customStyle="1" w:styleId="11">
    <w:name w:val="22"/>
    <w:basedOn w:val="6"/>
    <w:qFormat/>
    <w:uiPriority w:val="0"/>
    <w:rPr>
      <w:rFonts w:hint="default" w:ascii="Times New Roman" w:hAnsi="Times New Roman" w:cs="Times New Roman"/>
      <w:b/>
    </w:rPr>
  </w:style>
  <w:style w:type="paragraph" w:customStyle="1" w:styleId="12">
    <w:name w:val="NormalIndent"/>
    <w:next w:val="4"/>
    <w:qFormat/>
    <w:uiPriority w:val="0"/>
    <w:pPr>
      <w:widowControl w:val="0"/>
      <w:ind w:firstLine="200" w:firstLineChars="200"/>
      <w:jc w:val="both"/>
    </w:pPr>
    <w:rPr>
      <w:rFonts w:ascii="Times New Roman" w:hAnsi="Times New Roman" w:eastAsia="仿宋_GB2312" w:cs="Times New Roman"/>
      <w:kern w:val="2"/>
      <w:sz w:val="32"/>
      <w:szCs w:val="3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hart" Target="charts/chart2.xml"/><Relationship Id="rId4" Type="http://schemas.openxmlformats.org/officeDocument/2006/relationships/chart" Target="charts/chart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charts/_rels/chart1.xml.rels><?xml version="1.0" encoding="UTF-8" standalone="yes"?>
<Relationships xmlns="http://schemas.openxmlformats.org/package/2006/relationships"><Relationship Id="rId3" Type="http://schemas.microsoft.com/office/2011/relationships/chartColorStyle" Target="colors2.xml"/><Relationship Id="rId2" Type="http://schemas.microsoft.com/office/2011/relationships/chartStyle" Target="style2.xml"/><Relationship Id="rId1" Type="http://schemas.openxmlformats.org/officeDocument/2006/relationships/oleObject" Target="file:///C:\Users\Administrator\Desktop\Book1.xlsx" TargetMode="External"/></Relationships>
</file>

<file path=word/charts/_rels/chart2.xml.rels><?xml version="1.0" encoding="UTF-8" standalone="yes"?>
<Relationships xmlns="http://schemas.openxmlformats.org/package/2006/relationships"><Relationship Id="rId3" Type="http://schemas.microsoft.com/office/2011/relationships/chartColorStyle" Target="colors1.xml"/><Relationship Id="rId2" Type="http://schemas.microsoft.com/office/2011/relationships/chartStyle" Target="style1.xml"/><Relationship Id="rId1" Type="http://schemas.openxmlformats.org/officeDocument/2006/relationships/oleObject" Target="file:///C:\Users\Administrator\Desktop\Book1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zh-C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0" vertOverflow="ellipsis" vert="horz" wrap="square" anchor="ctr" anchorCtr="1"/>
          <a:lstStyle/>
          <a:p>
            <a:pPr defTabSz="914400">
              <a:defRPr lang="zh-CN" sz="1400" b="1" i="0" u="none" strike="noStrike" kern="1200" baseline="0">
                <a:solidFill>
                  <a:srgbClr val="404040">
                    <a:lumMod val="75000"/>
                    <a:lumOff val="25000"/>
                  </a:srgbClr>
                </a:solidFill>
                <a:latin typeface="+mn-lt"/>
                <a:ea typeface="+mn-ea"/>
                <a:cs typeface="+mn-cs"/>
              </a:defRPr>
            </a:pPr>
            <a:r>
              <a:t>收入支出执行情况与上年对比</a:t>
            </a:r>
          </a:p>
        </c:rich>
      </c:tx>
      <c:layout/>
      <c:overlay val="0"/>
      <c:spPr>
        <a:noFill/>
        <a:ln>
          <a:noFill/>
        </a:ln>
        <a:effectLst/>
      </c:sp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spPr>
            <a:solidFill>
              <a:srgbClr val="4F81BD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zh-CN" sz="1000" b="0" i="0" u="none" strike="noStrike" kern="1200" baseline="0">
                    <a:solidFill>
                      <a:srgbClr val="404040">
                        <a:lumMod val="75000"/>
                        <a:lumOff val="25000"/>
                      </a:srgbClr>
                    </a:solidFill>
                    <a:latin typeface="+mn-lt"/>
                    <a:ea typeface="+mn-ea"/>
                    <a:cs typeface="+mn-cs"/>
                  </a:defRPr>
                </a:pPr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layout/>
                <c15:showLeaderLines val="1"/>
                <c15:leaderLines>
                  <c:spPr>
                    <a:ln w="9525" cap="flat" cmpd="sng" algn="ctr">
                      <a:solidFill>
                        <a:srgbClr val="A6A6A6">
                          <a:lumMod val="35000"/>
                          <a:lumOff val="65000"/>
                        </a:srgb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[Book1.xlsx]Sheet9!$A$1:$A$4</c:f>
              <c:strCache>
                <c:ptCount val="4"/>
                <c:pt idx="0">
                  <c:v>2022年收入执行情况</c:v>
                </c:pt>
                <c:pt idx="1">
                  <c:v>2022年支出执行情况</c:v>
                </c:pt>
                <c:pt idx="2">
                  <c:v>2023年收入执行情况</c:v>
                </c:pt>
                <c:pt idx="3">
                  <c:v>2023年支出执行情况</c:v>
                </c:pt>
              </c:strCache>
            </c:strRef>
          </c:cat>
          <c:val>
            <c:numRef>
              <c:f>[Book1.xlsx]Sheet9!$B$1:$B$4</c:f>
              <c:numCache>
                <c:formatCode>General</c:formatCode>
                <c:ptCount val="4"/>
                <c:pt idx="0">
                  <c:v>789.11</c:v>
                </c:pt>
                <c:pt idx="1">
                  <c:v>789.11</c:v>
                </c:pt>
                <c:pt idx="2">
                  <c:v>886.12</c:v>
                </c:pt>
                <c:pt idx="3">
                  <c:v>886.12</c:v>
                </c:pt>
              </c:numCache>
            </c:numRef>
          </c:val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246"/>
        <c:overlap val="-28"/>
        <c:axId val="532171328"/>
        <c:axId val="635522217"/>
      </c:barChart>
      <c:catAx>
        <c:axId val="532171328"/>
        <c:scaling>
          <c:orientation val="minMax"/>
        </c:scaling>
        <c:delete val="0"/>
        <c:axPos val="b"/>
        <c:majorTickMark val="none"/>
        <c:minorTickMark val="none"/>
        <c:tickLblPos val="nextTo"/>
        <c:spPr>
          <a:noFill/>
          <a:ln w="9525" cap="flat" cmpd="sng" algn="ctr">
            <a:solidFill>
              <a:srgbClr val="D9D9D9">
                <a:lumMod val="15000"/>
                <a:lumOff val="85000"/>
              </a:srgbClr>
            </a:solidFill>
            <a:round/>
          </a:ln>
          <a:effectLst/>
        </c:spPr>
        <c:txPr>
          <a:bodyPr rot="-60000000" spcFirstLastPara="0" vertOverflow="ellipsis" vert="horz" wrap="square" anchor="ctr" anchorCtr="1"/>
          <a:lstStyle/>
          <a:p>
            <a:pPr>
              <a:defRPr lang="zh-CN" sz="900" b="0" i="0" u="none" strike="noStrike" kern="1200" baseline="0">
                <a:solidFill>
                  <a:srgbClr val="595959">
                    <a:lumMod val="65000"/>
                    <a:lumOff val="35000"/>
                  </a:srgbClr>
                </a:solidFill>
                <a:latin typeface="+mn-lt"/>
                <a:ea typeface="+mn-ea"/>
                <a:cs typeface="+mn-cs"/>
              </a:defRPr>
            </a:pPr>
          </a:p>
        </c:txPr>
        <c:crossAx val="635522217"/>
        <c:crosses val="autoZero"/>
        <c:auto val="1"/>
        <c:lblAlgn val="ctr"/>
        <c:lblOffset val="100"/>
        <c:noMultiLvlLbl val="0"/>
      </c:catAx>
      <c:valAx>
        <c:axId val="635522217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rgbClr val="E6E6E6">
                  <a:lumMod val="90200"/>
                </a:srgb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0" vertOverflow="ellipsis" vert="horz" wrap="square" anchor="ctr" anchorCtr="1"/>
          <a:lstStyle/>
          <a:p>
            <a:pPr>
              <a:defRPr lang="zh-CN" sz="900" b="0" i="0" u="none" strike="noStrike" kern="1200" baseline="0">
                <a:solidFill>
                  <a:srgbClr val="595959">
                    <a:lumMod val="65000"/>
                    <a:lumOff val="35000"/>
                  </a:srgbClr>
                </a:solidFill>
                <a:latin typeface="+mn-lt"/>
                <a:ea typeface="+mn-ea"/>
                <a:cs typeface="+mn-cs"/>
              </a:defRPr>
            </a:pPr>
          </a:p>
        </c:txPr>
        <c:crossAx val="532171328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layout/>
      <c:overlay val="0"/>
      <c:spPr>
        <a:noFill/>
        <a:ln>
          <a:noFill/>
        </a:ln>
        <a:effectLst/>
      </c:spPr>
      <c:txPr>
        <a:bodyPr rot="0" spcFirstLastPara="0" vertOverflow="ellipsis" vert="horz" wrap="square" anchor="ctr" anchorCtr="1"/>
        <a:lstStyle/>
        <a:p>
          <a:pPr>
            <a:defRPr lang="zh-CN" sz="900" b="0" i="0" u="none" strike="noStrike" kern="1200" baseline="0">
              <a:solidFill>
                <a:srgbClr val="595959">
                  <a:lumMod val="65000"/>
                  <a:lumOff val="35000"/>
                </a:srgbClr>
              </a:solidFill>
              <a:latin typeface="+mn-lt"/>
              <a:ea typeface="+mn-ea"/>
              <a:cs typeface="+mn-cs"/>
            </a:defRPr>
          </a:pPr>
        </a:p>
      </c:txPr>
    </c:legend>
    <c:plotVisOnly val="1"/>
    <c:dispBlanksAs val="gap"/>
    <c:showDLblsOverMax val="0"/>
  </c:chart>
  <c:spPr>
    <a:solidFill>
      <a:srgbClr val="FFFFFF"/>
    </a:solidFill>
    <a:ln w="9525" cap="flat" cmpd="sng" algn="ctr">
      <a:solidFill>
        <a:srgbClr val="D9D9D9">
          <a:lumMod val="15000"/>
          <a:lumOff val="85000"/>
        </a:srgbClr>
      </a:solidFill>
      <a:round/>
    </a:ln>
    <a:effectLst/>
  </c:spPr>
  <c:txPr>
    <a:bodyPr/>
    <a:lstStyle/>
    <a:p>
      <a:pPr>
        <a:defRPr lang="zh-CN"/>
      </a:pPr>
    </a:p>
  </c:txPr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zh-C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0" vertOverflow="ellipsis" vert="horz" wrap="square" anchor="ctr" anchorCtr="1"/>
          <a:lstStyle/>
          <a:p>
            <a:pPr defTabSz="914400">
              <a:defRPr lang="zh-CN" sz="1400" b="1" i="0" u="none" strike="noStrike" kern="1200" baseline="0">
                <a:solidFill>
                  <a:srgbClr val="404040">
                    <a:lumMod val="75000"/>
                    <a:lumOff val="25000"/>
                  </a:srgbClr>
                </a:solidFill>
                <a:latin typeface="+mn-lt"/>
                <a:ea typeface="+mn-ea"/>
                <a:cs typeface="+mn-cs"/>
              </a:defRPr>
            </a:pPr>
            <a:r>
              <a:t>收入支出执行情况与上年对比</a:t>
            </a:r>
          </a:p>
        </c:rich>
      </c:tx>
      <c:layout/>
      <c:overlay val="0"/>
      <c:spPr>
        <a:noFill/>
        <a:ln>
          <a:noFill/>
        </a:ln>
        <a:effectLst/>
      </c:sp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spPr>
            <a:solidFill>
              <a:srgbClr val="4F81BD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zh-CN" sz="1000" b="0" i="0" u="none" strike="noStrike" kern="1200" baseline="0">
                    <a:solidFill>
                      <a:srgbClr val="404040">
                        <a:lumMod val="75000"/>
                        <a:lumOff val="25000"/>
                      </a:srgbClr>
                    </a:solidFill>
                    <a:latin typeface="+mn-lt"/>
                    <a:ea typeface="+mn-ea"/>
                    <a:cs typeface="+mn-cs"/>
                  </a:defRPr>
                </a:pPr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layout/>
                <c15:showLeaderLines val="1"/>
                <c15:leaderLines>
                  <c:spPr>
                    <a:ln w="9525" cap="flat" cmpd="sng" algn="ctr">
                      <a:solidFill>
                        <a:srgbClr val="A6A6A6">
                          <a:lumMod val="35000"/>
                          <a:lumOff val="65000"/>
                        </a:srgb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[Book1.xlsx]Sheet9!$A$1:$A$4</c:f>
              <c:strCache>
                <c:ptCount val="4"/>
                <c:pt idx="0">
                  <c:v>2022年收入执行情况</c:v>
                </c:pt>
                <c:pt idx="1">
                  <c:v>2022年支出执行情况</c:v>
                </c:pt>
                <c:pt idx="2">
                  <c:v>2023年收入执行情况</c:v>
                </c:pt>
                <c:pt idx="3">
                  <c:v>2023年支出执行情况</c:v>
                </c:pt>
              </c:strCache>
            </c:strRef>
          </c:cat>
          <c:val>
            <c:numRef>
              <c:f>[Book1.xlsx]Sheet9!$B$1:$B$4</c:f>
              <c:numCache>
                <c:formatCode>General</c:formatCode>
                <c:ptCount val="4"/>
                <c:pt idx="0">
                  <c:v>789.11</c:v>
                </c:pt>
                <c:pt idx="1">
                  <c:v>789.11</c:v>
                </c:pt>
                <c:pt idx="2">
                  <c:v>886.12</c:v>
                </c:pt>
                <c:pt idx="3">
                  <c:v>886.12</c:v>
                </c:pt>
              </c:numCache>
            </c:numRef>
          </c:val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246"/>
        <c:overlap val="-28"/>
        <c:axId val="532171328"/>
        <c:axId val="635522217"/>
      </c:barChart>
      <c:catAx>
        <c:axId val="532171328"/>
        <c:scaling>
          <c:orientation val="minMax"/>
        </c:scaling>
        <c:delete val="0"/>
        <c:axPos val="b"/>
        <c:majorTickMark val="none"/>
        <c:minorTickMark val="none"/>
        <c:tickLblPos val="nextTo"/>
        <c:spPr>
          <a:noFill/>
          <a:ln w="9525" cap="flat" cmpd="sng" algn="ctr">
            <a:solidFill>
              <a:srgbClr val="D9D9D9">
                <a:lumMod val="15000"/>
                <a:lumOff val="85000"/>
              </a:srgbClr>
            </a:solidFill>
            <a:round/>
          </a:ln>
          <a:effectLst/>
        </c:spPr>
        <c:txPr>
          <a:bodyPr rot="-60000000" spcFirstLastPara="0" vertOverflow="ellipsis" vert="horz" wrap="square" anchor="ctr" anchorCtr="1"/>
          <a:lstStyle/>
          <a:p>
            <a:pPr>
              <a:defRPr lang="zh-CN" sz="900" b="0" i="0" u="none" strike="noStrike" kern="1200" baseline="0">
                <a:solidFill>
                  <a:srgbClr val="595959">
                    <a:lumMod val="65000"/>
                    <a:lumOff val="35000"/>
                  </a:srgbClr>
                </a:solidFill>
                <a:latin typeface="+mn-lt"/>
                <a:ea typeface="+mn-ea"/>
                <a:cs typeface="+mn-cs"/>
              </a:defRPr>
            </a:pPr>
          </a:p>
        </c:txPr>
        <c:crossAx val="635522217"/>
        <c:crosses val="autoZero"/>
        <c:auto val="1"/>
        <c:lblAlgn val="ctr"/>
        <c:lblOffset val="100"/>
        <c:noMultiLvlLbl val="0"/>
      </c:catAx>
      <c:valAx>
        <c:axId val="635522217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rgbClr val="E6E6E6">
                  <a:lumMod val="90200"/>
                </a:srgb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0" vertOverflow="ellipsis" vert="horz" wrap="square" anchor="ctr" anchorCtr="1"/>
          <a:lstStyle/>
          <a:p>
            <a:pPr>
              <a:defRPr lang="zh-CN" sz="900" b="0" i="0" u="none" strike="noStrike" kern="1200" baseline="0">
                <a:solidFill>
                  <a:srgbClr val="595959">
                    <a:lumMod val="65000"/>
                    <a:lumOff val="35000"/>
                  </a:srgbClr>
                </a:solidFill>
                <a:latin typeface="+mn-lt"/>
                <a:ea typeface="+mn-ea"/>
                <a:cs typeface="+mn-cs"/>
              </a:defRPr>
            </a:pPr>
          </a:p>
        </c:txPr>
        <c:crossAx val="532171328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layout/>
      <c:overlay val="0"/>
      <c:spPr>
        <a:noFill/>
        <a:ln>
          <a:noFill/>
        </a:ln>
        <a:effectLst/>
      </c:spPr>
      <c:txPr>
        <a:bodyPr rot="0" spcFirstLastPara="0" vertOverflow="ellipsis" vert="horz" wrap="square" anchor="ctr" anchorCtr="1"/>
        <a:lstStyle/>
        <a:p>
          <a:pPr>
            <a:defRPr lang="zh-CN" sz="900" b="0" i="0" u="none" strike="noStrike" kern="1200" baseline="0">
              <a:solidFill>
                <a:srgbClr val="595959">
                  <a:lumMod val="65000"/>
                  <a:lumOff val="35000"/>
                </a:srgbClr>
              </a:solidFill>
              <a:latin typeface="+mn-lt"/>
              <a:ea typeface="+mn-ea"/>
              <a:cs typeface="+mn-cs"/>
            </a:defRPr>
          </a:pPr>
        </a:p>
      </c:txPr>
    </c:legend>
    <c:plotVisOnly val="1"/>
    <c:dispBlanksAs val="gap"/>
    <c:showDLblsOverMax val="0"/>
  </c:chart>
  <c:spPr>
    <a:solidFill>
      <a:srgbClr val="FFFFFF"/>
    </a:solidFill>
    <a:ln w="9525" cap="flat" cmpd="sng" algn="ctr">
      <a:solidFill>
        <a:srgbClr val="D9D9D9">
          <a:lumMod val="15000"/>
          <a:lumOff val="85000"/>
        </a:srgbClr>
      </a:solidFill>
      <a:round/>
    </a:ln>
    <a:effectLst/>
  </c:spPr>
  <c:txPr>
    <a:bodyPr/>
    <a:lstStyle/>
    <a:p>
      <a:pPr>
        <a:defRPr lang="zh-CN"/>
      </a:pPr>
    </a:p>
  </c:txPr>
  <c:externalData r:id="rId1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rgbClr val="4F81BD"/>
  <a:srgbClr val="C0504D"/>
  <a:srgbClr val="9BBB59"/>
  <a:srgbClr val="8064A2"/>
  <a:srgbClr val="4BACC6"/>
  <a:srgbClr val="F7964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rgbClr val="4F81BD"/>
  <a:srgbClr val="C0504D"/>
  <a:srgbClr val="9BBB59"/>
  <a:srgbClr val="8064A2"/>
  <a:srgbClr val="4BACC6"/>
  <a:srgbClr val="F7964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10001">
  <cs:axisTitle>
    <cs:lnRef idx="0"/>
    <cs:fillRef idx="0"/>
    <cs:effectRef idx="0"/>
    <cs:fontRef idx="minor">
      <a:srgbClr val="595959">
        <a:lumMod val="65000"/>
        <a:lumOff val="35000"/>
      </a:srgbClr>
    </cs:fontRef>
    <cs:defRPr sz="1000" kern="1200"/>
  </cs:axisTitle>
  <cs:categoryAxis>
    <cs:lnRef idx="0"/>
    <cs:fillRef idx="0"/>
    <cs:effectRef idx="0"/>
    <cs:fontRef idx="minor">
      <a:srgbClr val="595959">
        <a:lumMod val="65000"/>
        <a:lumOff val="35000"/>
      </a:srgbClr>
    </cs:fontRef>
    <cs:spPr>
      <a:ln w="9525" cap="flat" cmpd="sng" algn="ctr">
        <a:solidFill>
          <a:srgbClr val="D9D9D9">
            <a:lumMod val="15000"/>
            <a:lumOff val="85000"/>
          </a:srgb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rgbClr val="000000"/>
    </cs:fontRef>
    <cs:spPr>
      <a:solidFill>
        <a:srgbClr val="FFFFFF"/>
      </a:solidFill>
      <a:ln w="9525" cap="flat" cmpd="sng" algn="ctr">
        <a:solidFill>
          <a:srgbClr val="D9D9D9">
            <a:lumMod val="15000"/>
            <a:lumOff val="85000"/>
          </a:srgbClr>
        </a:solidFill>
        <a:round/>
      </a:ln>
    </cs:spPr>
    <cs:defRPr sz="1000" kern="1200"/>
  </cs:chartArea>
  <cs:dataLabel>
    <cs:lnRef idx="0"/>
    <cs:fillRef idx="0"/>
    <cs:effectRef idx="0"/>
    <cs:fontRef idx="minor">
      <a:srgbClr val="404040">
        <a:lumMod val="75000"/>
        <a:lumOff val="25000"/>
      </a:srgbClr>
    </cs:fontRef>
    <cs:defRPr sz="1000" kern="1200"/>
  </cs:dataLabel>
  <cs:dataLabelCallout>
    <cs:lnRef idx="0"/>
    <cs:fillRef idx="0"/>
    <cs:effectRef idx="0"/>
    <cs:fontRef idx="minor">
      <a:srgbClr val="595959">
        <a:lumMod val="65000"/>
        <a:lumOff val="35000"/>
      </a:srgbClr>
    </cs:fontRef>
    <cs:spPr>
      <a:solidFill>
        <a:srgbClr val="FFFFFF"/>
      </a:solidFill>
      <a:ln>
        <a:solidFill>
          <a:srgbClr val="BFBFBF">
            <a:lumMod val="25000"/>
            <a:lumOff val="75000"/>
          </a:srgbClr>
        </a:solidFill>
      </a:ln>
    </cs:spPr>
    <cs:defRPr sz="10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>
      <cs:styleClr val="auto"/>
    </cs:lnRef>
    <cs:fillRef idx="1">
      <cs:styleClr val="auto"/>
    </cs:fillRef>
    <cs:effectRef idx="0"/>
    <cs:fontRef idx="minor">
      <a:srgbClr val="000000"/>
    </cs:fontRef>
    <cs:spPr>
      <a:ln>
        <a:noFill/>
      </a:ln>
      <a:effectLst/>
    </cs:spPr>
  </cs:dataPoint>
  <cs:dataPoint3D>
    <cs:lnRef idx="0"/>
    <cs:fillRef idx="1">
      <cs:styleClr val="auto"/>
    </cs:fillRef>
    <cs:effectRef idx="0"/>
    <cs:fontRef idx="minor">
      <a:srgbClr val="000000"/>
    </cs:fontRef>
  </cs:dataPoint3D>
  <cs:dataPointLine>
    <cs:lnRef idx="0">
      <cs:styleClr val="auto"/>
    </cs:lnRef>
    <cs:fillRef idx="1"/>
    <cs:effectRef idx="0"/>
    <cs:fontRef idx="minor">
      <a:srgbClr val="000000"/>
    </cs:fontRef>
    <cs:spPr>
      <a:ln w="28575" cap="rnd">
        <a:solidFill>
          <a:srgbClr val="FFFFFF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rgbClr val="000000"/>
    </cs:fontRef>
    <cs:spPr>
      <a:ln w="9525">
        <a:solidFill>
          <a:srgbClr val="FFFFFF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rgbClr val="000000"/>
    </cs:fontRef>
    <cs:spPr>
      <a:ln w="9525" cap="rnd">
        <a:solidFill>
          <a:srgbClr val="FFFFFF"/>
        </a:solidFill>
        <a:round/>
      </a:ln>
    </cs:spPr>
  </cs:dataPointWireframe>
  <cs:dataTable>
    <cs:lnRef idx="0"/>
    <cs:fillRef idx="0"/>
    <cs:effectRef idx="0"/>
    <cs:fontRef idx="minor">
      <a:srgbClr val="595959">
        <a:lumMod val="65000"/>
        <a:lumOff val="35000"/>
      </a:srgbClr>
    </cs:fontRef>
    <cs:spPr>
      <a:noFill/>
      <a:ln w="9525" cap="flat" cmpd="sng" algn="ctr">
        <a:solidFill>
          <a:srgbClr val="D9D9D9">
            <a:lumMod val="15000"/>
            <a:lumOff val="85000"/>
          </a:srgbClr>
        </a:solidFill>
        <a:round/>
      </a:ln>
    </cs:spPr>
    <cs:defRPr sz="900" kern="1200"/>
  </cs:dataTable>
  <cs:downBar>
    <cs:lnRef idx="0"/>
    <cs:fillRef idx="0"/>
    <cs:effectRef idx="0"/>
    <cs:fontRef idx="minor">
      <a:srgbClr val="000000"/>
    </cs:fontRef>
    <cs:spPr>
      <a:solidFill>
        <a:srgbClr val="595959">
          <a:lumMod val="65000"/>
          <a:lumOff val="35000"/>
        </a:srgbClr>
      </a:solidFill>
      <a:ln w="9525">
        <a:solidFill>
          <a:srgbClr val="595959">
            <a:lumMod val="65000"/>
            <a:lumOff val="35000"/>
          </a:srgbClr>
        </a:solidFill>
      </a:ln>
    </cs:spPr>
  </cs:downBar>
  <cs:dropLine>
    <cs:lnRef idx="0"/>
    <cs:fillRef idx="0"/>
    <cs:effectRef idx="0"/>
    <cs:fontRef idx="minor">
      <a:srgbClr val="000000"/>
    </cs:fontRef>
    <cs:spPr>
      <a:ln w="9525" cap="flat" cmpd="sng" algn="ctr">
        <a:solidFill>
          <a:srgbClr val="A6A6A6">
            <a:lumMod val="35000"/>
            <a:lumOff val="65000"/>
          </a:srgbClr>
        </a:solidFill>
        <a:round/>
      </a:ln>
    </cs:spPr>
  </cs:dropLine>
  <cs:errorBar>
    <cs:lnRef idx="0"/>
    <cs:fillRef idx="0"/>
    <cs:effectRef idx="0"/>
    <cs:fontRef idx="minor">
      <a:srgbClr val="000000"/>
    </cs:fontRef>
    <cs:spPr>
      <a:ln w="9525" cap="flat" cmpd="sng" algn="ctr">
        <a:solidFill>
          <a:srgbClr val="595959">
            <a:lumMod val="65000"/>
            <a:lumOff val="35000"/>
          </a:srgbClr>
        </a:solidFill>
        <a:round/>
      </a:ln>
    </cs:spPr>
  </cs:errorBar>
  <cs:floor>
    <cs:lnRef idx="0"/>
    <cs:fillRef idx="0"/>
    <cs:effectRef idx="0"/>
    <cs:fontRef idx="minor">
      <a:srgbClr val="000000"/>
    </cs:fontRef>
    <cs:spPr>
      <a:noFill/>
      <a:ln>
        <a:noFill/>
      </a:ln>
    </cs:spPr>
  </cs:floor>
  <cs:gridlineMajor>
    <cs:lnRef idx="0"/>
    <cs:fillRef idx="0"/>
    <cs:effectRef idx="0"/>
    <cs:fontRef idx="minor">
      <a:srgbClr val="000000"/>
    </cs:fontRef>
    <cs:spPr>
      <a:ln w="9525" cap="flat" cmpd="sng" algn="ctr">
        <a:solidFill>
          <a:srgbClr val="E6E6E6">
            <a:lumMod val="90200"/>
          </a:srgbClr>
        </a:solidFill>
        <a:round/>
      </a:ln>
    </cs:spPr>
  </cs:gridlineMajor>
  <cs:gridlineMinor>
    <cs:lnRef idx="0"/>
    <cs:fillRef idx="0"/>
    <cs:effectRef idx="0"/>
    <cs:fontRef idx="minor">
      <a:srgbClr val="000000"/>
    </cs:fontRef>
    <cs:spPr>
      <a:ln w="9525" cap="flat" cmpd="sng" algn="ctr">
        <a:solidFill>
          <a:srgbClr val="F2F2F2">
            <a:lumMod val="5000"/>
            <a:lumOff val="95000"/>
          </a:srgbClr>
        </a:solidFill>
        <a:round/>
      </a:ln>
    </cs:spPr>
  </cs:gridlineMinor>
  <cs:hiLoLine>
    <cs:lnRef idx="0"/>
    <cs:fillRef idx="0"/>
    <cs:effectRef idx="0"/>
    <cs:fontRef idx="minor">
      <a:srgbClr val="000000"/>
    </cs:fontRef>
    <cs:spPr>
      <a:ln w="9525" cap="flat" cmpd="sng" algn="ctr">
        <a:solidFill>
          <a:srgbClr val="404040">
            <a:lumMod val="75000"/>
            <a:lumOff val="25000"/>
          </a:srgbClr>
        </a:solidFill>
        <a:round/>
      </a:ln>
    </cs:spPr>
  </cs:hiLoLine>
  <cs:leaderLine>
    <cs:lnRef idx="0"/>
    <cs:fillRef idx="0"/>
    <cs:effectRef idx="0"/>
    <cs:fontRef idx="minor">
      <a:srgbClr val="000000"/>
    </cs:fontRef>
    <cs:spPr>
      <a:ln w="9525" cap="flat" cmpd="sng" algn="ctr">
        <a:solidFill>
          <a:srgbClr val="A6A6A6">
            <a:lumMod val="35000"/>
            <a:lumOff val="65000"/>
          </a:srgbClr>
        </a:solidFill>
        <a:round/>
      </a:ln>
    </cs:spPr>
  </cs:leaderLine>
  <cs:legend>
    <cs:lnRef idx="0"/>
    <cs:fillRef idx="0"/>
    <cs:effectRef idx="0"/>
    <cs:fontRef idx="minor">
      <a:srgbClr val="595959">
        <a:lumMod val="65000"/>
        <a:lumOff val="35000"/>
      </a:srgbClr>
    </cs:fontRef>
    <cs:defRPr sz="900" kern="1200"/>
  </cs:legend>
  <cs:plotArea mods="allowNoFillOverride allowNoLineOverride">
    <cs:lnRef idx="0"/>
    <cs:fillRef idx="0"/>
    <cs:effectRef idx="0"/>
    <cs:fontRef idx="minor">
      <a:srgbClr val="000000"/>
    </cs:fontRef>
  </cs:plotArea>
  <cs:plotArea3D mods="allowNoFillOverride allowNoLineOverride">
    <cs:lnRef idx="0"/>
    <cs:fillRef idx="0"/>
    <cs:effectRef idx="0"/>
    <cs:fontRef idx="minor">
      <a:srgbClr val="000000"/>
    </cs:fontRef>
  </cs:plotArea3D>
  <cs:seriesAxis>
    <cs:lnRef idx="0"/>
    <cs:fillRef idx="0"/>
    <cs:effectRef idx="0"/>
    <cs:fontRef idx="minor">
      <a:srgbClr val="595959">
        <a:lumMod val="65000"/>
        <a:lumOff val="35000"/>
      </a:srgbClr>
    </cs:fontRef>
    <cs:defRPr sz="900" kern="1200"/>
  </cs:seriesAxis>
  <cs:seriesLine>
    <cs:lnRef idx="0"/>
    <cs:fillRef idx="0"/>
    <cs:effectRef idx="0"/>
    <cs:fontRef idx="minor">
      <a:srgbClr val="000000"/>
    </cs:fontRef>
    <cs:spPr>
      <a:ln w="9525" cap="flat" cmpd="sng" algn="ctr">
        <a:solidFill>
          <a:srgbClr val="A6A6A6">
            <a:lumMod val="35000"/>
            <a:lumOff val="65000"/>
          </a:srgbClr>
        </a:solidFill>
        <a:round/>
      </a:ln>
    </cs:spPr>
  </cs:seriesLine>
  <cs:title>
    <cs:lnRef idx="0"/>
    <cs:fillRef idx="0"/>
    <cs:effectRef idx="0"/>
    <cs:fontRef idx="minor">
      <a:srgbClr val="404040">
        <a:lumMod val="75000"/>
        <a:lumOff val="25000"/>
      </a:srgbClr>
    </cs:fontRef>
    <cs:defRPr sz="1400" b="1" kern="1200" baseline="0"/>
  </cs:title>
  <cs:trendline>
    <cs:lnRef idx="0">
      <cs:styleClr val="auto"/>
    </cs:lnRef>
    <cs:fillRef idx="0"/>
    <cs:effectRef idx="0"/>
    <cs:fontRef idx="minor">
      <a:srgbClr val="000000"/>
    </cs:fontRef>
    <cs:spPr>
      <a:ln w="19050" cap="rnd">
        <a:solidFill>
          <a:srgbClr val="FFFFFF"/>
        </a:solidFill>
        <a:prstDash val="sysDot"/>
      </a:ln>
    </cs:spPr>
  </cs:trendline>
  <cs:trendlineLabel>
    <cs:lnRef idx="0"/>
    <cs:fillRef idx="0"/>
    <cs:effectRef idx="0"/>
    <cs:fontRef idx="minor">
      <a:srgbClr val="595959">
        <a:lumMod val="65000"/>
        <a:lumOff val="35000"/>
      </a:srgbClr>
    </cs:fontRef>
    <cs:defRPr sz="900" kern="1200"/>
  </cs:trendlineLabel>
  <cs:upBar>
    <cs:lnRef idx="0"/>
    <cs:fillRef idx="0"/>
    <cs:effectRef idx="0"/>
    <cs:fontRef idx="minor">
      <a:srgbClr val="000000"/>
    </cs:fontRef>
    <cs:spPr>
      <a:solidFill>
        <a:srgbClr val="FFFFFF"/>
      </a:solidFill>
      <a:ln w="9525">
        <a:solidFill>
          <a:srgbClr val="D9D9D9">
            <a:lumMod val="15000"/>
            <a:lumOff val="85000"/>
          </a:srgbClr>
        </a:solidFill>
      </a:ln>
    </cs:spPr>
  </cs:upBar>
  <cs:valueAxis>
    <cs:lnRef idx="0"/>
    <cs:fillRef idx="0"/>
    <cs:effectRef idx="0"/>
    <cs:fontRef idx="minor">
      <a:srgbClr val="595959">
        <a:lumMod val="65000"/>
        <a:lumOff val="35000"/>
      </a:srgbClr>
    </cs:fontRef>
    <cs:defRPr sz="900" kern="1200"/>
  </cs:valueAxis>
  <cs:wall>
    <cs:lnRef idx="0"/>
    <cs:fillRef idx="0"/>
    <cs:effectRef idx="0"/>
    <cs:fontRef idx="minor">
      <a:srgbClr val="000000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10001">
  <cs:axisTitle>
    <cs:lnRef idx="0"/>
    <cs:fillRef idx="0"/>
    <cs:effectRef idx="0"/>
    <cs:fontRef idx="minor">
      <a:srgbClr val="595959">
        <a:lumMod val="65000"/>
        <a:lumOff val="35000"/>
      </a:srgbClr>
    </cs:fontRef>
    <cs:defRPr sz="1000" kern="1200"/>
  </cs:axisTitle>
  <cs:categoryAxis>
    <cs:lnRef idx="0"/>
    <cs:fillRef idx="0"/>
    <cs:effectRef idx="0"/>
    <cs:fontRef idx="minor">
      <a:srgbClr val="595959">
        <a:lumMod val="65000"/>
        <a:lumOff val="35000"/>
      </a:srgbClr>
    </cs:fontRef>
    <cs:spPr>
      <a:ln w="9525" cap="flat" cmpd="sng" algn="ctr">
        <a:solidFill>
          <a:srgbClr val="D9D9D9">
            <a:lumMod val="15000"/>
            <a:lumOff val="85000"/>
          </a:srgb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rgbClr val="000000"/>
    </cs:fontRef>
    <cs:spPr>
      <a:solidFill>
        <a:srgbClr val="FFFFFF"/>
      </a:solidFill>
      <a:ln w="9525" cap="flat" cmpd="sng" algn="ctr">
        <a:solidFill>
          <a:srgbClr val="D9D9D9">
            <a:lumMod val="15000"/>
            <a:lumOff val="85000"/>
          </a:srgbClr>
        </a:solidFill>
        <a:round/>
      </a:ln>
    </cs:spPr>
    <cs:defRPr sz="1000" kern="1200"/>
  </cs:chartArea>
  <cs:dataLabel>
    <cs:lnRef idx="0"/>
    <cs:fillRef idx="0"/>
    <cs:effectRef idx="0"/>
    <cs:fontRef idx="minor">
      <a:srgbClr val="404040">
        <a:lumMod val="75000"/>
        <a:lumOff val="25000"/>
      </a:srgbClr>
    </cs:fontRef>
    <cs:defRPr sz="1000" kern="1200"/>
  </cs:dataLabel>
  <cs:dataLabelCallout>
    <cs:lnRef idx="0"/>
    <cs:fillRef idx="0"/>
    <cs:effectRef idx="0"/>
    <cs:fontRef idx="minor">
      <a:srgbClr val="595959">
        <a:lumMod val="65000"/>
        <a:lumOff val="35000"/>
      </a:srgbClr>
    </cs:fontRef>
    <cs:spPr>
      <a:solidFill>
        <a:srgbClr val="FFFFFF"/>
      </a:solidFill>
      <a:ln>
        <a:solidFill>
          <a:srgbClr val="BFBFBF">
            <a:lumMod val="25000"/>
            <a:lumOff val="75000"/>
          </a:srgbClr>
        </a:solidFill>
      </a:ln>
    </cs:spPr>
    <cs:defRPr sz="10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>
      <cs:styleClr val="auto"/>
    </cs:lnRef>
    <cs:fillRef idx="1">
      <cs:styleClr val="auto"/>
    </cs:fillRef>
    <cs:effectRef idx="0"/>
    <cs:fontRef idx="minor">
      <a:srgbClr val="000000"/>
    </cs:fontRef>
    <cs:spPr>
      <a:ln>
        <a:noFill/>
      </a:ln>
      <a:effectLst/>
    </cs:spPr>
  </cs:dataPoint>
  <cs:dataPoint3D>
    <cs:lnRef idx="0"/>
    <cs:fillRef idx="1">
      <cs:styleClr val="auto"/>
    </cs:fillRef>
    <cs:effectRef idx="0"/>
    <cs:fontRef idx="minor">
      <a:srgbClr val="000000"/>
    </cs:fontRef>
  </cs:dataPoint3D>
  <cs:dataPointLine>
    <cs:lnRef idx="0">
      <cs:styleClr val="auto"/>
    </cs:lnRef>
    <cs:fillRef idx="1"/>
    <cs:effectRef idx="0"/>
    <cs:fontRef idx="minor">
      <a:srgbClr val="000000"/>
    </cs:fontRef>
    <cs:spPr>
      <a:ln w="28575" cap="rnd">
        <a:solidFill>
          <a:srgbClr val="FFFFFF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rgbClr val="000000"/>
    </cs:fontRef>
    <cs:spPr>
      <a:ln w="9525">
        <a:solidFill>
          <a:srgbClr val="FFFFFF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rgbClr val="000000"/>
    </cs:fontRef>
    <cs:spPr>
      <a:ln w="9525" cap="rnd">
        <a:solidFill>
          <a:srgbClr val="FFFFFF"/>
        </a:solidFill>
        <a:round/>
      </a:ln>
    </cs:spPr>
  </cs:dataPointWireframe>
  <cs:dataTable>
    <cs:lnRef idx="0"/>
    <cs:fillRef idx="0"/>
    <cs:effectRef idx="0"/>
    <cs:fontRef idx="minor">
      <a:srgbClr val="595959">
        <a:lumMod val="65000"/>
        <a:lumOff val="35000"/>
      </a:srgbClr>
    </cs:fontRef>
    <cs:spPr>
      <a:noFill/>
      <a:ln w="9525" cap="flat" cmpd="sng" algn="ctr">
        <a:solidFill>
          <a:srgbClr val="D9D9D9">
            <a:lumMod val="15000"/>
            <a:lumOff val="85000"/>
          </a:srgbClr>
        </a:solidFill>
        <a:round/>
      </a:ln>
    </cs:spPr>
    <cs:defRPr sz="900" kern="1200"/>
  </cs:dataTable>
  <cs:downBar>
    <cs:lnRef idx="0"/>
    <cs:fillRef idx="0"/>
    <cs:effectRef idx="0"/>
    <cs:fontRef idx="minor">
      <a:srgbClr val="000000"/>
    </cs:fontRef>
    <cs:spPr>
      <a:solidFill>
        <a:srgbClr val="595959">
          <a:lumMod val="65000"/>
          <a:lumOff val="35000"/>
        </a:srgbClr>
      </a:solidFill>
      <a:ln w="9525">
        <a:solidFill>
          <a:srgbClr val="595959">
            <a:lumMod val="65000"/>
            <a:lumOff val="35000"/>
          </a:srgbClr>
        </a:solidFill>
      </a:ln>
    </cs:spPr>
  </cs:downBar>
  <cs:dropLine>
    <cs:lnRef idx="0"/>
    <cs:fillRef idx="0"/>
    <cs:effectRef idx="0"/>
    <cs:fontRef idx="minor">
      <a:srgbClr val="000000"/>
    </cs:fontRef>
    <cs:spPr>
      <a:ln w="9525" cap="flat" cmpd="sng" algn="ctr">
        <a:solidFill>
          <a:srgbClr val="A6A6A6">
            <a:lumMod val="35000"/>
            <a:lumOff val="65000"/>
          </a:srgbClr>
        </a:solidFill>
        <a:round/>
      </a:ln>
    </cs:spPr>
  </cs:dropLine>
  <cs:errorBar>
    <cs:lnRef idx="0"/>
    <cs:fillRef idx="0"/>
    <cs:effectRef idx="0"/>
    <cs:fontRef idx="minor">
      <a:srgbClr val="000000"/>
    </cs:fontRef>
    <cs:spPr>
      <a:ln w="9525" cap="flat" cmpd="sng" algn="ctr">
        <a:solidFill>
          <a:srgbClr val="595959">
            <a:lumMod val="65000"/>
            <a:lumOff val="35000"/>
          </a:srgbClr>
        </a:solidFill>
        <a:round/>
      </a:ln>
    </cs:spPr>
  </cs:errorBar>
  <cs:floor>
    <cs:lnRef idx="0"/>
    <cs:fillRef idx="0"/>
    <cs:effectRef idx="0"/>
    <cs:fontRef idx="minor">
      <a:srgbClr val="000000"/>
    </cs:fontRef>
    <cs:spPr>
      <a:noFill/>
      <a:ln>
        <a:noFill/>
      </a:ln>
    </cs:spPr>
  </cs:floor>
  <cs:gridlineMajor>
    <cs:lnRef idx="0"/>
    <cs:fillRef idx="0"/>
    <cs:effectRef idx="0"/>
    <cs:fontRef idx="minor">
      <a:srgbClr val="000000"/>
    </cs:fontRef>
    <cs:spPr>
      <a:ln w="9525" cap="flat" cmpd="sng" algn="ctr">
        <a:solidFill>
          <a:srgbClr val="E6E6E6">
            <a:lumMod val="90200"/>
          </a:srgbClr>
        </a:solidFill>
        <a:round/>
      </a:ln>
    </cs:spPr>
  </cs:gridlineMajor>
  <cs:gridlineMinor>
    <cs:lnRef idx="0"/>
    <cs:fillRef idx="0"/>
    <cs:effectRef idx="0"/>
    <cs:fontRef idx="minor">
      <a:srgbClr val="000000"/>
    </cs:fontRef>
    <cs:spPr>
      <a:ln w="9525" cap="flat" cmpd="sng" algn="ctr">
        <a:solidFill>
          <a:srgbClr val="F2F2F2">
            <a:lumMod val="5000"/>
            <a:lumOff val="95000"/>
          </a:srgbClr>
        </a:solidFill>
        <a:round/>
      </a:ln>
    </cs:spPr>
  </cs:gridlineMinor>
  <cs:hiLoLine>
    <cs:lnRef idx="0"/>
    <cs:fillRef idx="0"/>
    <cs:effectRef idx="0"/>
    <cs:fontRef idx="minor">
      <a:srgbClr val="000000"/>
    </cs:fontRef>
    <cs:spPr>
      <a:ln w="9525" cap="flat" cmpd="sng" algn="ctr">
        <a:solidFill>
          <a:srgbClr val="404040">
            <a:lumMod val="75000"/>
            <a:lumOff val="25000"/>
          </a:srgbClr>
        </a:solidFill>
        <a:round/>
      </a:ln>
    </cs:spPr>
  </cs:hiLoLine>
  <cs:leaderLine>
    <cs:lnRef idx="0"/>
    <cs:fillRef idx="0"/>
    <cs:effectRef idx="0"/>
    <cs:fontRef idx="minor">
      <a:srgbClr val="000000"/>
    </cs:fontRef>
    <cs:spPr>
      <a:ln w="9525" cap="flat" cmpd="sng" algn="ctr">
        <a:solidFill>
          <a:srgbClr val="A6A6A6">
            <a:lumMod val="35000"/>
            <a:lumOff val="65000"/>
          </a:srgbClr>
        </a:solidFill>
        <a:round/>
      </a:ln>
    </cs:spPr>
  </cs:leaderLine>
  <cs:legend>
    <cs:lnRef idx="0"/>
    <cs:fillRef idx="0"/>
    <cs:effectRef idx="0"/>
    <cs:fontRef idx="minor">
      <a:srgbClr val="595959">
        <a:lumMod val="65000"/>
        <a:lumOff val="35000"/>
      </a:srgbClr>
    </cs:fontRef>
    <cs:defRPr sz="900" kern="1200"/>
  </cs:legend>
  <cs:plotArea mods="allowNoFillOverride allowNoLineOverride">
    <cs:lnRef idx="0"/>
    <cs:fillRef idx="0"/>
    <cs:effectRef idx="0"/>
    <cs:fontRef idx="minor">
      <a:srgbClr val="000000"/>
    </cs:fontRef>
  </cs:plotArea>
  <cs:plotArea3D mods="allowNoFillOverride allowNoLineOverride">
    <cs:lnRef idx="0"/>
    <cs:fillRef idx="0"/>
    <cs:effectRef idx="0"/>
    <cs:fontRef idx="minor">
      <a:srgbClr val="000000"/>
    </cs:fontRef>
  </cs:plotArea3D>
  <cs:seriesAxis>
    <cs:lnRef idx="0"/>
    <cs:fillRef idx="0"/>
    <cs:effectRef idx="0"/>
    <cs:fontRef idx="minor">
      <a:srgbClr val="595959">
        <a:lumMod val="65000"/>
        <a:lumOff val="35000"/>
      </a:srgbClr>
    </cs:fontRef>
    <cs:defRPr sz="900" kern="1200"/>
  </cs:seriesAxis>
  <cs:seriesLine>
    <cs:lnRef idx="0"/>
    <cs:fillRef idx="0"/>
    <cs:effectRef idx="0"/>
    <cs:fontRef idx="minor">
      <a:srgbClr val="000000"/>
    </cs:fontRef>
    <cs:spPr>
      <a:ln w="9525" cap="flat" cmpd="sng" algn="ctr">
        <a:solidFill>
          <a:srgbClr val="A6A6A6">
            <a:lumMod val="35000"/>
            <a:lumOff val="65000"/>
          </a:srgbClr>
        </a:solidFill>
        <a:round/>
      </a:ln>
    </cs:spPr>
  </cs:seriesLine>
  <cs:title>
    <cs:lnRef idx="0"/>
    <cs:fillRef idx="0"/>
    <cs:effectRef idx="0"/>
    <cs:fontRef idx="minor">
      <a:srgbClr val="404040">
        <a:lumMod val="75000"/>
        <a:lumOff val="25000"/>
      </a:srgbClr>
    </cs:fontRef>
    <cs:defRPr sz="1400" b="1" kern="1200" baseline="0"/>
  </cs:title>
  <cs:trendline>
    <cs:lnRef idx="0">
      <cs:styleClr val="auto"/>
    </cs:lnRef>
    <cs:fillRef idx="0"/>
    <cs:effectRef idx="0"/>
    <cs:fontRef idx="minor">
      <a:srgbClr val="000000"/>
    </cs:fontRef>
    <cs:spPr>
      <a:ln w="19050" cap="rnd">
        <a:solidFill>
          <a:srgbClr val="FFFFFF"/>
        </a:solidFill>
        <a:prstDash val="sysDot"/>
      </a:ln>
    </cs:spPr>
  </cs:trendline>
  <cs:trendlineLabel>
    <cs:lnRef idx="0"/>
    <cs:fillRef idx="0"/>
    <cs:effectRef idx="0"/>
    <cs:fontRef idx="minor">
      <a:srgbClr val="595959">
        <a:lumMod val="65000"/>
        <a:lumOff val="35000"/>
      </a:srgbClr>
    </cs:fontRef>
    <cs:defRPr sz="900" kern="1200"/>
  </cs:trendlineLabel>
  <cs:upBar>
    <cs:lnRef idx="0"/>
    <cs:fillRef idx="0"/>
    <cs:effectRef idx="0"/>
    <cs:fontRef idx="minor">
      <a:srgbClr val="000000"/>
    </cs:fontRef>
    <cs:spPr>
      <a:solidFill>
        <a:srgbClr val="FFFFFF"/>
      </a:solidFill>
      <a:ln w="9525">
        <a:solidFill>
          <a:srgbClr val="D9D9D9">
            <a:lumMod val="15000"/>
            <a:lumOff val="85000"/>
          </a:srgbClr>
        </a:solidFill>
      </a:ln>
    </cs:spPr>
  </cs:upBar>
  <cs:valueAxis>
    <cs:lnRef idx="0"/>
    <cs:fillRef idx="0"/>
    <cs:effectRef idx="0"/>
    <cs:fontRef idx="minor">
      <a:srgbClr val="595959">
        <a:lumMod val="65000"/>
        <a:lumOff val="35000"/>
      </a:srgbClr>
    </cs:fontRef>
    <cs:defRPr sz="900" kern="1200"/>
  </cs:valueAxis>
  <cs:wall>
    <cs:lnRef idx="0"/>
    <cs:fillRef idx="0"/>
    <cs:effectRef idx="0"/>
    <cs:fontRef idx="minor">
      <a:srgbClr val="000000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Sky123.Org</Company>
  <Pages>6</Pages>
  <Words>2328</Words>
  <Characters>2700</Characters>
  <Lines>2</Lines>
  <Paragraphs>1</Paragraphs>
  <TotalTime>11</TotalTime>
  <ScaleCrop>false</ScaleCrop>
  <LinksUpToDate>false</LinksUpToDate>
  <CharactersWithSpaces>2702</CharactersWithSpaces>
  <Application>WPS Office_11.8.2.1120_F1E327BC-269C-435d-A152-05C5408002CA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2019-08-19T17:06:00Z</dcterms:created>
  <dc:creator>Sky123.Org</dc:creator>
  <cp:lastModifiedBy>user</cp:lastModifiedBy>
  <dcterms:modified xsi:type="dcterms:W3CDTF">2025-04-24T17:15:26Z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2052-11.8.2.1120</vt:lpwstr>
  </property>
  <property fmtid="{D5CDD505-2E9C-101B-9397-08002B2CF9AE}" pid="3" name="ICV">
    <vt:lpwstr>2ED0D98343C64B439AD4139A6AADAA89_12</vt:lpwstr>
  </property>
</Properties>
</file>