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黑体" w:hAnsi="黑体" w:eastAsia="黑体" w:cs="黑体"/>
          <w:b/>
          <w:sz w:val="44"/>
          <w:szCs w:val="44"/>
          <w:lang w:val="en-US" w:eastAsia="zh-CN"/>
        </w:rPr>
      </w:pPr>
      <w:bookmarkStart w:id="0" w:name="_Toc15396616"/>
      <w:r>
        <w:rPr>
          <w:rFonts w:hint="eastAsia" w:ascii="黑体" w:hAnsi="黑体" w:eastAsia="黑体" w:cs="黑体"/>
          <w:b/>
          <w:sz w:val="44"/>
          <w:szCs w:val="44"/>
          <w:lang w:eastAsia="zh-CN"/>
        </w:rPr>
        <w:t>黑水县人大代表服务中心</w:t>
      </w:r>
    </w:p>
    <w:p>
      <w:pPr>
        <w:spacing w:line="600" w:lineRule="exact"/>
        <w:jc w:val="center"/>
        <w:outlineLvl w:val="0"/>
        <w:rPr>
          <w:rFonts w:hint="eastAsia" w:ascii="黑体" w:hAnsi="黑体" w:eastAsia="黑体" w:cs="黑体"/>
          <w:b/>
          <w:sz w:val="44"/>
          <w:szCs w:val="44"/>
        </w:rPr>
      </w:pPr>
      <w:r>
        <w:rPr>
          <w:rFonts w:hint="eastAsia" w:ascii="黑体" w:hAnsi="黑体" w:eastAsia="黑体" w:cs="黑体"/>
          <w:b/>
          <w:sz w:val="44"/>
          <w:szCs w:val="44"/>
        </w:rPr>
        <w:t>20</w:t>
      </w:r>
      <w:r>
        <w:rPr>
          <w:rFonts w:hint="eastAsia" w:ascii="黑体" w:hAnsi="黑体" w:eastAsia="黑体" w:cs="黑体"/>
          <w:b/>
          <w:sz w:val="44"/>
          <w:szCs w:val="44"/>
          <w:lang w:val="en-US" w:eastAsia="zh-CN"/>
        </w:rPr>
        <w:t>24</w:t>
      </w:r>
      <w:r>
        <w:rPr>
          <w:rFonts w:hint="eastAsia" w:ascii="黑体" w:hAnsi="黑体" w:eastAsia="黑体" w:cs="黑体"/>
          <w:b/>
          <w:sz w:val="44"/>
          <w:szCs w:val="44"/>
        </w:rPr>
        <w:t>年部门整体支出绩效评价报告</w:t>
      </w:r>
      <w:bookmarkEnd w:id="0"/>
    </w:p>
    <w:p>
      <w:pPr>
        <w:spacing w:line="580" w:lineRule="exact"/>
        <w:ind w:firstLine="642" w:firstLineChars="200"/>
        <w:rPr>
          <w:rFonts w:ascii="仿宋_GB2312" w:hAnsi="黑体" w:eastAsia="仿宋_GB2312" w:cs="黑体"/>
          <w:b/>
          <w:sz w:val="32"/>
          <w:szCs w:val="32"/>
        </w:rPr>
      </w:pPr>
    </w:p>
    <w:p>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一、部门（单位）概况</w:t>
      </w:r>
    </w:p>
    <w:p>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（一）机构组成。</w:t>
      </w:r>
      <w:r>
        <w:rPr>
          <w:rFonts w:hint="eastAsia" w:ascii="仿宋" w:hAnsi="仿宋" w:eastAsia="仿宋" w:cs="仿宋"/>
          <w:sz w:val="32"/>
          <w:szCs w:val="32"/>
          <w:lang w:eastAsia="zh-CN"/>
        </w:rPr>
        <w:t>人大代表服务中心为人大办</w:t>
      </w:r>
      <w:r>
        <w:rPr>
          <w:rFonts w:hint="eastAsia" w:ascii="仿宋" w:hAnsi="仿宋" w:eastAsia="仿宋" w:cs="仿宋"/>
          <w:sz w:val="32"/>
          <w:szCs w:val="32"/>
        </w:rPr>
        <w:t>下属二级</w:t>
      </w:r>
      <w:r>
        <w:rPr>
          <w:rFonts w:hint="eastAsia" w:ascii="仿宋" w:hAnsi="仿宋" w:eastAsia="仿宋" w:cs="仿宋"/>
          <w:sz w:val="32"/>
          <w:szCs w:val="32"/>
          <w:lang w:eastAsia="zh-CN"/>
        </w:rPr>
        <w:t>股级公益一类事业</w:t>
      </w:r>
      <w:r>
        <w:rPr>
          <w:rFonts w:hint="eastAsia" w:ascii="仿宋" w:hAnsi="仿宋" w:eastAsia="仿宋" w:cs="仿宋"/>
          <w:sz w:val="32"/>
          <w:szCs w:val="32"/>
        </w:rPr>
        <w:t>单位</w:t>
      </w:r>
      <w:r>
        <w:rPr>
          <w:rFonts w:hint="eastAsia" w:ascii="仿宋" w:hAnsi="仿宋" w:eastAsia="仿宋" w:cs="仿宋"/>
          <w:sz w:val="32"/>
          <w:szCs w:val="32"/>
          <w:lang w:eastAsia="zh-CN"/>
        </w:rPr>
        <w:t>，一级预算单位。事业编制</w:t>
      </w:r>
      <w:r>
        <w:rPr>
          <w:rFonts w:hint="eastAsia" w:ascii="仿宋" w:hAnsi="仿宋" w:eastAsia="仿宋" w:cs="仿宋"/>
          <w:sz w:val="32"/>
          <w:szCs w:val="32"/>
          <w:lang w:val="en-US" w:eastAsia="zh-CN"/>
        </w:rPr>
        <w:t>4人，年末实有在职4人，较上年持平。</w:t>
      </w:r>
    </w:p>
    <w:p>
      <w:pPr>
        <w:numPr>
          <w:ilvl w:val="0"/>
          <w:numId w:val="1"/>
        </w:numPr>
        <w:spacing w:line="580" w:lineRule="exact"/>
        <w:ind w:firstLine="640" w:firstLineChars="200"/>
        <w:rPr>
          <w:rFonts w:hint="eastAsia" w:ascii="仿宋" w:hAnsi="仿宋" w:eastAsia="仿宋" w:cs="仿宋"/>
        </w:rPr>
      </w:pPr>
      <w:r>
        <w:rPr>
          <w:rFonts w:hint="eastAsia" w:ascii="仿宋" w:hAnsi="仿宋" w:eastAsia="仿宋" w:cs="仿宋"/>
          <w:sz w:val="32"/>
          <w:szCs w:val="32"/>
        </w:rPr>
        <w:t>机构职能。</w:t>
      </w:r>
      <w:r>
        <w:rPr>
          <w:rFonts w:hint="eastAsia" w:ascii="仿宋" w:hAnsi="仿宋" w:eastAsia="仿宋" w:cs="仿宋"/>
          <w:kern w:val="2"/>
          <w:sz w:val="32"/>
          <w:szCs w:val="32"/>
        </w:rPr>
        <w:t>为人大代表开展活动、履行职责提供服务和所需要的有关信息和材料；协助开展人大代表参加会议期间的活动；负责组织人大代表闭会期间开展视察、专题调研和代表小组活动；为人大代表议案和建议、批评、意见的提出和处理提供服务；为人大代表知情知政提供服务，及时编辑和上报代表活动信息；了解、反映人大代表工作和接受人民群众监督的情况，做好代表依法履职经验的总结和宣传工作；承办属于县人大常委会职权范围内与代表工作有关重大问题的调查研究，处理与代表工作相关的来信来访；收集代表履职的有关信息和调研成果；办理县人大常委会领导和有关委办交办的其他工作。</w:t>
      </w:r>
    </w:p>
    <w:p>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（三）人员概况。</w:t>
      </w:r>
    </w:p>
    <w:p>
      <w:pPr>
        <w:ind w:firstLine="800" w:firstLineChars="250"/>
        <w:rPr>
          <w:rFonts w:hint="eastAsia" w:ascii="仿宋" w:hAnsi="仿宋" w:eastAsia="仿宋" w:cs="仿宋"/>
        </w:rPr>
      </w:pPr>
      <w:r>
        <w:rPr>
          <w:rFonts w:hint="eastAsia" w:ascii="仿宋" w:hAnsi="仿宋" w:eastAsia="仿宋" w:cs="仿宋"/>
          <w:sz w:val="32"/>
          <w:szCs w:val="32"/>
          <w:lang w:eastAsia="zh-CN"/>
        </w:rPr>
        <w:t>事业编制</w:t>
      </w:r>
      <w:r>
        <w:rPr>
          <w:rFonts w:hint="eastAsia" w:ascii="仿宋" w:hAnsi="仿宋" w:eastAsia="仿宋" w:cs="仿宋"/>
          <w:sz w:val="32"/>
          <w:szCs w:val="32"/>
          <w:lang w:val="en-US" w:eastAsia="zh-CN"/>
        </w:rPr>
        <w:t>4人，年末实有在职4人，较上年持平。</w:t>
      </w:r>
    </w:p>
    <w:p>
      <w:pPr>
        <w:snapToGrid w:val="0"/>
        <w:spacing w:line="360" w:lineRule="auto"/>
        <w:ind w:firstLine="642" w:firstLineChars="200"/>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二、部门财政资金收支情况</w:t>
      </w:r>
    </w:p>
    <w:p>
      <w:pPr>
        <w:snapToGrid w:val="0"/>
        <w:spacing w:line="520" w:lineRule="exact"/>
        <w:ind w:firstLine="642" w:firstLineChars="200"/>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（一）部门财政资金收入情况。</w:t>
      </w:r>
    </w:p>
    <w:p>
      <w:pPr>
        <w:spacing w:line="600" w:lineRule="exact"/>
        <w:ind w:firstLine="640" w:firstLineChars="200"/>
        <w:outlineLvl w:val="1"/>
        <w:rPr>
          <w:rFonts w:ascii="仿宋_GB2312" w:hAnsi="仿宋" w:eastAsia="仿宋_GB2312"/>
          <w:color w:val="000000" w:themeColor="text1"/>
          <w:sz w:val="32"/>
          <w:szCs w:val="32"/>
          <w:shd w:val="clear" w:color="auto" w:fill="auto"/>
        </w:rPr>
      </w:pPr>
      <w:r>
        <w:rPr>
          <w:rFonts w:hint="eastAsia" w:ascii="仿宋_GB2312" w:hAnsi="仿宋" w:eastAsia="仿宋_GB2312"/>
          <w:color w:val="000000" w:themeColor="text1"/>
          <w:sz w:val="32"/>
          <w:szCs w:val="32"/>
          <w:shd w:val="clear" w:color="auto" w:fill="auto"/>
          <w:lang w:eastAsia="zh-CN"/>
        </w:rPr>
        <w:t>202</w:t>
      </w:r>
      <w:r>
        <w:rPr>
          <w:rFonts w:hint="eastAsia" w:ascii="仿宋_GB2312" w:hAnsi="仿宋" w:eastAsia="仿宋_GB2312"/>
          <w:color w:val="000000" w:themeColor="text1"/>
          <w:sz w:val="32"/>
          <w:szCs w:val="32"/>
          <w:shd w:val="clear" w:color="auto" w:fill="auto"/>
          <w:lang w:val="en-US" w:eastAsia="zh-CN"/>
        </w:rPr>
        <w:t>4</w:t>
      </w:r>
      <w:r>
        <w:rPr>
          <w:rFonts w:hint="eastAsia" w:ascii="仿宋_GB2312" w:hAnsi="仿宋" w:eastAsia="仿宋_GB2312"/>
          <w:color w:val="000000" w:themeColor="text1"/>
          <w:sz w:val="32"/>
          <w:szCs w:val="32"/>
          <w:shd w:val="clear" w:color="auto" w:fill="auto"/>
        </w:rPr>
        <w:t>年本年收入合计</w:t>
      </w:r>
      <w:r>
        <w:rPr>
          <w:rFonts w:hint="eastAsia" w:ascii="仿宋_GB2312" w:hAnsi="仿宋" w:eastAsia="仿宋_GB2312"/>
          <w:color w:val="000000" w:themeColor="text1"/>
          <w:sz w:val="32"/>
          <w:szCs w:val="32"/>
          <w:shd w:val="clear" w:color="auto" w:fill="auto"/>
          <w:lang w:val="en-US" w:eastAsia="zh-CN"/>
        </w:rPr>
        <w:t>86.45</w:t>
      </w:r>
      <w:r>
        <w:rPr>
          <w:rFonts w:hint="eastAsia" w:ascii="仿宋_GB2312" w:hAnsi="仿宋" w:eastAsia="仿宋_GB2312"/>
          <w:color w:val="000000" w:themeColor="text1"/>
          <w:sz w:val="32"/>
          <w:szCs w:val="32"/>
          <w:shd w:val="clear" w:color="auto" w:fill="auto"/>
        </w:rPr>
        <w:t>万元，其中：一般公共预算财政拨款收入</w:t>
      </w:r>
      <w:r>
        <w:rPr>
          <w:rFonts w:hint="eastAsia" w:ascii="仿宋_GB2312" w:hAnsi="仿宋" w:eastAsia="仿宋_GB2312"/>
          <w:color w:val="000000" w:themeColor="text1"/>
          <w:sz w:val="32"/>
          <w:szCs w:val="32"/>
          <w:shd w:val="clear" w:color="auto" w:fill="auto"/>
          <w:lang w:val="en-US" w:eastAsia="zh-CN"/>
        </w:rPr>
        <w:t>86.45</w:t>
      </w:r>
      <w:r>
        <w:rPr>
          <w:rFonts w:hint="eastAsia" w:ascii="仿宋_GB2312" w:hAnsi="仿宋" w:eastAsia="仿宋_GB2312"/>
          <w:color w:val="000000" w:themeColor="text1"/>
          <w:sz w:val="32"/>
          <w:szCs w:val="32"/>
          <w:shd w:val="clear" w:color="auto" w:fill="auto"/>
        </w:rPr>
        <w:t>万元，占</w:t>
      </w:r>
      <w:r>
        <w:rPr>
          <w:rFonts w:hint="eastAsia" w:ascii="仿宋_GB2312" w:hAnsi="仿宋" w:eastAsia="仿宋_GB2312"/>
          <w:color w:val="000000" w:themeColor="text1"/>
          <w:sz w:val="32"/>
          <w:szCs w:val="32"/>
          <w:shd w:val="clear" w:color="auto" w:fill="auto"/>
          <w:lang w:val="en-US" w:eastAsia="zh-CN"/>
        </w:rPr>
        <w:t>100</w:t>
      </w:r>
      <w:r>
        <w:rPr>
          <w:rFonts w:hint="eastAsia" w:ascii="仿宋_GB2312" w:hAnsi="仿宋" w:eastAsia="仿宋_GB2312"/>
          <w:color w:val="000000" w:themeColor="text1"/>
          <w:sz w:val="32"/>
          <w:szCs w:val="32"/>
          <w:shd w:val="clear" w:color="auto" w:fill="auto"/>
        </w:rPr>
        <w:t>%；政府性基金预算财政拨款收入</w:t>
      </w:r>
      <w:r>
        <w:rPr>
          <w:rFonts w:hint="eastAsia" w:ascii="仿宋_GB2312" w:hAnsi="仿宋" w:eastAsia="仿宋_GB2312"/>
          <w:color w:val="000000" w:themeColor="text1"/>
          <w:sz w:val="32"/>
          <w:szCs w:val="32"/>
          <w:shd w:val="clear" w:color="auto" w:fill="auto"/>
          <w:lang w:val="en-US" w:eastAsia="zh-CN"/>
        </w:rPr>
        <w:t>0</w:t>
      </w:r>
      <w:r>
        <w:rPr>
          <w:rFonts w:hint="eastAsia" w:ascii="仿宋_GB2312" w:hAnsi="仿宋" w:eastAsia="仿宋_GB2312"/>
          <w:color w:val="000000" w:themeColor="text1"/>
          <w:sz w:val="32"/>
          <w:szCs w:val="32"/>
          <w:shd w:val="clear" w:color="auto" w:fill="auto"/>
        </w:rPr>
        <w:t>万元%；国有资本经营预算财政拨款收入</w:t>
      </w:r>
      <w:r>
        <w:rPr>
          <w:rFonts w:hint="eastAsia" w:ascii="仿宋_GB2312" w:hAnsi="仿宋" w:eastAsia="仿宋_GB2312"/>
          <w:color w:val="000000" w:themeColor="text1"/>
          <w:sz w:val="32"/>
          <w:szCs w:val="32"/>
          <w:shd w:val="clear" w:color="auto" w:fill="auto"/>
          <w:lang w:val="en-US" w:eastAsia="zh-CN"/>
        </w:rPr>
        <w:t>0</w:t>
      </w:r>
      <w:r>
        <w:rPr>
          <w:rFonts w:hint="eastAsia" w:ascii="仿宋_GB2312" w:hAnsi="仿宋" w:eastAsia="仿宋_GB2312"/>
          <w:color w:val="000000" w:themeColor="text1"/>
          <w:sz w:val="32"/>
          <w:szCs w:val="32"/>
          <w:shd w:val="clear" w:color="auto" w:fill="auto"/>
        </w:rPr>
        <w:t>万元；事业收入</w:t>
      </w:r>
      <w:r>
        <w:rPr>
          <w:rFonts w:hint="eastAsia" w:ascii="仿宋_GB2312" w:hAnsi="仿宋" w:eastAsia="仿宋_GB2312"/>
          <w:color w:val="000000" w:themeColor="text1"/>
          <w:sz w:val="32"/>
          <w:szCs w:val="32"/>
          <w:shd w:val="clear" w:color="auto" w:fill="auto"/>
          <w:lang w:val="en-US" w:eastAsia="zh-CN"/>
        </w:rPr>
        <w:t>0</w:t>
      </w:r>
      <w:r>
        <w:rPr>
          <w:rFonts w:hint="eastAsia" w:ascii="仿宋_GB2312" w:hAnsi="仿宋" w:eastAsia="仿宋_GB2312"/>
          <w:color w:val="000000" w:themeColor="text1"/>
          <w:sz w:val="32"/>
          <w:szCs w:val="32"/>
          <w:shd w:val="clear" w:color="auto" w:fill="auto"/>
        </w:rPr>
        <w:t>万元；经营收入</w:t>
      </w:r>
      <w:r>
        <w:rPr>
          <w:rFonts w:hint="eastAsia" w:ascii="仿宋_GB2312" w:hAnsi="仿宋" w:eastAsia="仿宋_GB2312"/>
          <w:color w:val="000000" w:themeColor="text1"/>
          <w:sz w:val="32"/>
          <w:szCs w:val="32"/>
          <w:shd w:val="clear" w:color="auto" w:fill="auto"/>
          <w:lang w:val="en-US" w:eastAsia="zh-CN"/>
        </w:rPr>
        <w:t>0</w:t>
      </w:r>
      <w:r>
        <w:rPr>
          <w:rFonts w:hint="eastAsia" w:ascii="仿宋_GB2312" w:hAnsi="仿宋" w:eastAsia="仿宋_GB2312"/>
          <w:color w:val="000000" w:themeColor="text1"/>
          <w:sz w:val="32"/>
          <w:szCs w:val="32"/>
          <w:shd w:val="clear" w:color="auto" w:fill="auto"/>
        </w:rPr>
        <w:t>万元；附属单位上缴收入</w:t>
      </w:r>
      <w:r>
        <w:rPr>
          <w:rFonts w:hint="eastAsia" w:ascii="仿宋_GB2312" w:hAnsi="仿宋" w:eastAsia="仿宋_GB2312"/>
          <w:color w:val="000000" w:themeColor="text1"/>
          <w:sz w:val="32"/>
          <w:szCs w:val="32"/>
          <w:shd w:val="clear" w:color="auto" w:fill="auto"/>
          <w:lang w:val="en-US" w:eastAsia="zh-CN"/>
        </w:rPr>
        <w:t>0</w:t>
      </w:r>
      <w:r>
        <w:rPr>
          <w:rFonts w:hint="eastAsia" w:ascii="仿宋_GB2312" w:hAnsi="仿宋" w:eastAsia="仿宋_GB2312"/>
          <w:color w:val="000000" w:themeColor="text1"/>
          <w:sz w:val="32"/>
          <w:szCs w:val="32"/>
          <w:shd w:val="clear" w:color="auto" w:fill="auto"/>
        </w:rPr>
        <w:t>万元；其他收入</w:t>
      </w:r>
      <w:r>
        <w:rPr>
          <w:rFonts w:hint="eastAsia" w:ascii="仿宋_GB2312" w:hAnsi="仿宋" w:eastAsia="仿宋_GB2312"/>
          <w:color w:val="000000" w:themeColor="text1"/>
          <w:sz w:val="32"/>
          <w:szCs w:val="32"/>
          <w:shd w:val="clear" w:color="auto" w:fill="auto"/>
          <w:lang w:val="en-US" w:eastAsia="zh-CN"/>
        </w:rPr>
        <w:t>0</w:t>
      </w:r>
      <w:r>
        <w:rPr>
          <w:rFonts w:hint="eastAsia" w:ascii="仿宋_GB2312" w:hAnsi="仿宋" w:eastAsia="仿宋_GB2312"/>
          <w:color w:val="000000" w:themeColor="text1"/>
          <w:sz w:val="32"/>
          <w:szCs w:val="32"/>
          <w:shd w:val="clear" w:color="auto" w:fill="auto"/>
        </w:rPr>
        <w:t>万元%。</w:t>
      </w:r>
      <w:r>
        <w:rPr>
          <w:rFonts w:hint="eastAsia" w:ascii="仿宋" w:hAnsi="仿宋" w:eastAsia="仿宋"/>
          <w:b/>
          <w:sz w:val="32"/>
          <w:szCs w:val="32"/>
        </w:rPr>
        <w:t>（注：数据来源于财决</w:t>
      </w:r>
      <w:r>
        <w:rPr>
          <w:rFonts w:ascii="仿宋" w:hAnsi="仿宋" w:eastAsia="仿宋"/>
          <w:b/>
          <w:sz w:val="32"/>
          <w:szCs w:val="32"/>
        </w:rPr>
        <w:t>01表</w:t>
      </w:r>
      <w:r>
        <w:rPr>
          <w:rFonts w:hint="eastAsia" w:ascii="仿宋" w:hAnsi="仿宋" w:eastAsia="仿宋"/>
          <w:b/>
          <w:sz w:val="32"/>
          <w:szCs w:val="32"/>
        </w:rPr>
        <w:t>，仅罗列本单位涉及的收入。</w:t>
      </w:r>
      <w:r>
        <w:rPr>
          <w:rFonts w:ascii="仿宋" w:hAnsi="仿宋" w:eastAsia="仿宋"/>
          <w:b/>
          <w:sz w:val="32"/>
          <w:szCs w:val="32"/>
        </w:rPr>
        <w:t>）</w:t>
      </w:r>
    </w:p>
    <w:p>
      <w:pPr>
        <w:spacing w:line="600" w:lineRule="exact"/>
        <w:ind w:firstLine="640" w:firstLineChars="200"/>
        <w:rPr>
          <w:rFonts w:ascii="仿宋_GB2312" w:eastAsia="仿宋_GB2312"/>
          <w:color w:val="000000" w:themeColor="text1"/>
          <w:sz w:val="32"/>
          <w:szCs w:val="32"/>
          <w:shd w:val="clear" w:color="auto" w:fill="auto"/>
        </w:rPr>
      </w:pPr>
      <w:r>
        <w:rPr>
          <w:rFonts w:hint="eastAsia" w:ascii="仿宋_GB2312" w:hAnsi="仿宋" w:eastAsia="仿宋_GB2312"/>
          <w:color w:val="000000" w:themeColor="text1"/>
          <w:sz w:val="32"/>
          <w:szCs w:val="32"/>
          <w:shd w:val="clear" w:color="auto" w:fill="auto"/>
        </w:rPr>
        <w:t>（图</w:t>
      </w:r>
      <w:r>
        <w:rPr>
          <w:rFonts w:hint="eastAsia" w:ascii="仿宋_GB2312" w:hAnsi="仿宋" w:eastAsia="仿宋_GB2312"/>
          <w:color w:val="000000" w:themeColor="text1"/>
          <w:sz w:val="32"/>
          <w:szCs w:val="32"/>
          <w:shd w:val="clear" w:color="auto" w:fill="auto"/>
          <w:lang w:val="en-US" w:eastAsia="zh-CN"/>
        </w:rPr>
        <w:t>1</w:t>
      </w:r>
      <w:r>
        <w:rPr>
          <w:rFonts w:hint="eastAsia" w:ascii="仿宋_GB2312" w:hAnsi="仿宋" w:eastAsia="仿宋_GB2312"/>
          <w:color w:val="000000" w:themeColor="text1"/>
          <w:sz w:val="32"/>
          <w:szCs w:val="32"/>
          <w:shd w:val="clear" w:color="auto" w:fill="auto"/>
        </w:rPr>
        <w:t>：收入决算结构图）（饼状图）</w:t>
      </w:r>
    </w:p>
    <w:p>
      <w:pPr>
        <w:rPr>
          <w:rFonts w:hint="eastAsia" w:ascii="仿宋" w:hAnsi="仿宋" w:eastAsia="仿宋"/>
          <w:b/>
          <w:bCs/>
          <w:sz w:val="32"/>
          <w:szCs w:val="32"/>
          <w:lang w:val="en-US" w:eastAsia="zh-CN"/>
        </w:rPr>
      </w:pPr>
      <w:r>
        <w:drawing>
          <wp:inline distT="0" distB="0" distL="114300" distR="114300">
            <wp:extent cx="4572000" cy="2743200"/>
            <wp:effectExtent l="4445" t="4445" r="14605"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pPr>
        <w:snapToGrid w:val="0"/>
        <w:spacing w:line="520" w:lineRule="exact"/>
        <w:ind w:firstLine="642" w:firstLineChars="200"/>
        <w:rPr>
          <w:rFonts w:hint="eastAsia" w:ascii="仿宋" w:hAnsi="仿宋" w:eastAsia="仿宋"/>
          <w:b/>
          <w:bCs/>
          <w:sz w:val="32"/>
          <w:szCs w:val="32"/>
          <w:lang w:val="en-US" w:eastAsia="zh-CN"/>
        </w:rPr>
      </w:pPr>
    </w:p>
    <w:p>
      <w:pPr>
        <w:spacing w:line="600" w:lineRule="exact"/>
        <w:ind w:firstLine="642" w:firstLineChars="200"/>
        <w:outlineLvl w:val="1"/>
        <w:rPr>
          <w:rFonts w:hint="eastAsia" w:ascii="仿宋_GB2312" w:hAnsi="仿宋" w:eastAsia="仿宋_GB2312"/>
          <w:color w:val="000000" w:themeColor="text1"/>
          <w:sz w:val="32"/>
          <w:szCs w:val="32"/>
          <w:shd w:val="clear" w:color="auto" w:fill="auto"/>
        </w:rPr>
      </w:pPr>
      <w:r>
        <w:rPr>
          <w:rFonts w:hint="eastAsia" w:ascii="仿宋" w:hAnsi="仿宋" w:eastAsia="仿宋"/>
          <w:b/>
          <w:bCs/>
          <w:sz w:val="32"/>
          <w:szCs w:val="32"/>
          <w:lang w:val="en-US" w:eastAsia="zh-CN"/>
        </w:rPr>
        <w:t>(二)部门财政资金支出情况。</w:t>
      </w:r>
      <w:r>
        <w:rPr>
          <w:rFonts w:hint="eastAsia" w:ascii="仿宋_GB2312" w:hAnsi="仿宋" w:eastAsia="仿宋_GB2312"/>
          <w:color w:val="000000" w:themeColor="text1"/>
          <w:sz w:val="32"/>
          <w:szCs w:val="32"/>
          <w:shd w:val="clear" w:color="auto" w:fill="auto"/>
          <w:lang w:eastAsia="zh-CN"/>
        </w:rPr>
        <w:t>202</w:t>
      </w:r>
      <w:r>
        <w:rPr>
          <w:rFonts w:hint="eastAsia" w:ascii="仿宋_GB2312" w:hAnsi="仿宋" w:eastAsia="仿宋_GB2312"/>
          <w:color w:val="000000" w:themeColor="text1"/>
          <w:sz w:val="32"/>
          <w:szCs w:val="32"/>
          <w:shd w:val="clear" w:color="auto" w:fill="auto"/>
          <w:lang w:val="en-US" w:eastAsia="zh-CN"/>
        </w:rPr>
        <w:t>4</w:t>
      </w:r>
      <w:r>
        <w:rPr>
          <w:rFonts w:hint="eastAsia" w:ascii="仿宋_GB2312" w:hAnsi="仿宋" w:eastAsia="仿宋_GB2312"/>
          <w:color w:val="000000" w:themeColor="text1"/>
          <w:sz w:val="32"/>
          <w:szCs w:val="32"/>
          <w:shd w:val="clear" w:color="auto" w:fill="auto"/>
        </w:rPr>
        <w:t>年本年支出合计</w:t>
      </w:r>
      <w:r>
        <w:rPr>
          <w:rFonts w:hint="eastAsia" w:ascii="仿宋_GB2312" w:hAnsi="仿宋" w:eastAsia="仿宋_GB2312"/>
          <w:color w:val="000000" w:themeColor="text1"/>
          <w:sz w:val="32"/>
          <w:szCs w:val="32"/>
          <w:shd w:val="clear" w:color="auto" w:fill="auto"/>
          <w:lang w:val="en-US" w:eastAsia="zh-CN"/>
        </w:rPr>
        <w:t>86.45</w:t>
      </w:r>
      <w:r>
        <w:rPr>
          <w:rFonts w:hint="eastAsia" w:ascii="仿宋_GB2312" w:hAnsi="仿宋" w:eastAsia="仿宋_GB2312"/>
          <w:color w:val="000000" w:themeColor="text1"/>
          <w:sz w:val="32"/>
          <w:szCs w:val="32"/>
          <w:shd w:val="clear" w:color="auto" w:fill="auto"/>
        </w:rPr>
        <w:t>万元，其中：基本支出</w:t>
      </w:r>
      <w:r>
        <w:rPr>
          <w:rFonts w:hint="eastAsia" w:ascii="仿宋_GB2312" w:hAnsi="仿宋" w:eastAsia="仿宋_GB2312"/>
          <w:color w:val="000000" w:themeColor="text1"/>
          <w:sz w:val="32"/>
          <w:szCs w:val="32"/>
          <w:shd w:val="clear" w:color="auto" w:fill="auto"/>
          <w:lang w:val="en-US" w:eastAsia="zh-CN"/>
        </w:rPr>
        <w:t>86.45</w:t>
      </w:r>
      <w:r>
        <w:rPr>
          <w:rFonts w:hint="eastAsia" w:ascii="仿宋_GB2312" w:hAnsi="仿宋" w:eastAsia="仿宋_GB2312"/>
          <w:color w:val="000000" w:themeColor="text1"/>
          <w:sz w:val="32"/>
          <w:szCs w:val="32"/>
          <w:shd w:val="clear" w:color="auto" w:fill="auto"/>
        </w:rPr>
        <w:t>万元，占</w:t>
      </w:r>
      <w:r>
        <w:rPr>
          <w:rFonts w:hint="eastAsia" w:ascii="仿宋_GB2312" w:hAnsi="仿宋" w:eastAsia="仿宋_GB2312"/>
          <w:color w:val="000000" w:themeColor="text1"/>
          <w:sz w:val="32"/>
          <w:szCs w:val="32"/>
          <w:shd w:val="clear" w:color="auto" w:fill="auto"/>
          <w:lang w:val="en-US" w:eastAsia="zh-CN"/>
        </w:rPr>
        <w:t>100</w:t>
      </w:r>
      <w:r>
        <w:rPr>
          <w:rFonts w:hint="eastAsia" w:ascii="仿宋_GB2312" w:hAnsi="仿宋" w:eastAsia="仿宋_GB2312"/>
          <w:color w:val="000000" w:themeColor="text1"/>
          <w:sz w:val="32"/>
          <w:szCs w:val="32"/>
          <w:shd w:val="clear" w:color="auto" w:fill="auto"/>
        </w:rPr>
        <w:t>%；项目支出</w:t>
      </w:r>
      <w:r>
        <w:rPr>
          <w:rFonts w:hint="eastAsia" w:ascii="仿宋_GB2312" w:hAnsi="仿宋" w:eastAsia="仿宋_GB2312"/>
          <w:color w:val="000000" w:themeColor="text1"/>
          <w:sz w:val="32"/>
          <w:szCs w:val="32"/>
          <w:shd w:val="clear" w:color="auto" w:fill="auto"/>
          <w:lang w:val="en-US" w:eastAsia="zh-CN"/>
        </w:rPr>
        <w:t>0</w:t>
      </w:r>
      <w:r>
        <w:rPr>
          <w:rFonts w:hint="eastAsia" w:ascii="仿宋_GB2312" w:hAnsi="仿宋" w:eastAsia="仿宋_GB2312"/>
          <w:color w:val="000000" w:themeColor="text1"/>
          <w:sz w:val="32"/>
          <w:szCs w:val="32"/>
          <w:shd w:val="clear" w:color="auto" w:fill="auto"/>
        </w:rPr>
        <w:t>万元；上缴上级支出</w:t>
      </w:r>
      <w:r>
        <w:rPr>
          <w:rFonts w:hint="eastAsia" w:ascii="仿宋_GB2312" w:hAnsi="仿宋" w:eastAsia="仿宋_GB2312"/>
          <w:color w:val="000000" w:themeColor="text1"/>
          <w:sz w:val="32"/>
          <w:szCs w:val="32"/>
          <w:shd w:val="clear" w:color="auto" w:fill="auto"/>
          <w:lang w:val="en-US" w:eastAsia="zh-CN"/>
        </w:rPr>
        <w:t>0</w:t>
      </w:r>
      <w:r>
        <w:rPr>
          <w:rFonts w:hint="eastAsia" w:ascii="仿宋_GB2312" w:hAnsi="仿宋" w:eastAsia="仿宋_GB2312"/>
          <w:color w:val="000000" w:themeColor="text1"/>
          <w:sz w:val="32"/>
          <w:szCs w:val="32"/>
          <w:shd w:val="clear" w:color="auto" w:fill="auto"/>
        </w:rPr>
        <w:t>万元；经营支出</w:t>
      </w:r>
      <w:r>
        <w:rPr>
          <w:rFonts w:hint="eastAsia" w:ascii="仿宋_GB2312" w:hAnsi="仿宋" w:eastAsia="仿宋_GB2312"/>
          <w:color w:val="000000" w:themeColor="text1"/>
          <w:sz w:val="32"/>
          <w:szCs w:val="32"/>
          <w:shd w:val="clear" w:color="auto" w:fill="auto"/>
          <w:lang w:val="en-US" w:eastAsia="zh-CN"/>
        </w:rPr>
        <w:t>0</w:t>
      </w:r>
      <w:r>
        <w:rPr>
          <w:rFonts w:hint="eastAsia" w:ascii="仿宋_GB2312" w:hAnsi="仿宋" w:eastAsia="仿宋_GB2312"/>
          <w:color w:val="000000" w:themeColor="text1"/>
          <w:sz w:val="32"/>
          <w:szCs w:val="32"/>
          <w:shd w:val="clear" w:color="auto" w:fill="auto"/>
        </w:rPr>
        <w:t>万元；对附属单位补助支出</w:t>
      </w:r>
      <w:r>
        <w:rPr>
          <w:rFonts w:hint="eastAsia" w:ascii="仿宋_GB2312" w:hAnsi="仿宋" w:eastAsia="仿宋_GB2312"/>
          <w:color w:val="000000" w:themeColor="text1"/>
          <w:sz w:val="32"/>
          <w:szCs w:val="32"/>
          <w:shd w:val="clear" w:color="auto" w:fill="auto"/>
          <w:lang w:val="en-US" w:eastAsia="zh-CN"/>
        </w:rPr>
        <w:t>0</w:t>
      </w:r>
      <w:r>
        <w:rPr>
          <w:rFonts w:hint="eastAsia" w:ascii="仿宋_GB2312" w:hAnsi="仿宋" w:eastAsia="仿宋_GB2312"/>
          <w:color w:val="000000" w:themeColor="text1"/>
          <w:sz w:val="32"/>
          <w:szCs w:val="32"/>
          <w:shd w:val="clear" w:color="auto" w:fill="auto"/>
        </w:rPr>
        <w:t>万元。</w:t>
      </w:r>
    </w:p>
    <w:p>
      <w:pPr>
        <w:spacing w:line="600" w:lineRule="exact"/>
        <w:ind w:firstLine="642" w:firstLineChars="200"/>
        <w:outlineLvl w:val="1"/>
        <w:rPr>
          <w:rFonts w:ascii="仿宋_GB2312" w:hAnsi="仿宋" w:eastAsia="仿宋_GB2312"/>
          <w:color w:val="000000" w:themeColor="text1"/>
          <w:sz w:val="32"/>
          <w:szCs w:val="32"/>
          <w:shd w:val="clear" w:color="auto" w:fill="auto"/>
        </w:rPr>
      </w:pPr>
      <w:r>
        <w:rPr>
          <w:rFonts w:hint="eastAsia" w:ascii="仿宋" w:hAnsi="仿宋" w:eastAsia="仿宋"/>
          <w:b/>
          <w:sz w:val="32"/>
          <w:szCs w:val="32"/>
        </w:rPr>
        <w:t>（注：数据来源于财决</w:t>
      </w:r>
      <w:r>
        <w:rPr>
          <w:rFonts w:ascii="仿宋" w:hAnsi="仿宋" w:eastAsia="仿宋"/>
          <w:b/>
          <w:sz w:val="32"/>
          <w:szCs w:val="32"/>
        </w:rPr>
        <w:t>04</w:t>
      </w:r>
      <w:r>
        <w:rPr>
          <w:rFonts w:hint="eastAsia" w:ascii="仿宋" w:hAnsi="仿宋" w:eastAsia="仿宋"/>
          <w:b/>
          <w:sz w:val="32"/>
          <w:szCs w:val="32"/>
        </w:rPr>
        <w:t>表，仅罗列本单位涉及的支出。）</w:t>
      </w:r>
    </w:p>
    <w:p>
      <w:pPr>
        <w:spacing w:line="600" w:lineRule="exact"/>
        <w:ind w:firstLine="640" w:firstLineChars="200"/>
        <w:rPr>
          <w:rFonts w:hint="eastAsia" w:ascii="仿宋_GB2312" w:hAnsi="仿宋" w:eastAsia="仿宋_GB2312"/>
          <w:color w:val="000000" w:themeColor="text1"/>
          <w:sz w:val="32"/>
          <w:szCs w:val="32"/>
          <w:shd w:val="clear" w:color="auto" w:fill="auto"/>
        </w:rPr>
      </w:pPr>
      <w:r>
        <w:rPr>
          <w:rFonts w:hint="eastAsia" w:ascii="仿宋_GB2312" w:hAnsi="仿宋" w:eastAsia="仿宋_GB2312"/>
          <w:color w:val="000000" w:themeColor="text1"/>
          <w:sz w:val="32"/>
          <w:szCs w:val="32"/>
          <w:shd w:val="clear" w:color="auto" w:fill="auto"/>
        </w:rPr>
        <w:t>（图</w:t>
      </w:r>
      <w:r>
        <w:rPr>
          <w:rFonts w:hint="eastAsia" w:ascii="仿宋_GB2312" w:hAnsi="仿宋" w:eastAsia="仿宋_GB2312"/>
          <w:color w:val="000000" w:themeColor="text1"/>
          <w:sz w:val="32"/>
          <w:szCs w:val="32"/>
          <w:shd w:val="clear" w:color="auto" w:fill="auto"/>
          <w:lang w:val="en-US" w:eastAsia="zh-CN"/>
        </w:rPr>
        <w:t>2</w:t>
      </w:r>
      <w:r>
        <w:rPr>
          <w:rFonts w:hint="eastAsia" w:ascii="仿宋_GB2312" w:hAnsi="仿宋" w:eastAsia="仿宋_GB2312"/>
          <w:color w:val="000000" w:themeColor="text1"/>
          <w:sz w:val="32"/>
          <w:szCs w:val="32"/>
          <w:shd w:val="clear" w:color="auto" w:fill="auto"/>
        </w:rPr>
        <w:t>：支出决算结构图）（饼状图）</w:t>
      </w:r>
    </w:p>
    <w:p>
      <w:pPr>
        <w:snapToGrid w:val="0"/>
        <w:spacing w:line="240" w:lineRule="auto"/>
        <w:ind w:firstLine="0" w:firstLineChars="0"/>
        <w:rPr>
          <w:rFonts w:hint="eastAsia" w:ascii="仿宋_GB2312" w:eastAsia="仿宋_GB2312"/>
          <w:b/>
          <w:sz w:val="32"/>
          <w:szCs w:val="32"/>
        </w:rPr>
      </w:pPr>
      <w:r>
        <w:drawing>
          <wp:inline distT="0" distB="0" distL="114300" distR="114300">
            <wp:extent cx="4572000" cy="2644775"/>
            <wp:effectExtent l="4445" t="4445" r="14605" b="17780"/>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pPr>
        <w:snapToGrid w:val="0"/>
        <w:spacing w:line="360" w:lineRule="auto"/>
        <w:ind w:firstLine="640" w:firstLineChars="200"/>
        <w:rPr>
          <w:rFonts w:hint="eastAsia" w:ascii="仿宋" w:hAnsi="仿宋" w:eastAsia="仿宋"/>
          <w:sz w:val="32"/>
          <w:szCs w:val="32"/>
          <w:lang w:val="en-US" w:eastAsia="zh-CN"/>
        </w:rPr>
      </w:pPr>
    </w:p>
    <w:p>
      <w:pPr>
        <w:snapToGrid w:val="0"/>
        <w:spacing w:line="360" w:lineRule="auto"/>
        <w:ind w:firstLine="640" w:firstLineChars="200"/>
        <w:rPr>
          <w:rFonts w:hint="eastAsia" w:ascii="仿宋" w:hAnsi="仿宋" w:eastAsia="仿宋"/>
          <w:sz w:val="32"/>
          <w:szCs w:val="32"/>
          <w:lang w:val="en-US" w:eastAsia="zh-CN"/>
        </w:rPr>
      </w:pPr>
    </w:p>
    <w:p>
      <w:pPr>
        <w:snapToGrid w:val="0"/>
        <w:spacing w:line="360" w:lineRule="auto"/>
        <w:ind w:firstLine="642" w:firstLineChars="200"/>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三、部门整体预算绩效管理情况</w:t>
      </w:r>
    </w:p>
    <w:p>
      <w:pPr>
        <w:keepNext w:val="0"/>
        <w:keepLines w:val="0"/>
        <w:widowControl/>
        <w:suppressLineNumbers w:val="0"/>
        <w:ind w:firstLine="642" w:firstLineChars="200"/>
        <w:jc w:val="left"/>
        <w:rPr>
          <w:rFonts w:hint="eastAsia" w:ascii="仿宋" w:hAnsi="仿宋" w:eastAsia="仿宋" w:cs="仿宋"/>
          <w:color w:val="000000"/>
          <w:kern w:val="0"/>
          <w:sz w:val="31"/>
          <w:szCs w:val="31"/>
          <w:lang w:val="en-US" w:eastAsia="zh-CN" w:bidi="ar"/>
        </w:rPr>
      </w:pPr>
      <w:r>
        <w:rPr>
          <w:rFonts w:hint="eastAsia" w:ascii="仿宋" w:hAnsi="仿宋" w:eastAsia="仿宋"/>
          <w:b/>
          <w:bCs/>
          <w:sz w:val="32"/>
          <w:szCs w:val="32"/>
          <w:lang w:val="en-US" w:eastAsia="zh-CN"/>
        </w:rPr>
        <w:t>（一）部门预算管理。</w:t>
      </w:r>
      <w:r>
        <w:rPr>
          <w:rFonts w:hint="eastAsia" w:ascii="仿宋" w:hAnsi="仿宋" w:eastAsia="仿宋" w:cs="仿宋"/>
          <w:b w:val="0"/>
          <w:bCs w:val="0"/>
          <w:color w:val="000000"/>
          <w:kern w:val="0"/>
          <w:sz w:val="31"/>
          <w:szCs w:val="31"/>
          <w:lang w:val="en-US" w:eastAsia="zh-CN" w:bidi="ar"/>
        </w:rPr>
        <w:t>一是预算编制情况。</w:t>
      </w:r>
      <w:r>
        <w:rPr>
          <w:rFonts w:hint="eastAsia" w:ascii="仿宋" w:hAnsi="仿宋" w:eastAsia="仿宋" w:cs="仿宋"/>
          <w:color w:val="000000"/>
          <w:kern w:val="0"/>
          <w:sz w:val="31"/>
          <w:szCs w:val="31"/>
          <w:lang w:val="en-US" w:eastAsia="zh-CN" w:bidi="ar"/>
        </w:rPr>
        <w:t>2024 年县人大代表服务中心严格按照财政局下发的文件要求进行预算编制工作，较好地完成了县人大代表服务中心预算编制工作，无违规行为；</w:t>
      </w:r>
      <w:r>
        <w:rPr>
          <w:rFonts w:hint="eastAsia" w:ascii="仿宋" w:hAnsi="仿宋" w:eastAsia="仿宋" w:cs="仿宋"/>
          <w:b w:val="0"/>
          <w:bCs w:val="0"/>
          <w:color w:val="000000"/>
          <w:kern w:val="0"/>
          <w:sz w:val="31"/>
          <w:szCs w:val="31"/>
          <w:lang w:val="en-US" w:eastAsia="zh-CN" w:bidi="ar"/>
        </w:rPr>
        <w:t>二是执行管理情况。</w:t>
      </w:r>
      <w:r>
        <w:rPr>
          <w:rFonts w:hint="eastAsia" w:ascii="仿宋" w:hAnsi="仿宋" w:eastAsia="仿宋" w:cs="仿宋"/>
          <w:color w:val="000000"/>
          <w:kern w:val="0"/>
          <w:sz w:val="31"/>
          <w:szCs w:val="31"/>
          <w:lang w:val="en-US" w:eastAsia="zh-CN" w:bidi="ar"/>
        </w:rPr>
        <w:t>县人大代表服务中心严格按照财政相关文件精神要求对局财务工作执行管理，财政资金支出和使用完全按照相关规定操作，无违纪现象发生。</w:t>
      </w:r>
      <w:r>
        <w:rPr>
          <w:rFonts w:hint="eastAsia" w:ascii="仿宋" w:hAnsi="仿宋" w:eastAsia="仿宋" w:cs="仿宋"/>
          <w:b w:val="0"/>
          <w:bCs w:val="0"/>
          <w:color w:val="000000"/>
          <w:kern w:val="0"/>
          <w:sz w:val="31"/>
          <w:szCs w:val="31"/>
          <w:lang w:val="en-US" w:eastAsia="zh-CN" w:bidi="ar"/>
        </w:rPr>
        <w:t>三是综合管理情况。</w:t>
      </w:r>
      <w:r>
        <w:rPr>
          <w:rFonts w:hint="eastAsia" w:ascii="仿宋" w:hAnsi="仿宋" w:eastAsia="仿宋" w:cs="仿宋"/>
          <w:color w:val="000000"/>
          <w:kern w:val="0"/>
          <w:sz w:val="31"/>
          <w:szCs w:val="31"/>
          <w:lang w:val="en-US" w:eastAsia="zh-CN" w:bidi="ar"/>
        </w:rPr>
        <w:t xml:space="preserve">县人大代表服务中心针对财政规范的目的制定了相关制度，根据财政局下发的文件要求开展工作，做好财政收支工作，做好预算及决算工作，保证县人大代表服务中心财务工作公开透明规范运行。 </w:t>
      </w:r>
    </w:p>
    <w:p>
      <w:pPr>
        <w:pStyle w:val="2"/>
        <w:rPr>
          <w:rFonts w:hint="eastAsia" w:ascii="仿宋" w:hAnsi="仿宋" w:eastAsia="仿宋" w:cs="仿宋"/>
          <w:color w:val="000000"/>
          <w:kern w:val="0"/>
          <w:sz w:val="31"/>
          <w:szCs w:val="31"/>
          <w:lang w:val="en-US" w:eastAsia="zh-CN" w:bidi="ar"/>
        </w:rPr>
      </w:pPr>
    </w:p>
    <w:p>
      <w:pPr>
        <w:rPr>
          <w:rFonts w:hint="eastAsia" w:ascii="仿宋" w:hAnsi="仿宋" w:eastAsia="仿宋" w:cs="仿宋"/>
          <w:color w:val="000000"/>
          <w:kern w:val="0"/>
          <w:sz w:val="31"/>
          <w:szCs w:val="31"/>
          <w:lang w:val="en-US" w:eastAsia="zh-CN" w:bidi="ar"/>
        </w:rPr>
      </w:pPr>
    </w:p>
    <w:p>
      <w:pPr>
        <w:pStyle w:val="2"/>
        <w:rPr>
          <w:rFonts w:hint="eastAsia"/>
        </w:rPr>
      </w:pPr>
    </w:p>
    <w:p>
      <w:pPr>
        <w:snapToGrid w:val="0"/>
        <w:spacing w:line="360" w:lineRule="auto"/>
        <w:ind w:firstLine="640" w:firstLineChars="200"/>
        <w:rPr>
          <w:rFonts w:hint="eastAsia" w:ascii="仿宋" w:hAnsi="仿宋" w:eastAsia="仿宋"/>
          <w:sz w:val="32"/>
          <w:szCs w:val="32"/>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8"/>
        <w:gridCol w:w="1965"/>
        <w:gridCol w:w="1410"/>
        <w:gridCol w:w="1760"/>
        <w:gridCol w:w="19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8" w:type="dxa"/>
            <w:tcBorders>
              <w:top w:val="single" w:color="auto" w:sz="4" w:space="0"/>
              <w:left w:val="single" w:color="auto" w:sz="4" w:space="0"/>
              <w:bottom w:val="single" w:color="auto" w:sz="4" w:space="0"/>
              <w:right w:val="single" w:color="auto" w:sz="4" w:space="0"/>
            </w:tcBorders>
            <w:noWrap w:val="0"/>
            <w:vAlign w:val="top"/>
          </w:tcPr>
          <w:p>
            <w:pPr>
              <w:snapToGrid w:val="0"/>
              <w:spacing w:line="520" w:lineRule="exact"/>
              <w:jc w:val="center"/>
              <w:rPr>
                <w:rFonts w:ascii="仿宋" w:hAnsi="仿宋" w:eastAsia="仿宋"/>
                <w:sz w:val="28"/>
                <w:szCs w:val="28"/>
              </w:rPr>
            </w:pPr>
            <w:r>
              <w:rPr>
                <w:rFonts w:hint="eastAsia" w:ascii="仿宋" w:hAnsi="仿宋" w:eastAsia="仿宋"/>
                <w:sz w:val="28"/>
                <w:szCs w:val="28"/>
              </w:rPr>
              <w:t>功能科目</w:t>
            </w:r>
          </w:p>
        </w:tc>
        <w:tc>
          <w:tcPr>
            <w:tcW w:w="1965"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ascii="仿宋" w:hAnsi="仿宋" w:eastAsia="仿宋"/>
                <w:sz w:val="28"/>
                <w:szCs w:val="28"/>
              </w:rPr>
            </w:pPr>
            <w:r>
              <w:rPr>
                <w:rFonts w:hint="eastAsia" w:ascii="仿宋" w:hAnsi="仿宋" w:eastAsia="仿宋"/>
                <w:sz w:val="28"/>
                <w:szCs w:val="28"/>
              </w:rPr>
              <w:t>科目名称</w:t>
            </w:r>
          </w:p>
        </w:tc>
        <w:tc>
          <w:tcPr>
            <w:tcW w:w="1410"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ascii="仿宋" w:hAnsi="仿宋" w:eastAsia="仿宋"/>
                <w:sz w:val="28"/>
                <w:szCs w:val="28"/>
              </w:rPr>
            </w:pPr>
            <w:r>
              <w:rPr>
                <w:rFonts w:hint="eastAsia" w:ascii="仿宋" w:hAnsi="仿宋" w:eastAsia="仿宋"/>
                <w:sz w:val="28"/>
                <w:szCs w:val="28"/>
              </w:rPr>
              <w:t>预算金额</w:t>
            </w:r>
          </w:p>
          <w:p>
            <w:pPr>
              <w:snapToGrid w:val="0"/>
              <w:spacing w:line="520" w:lineRule="exact"/>
              <w:jc w:val="center"/>
              <w:rPr>
                <w:rFonts w:ascii="仿宋" w:hAnsi="仿宋" w:eastAsia="仿宋"/>
                <w:sz w:val="28"/>
                <w:szCs w:val="28"/>
              </w:rPr>
            </w:pPr>
            <w:r>
              <w:rPr>
                <w:rFonts w:hint="eastAsia" w:ascii="仿宋" w:hAnsi="仿宋" w:eastAsia="仿宋"/>
                <w:sz w:val="28"/>
                <w:szCs w:val="28"/>
              </w:rPr>
              <w:t>（万元）</w:t>
            </w:r>
          </w:p>
        </w:tc>
        <w:tc>
          <w:tcPr>
            <w:tcW w:w="1760"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ascii="仿宋" w:hAnsi="仿宋" w:eastAsia="仿宋"/>
                <w:sz w:val="28"/>
                <w:szCs w:val="28"/>
              </w:rPr>
            </w:pPr>
            <w:r>
              <w:rPr>
                <w:rFonts w:hint="eastAsia" w:ascii="仿宋" w:hAnsi="仿宋" w:eastAsia="仿宋"/>
                <w:sz w:val="28"/>
                <w:szCs w:val="28"/>
              </w:rPr>
              <w:t>决算金额</w:t>
            </w:r>
          </w:p>
          <w:p>
            <w:pPr>
              <w:snapToGrid w:val="0"/>
              <w:spacing w:line="520" w:lineRule="exact"/>
              <w:jc w:val="center"/>
              <w:rPr>
                <w:rFonts w:ascii="仿宋" w:hAnsi="仿宋" w:eastAsia="仿宋"/>
                <w:sz w:val="28"/>
                <w:szCs w:val="28"/>
              </w:rPr>
            </w:pPr>
            <w:r>
              <w:rPr>
                <w:rFonts w:hint="eastAsia" w:ascii="仿宋" w:hAnsi="仿宋" w:eastAsia="仿宋"/>
                <w:sz w:val="28"/>
                <w:szCs w:val="28"/>
              </w:rPr>
              <w:t>（万元）</w:t>
            </w:r>
          </w:p>
        </w:tc>
        <w:tc>
          <w:tcPr>
            <w:tcW w:w="1949"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pPr>
            <w:r>
              <w:rPr>
                <w:rFonts w:hint="eastAsia"/>
              </w:rPr>
              <w:t>差异</w:t>
            </w:r>
            <w:r>
              <w:rPr>
                <w:rFonts w:hint="eastAsia" w:ascii="仿宋" w:hAnsi="仿宋" w:eastAsia="仿宋"/>
                <w:sz w:val="28"/>
                <w:szCs w:val="28"/>
              </w:rPr>
              <w:t>金额</w:t>
            </w:r>
          </w:p>
          <w:p>
            <w:pPr>
              <w:pStyle w:val="6"/>
              <w:ind w:left="0" w:leftChars="0" w:firstLine="0" w:firstLineChars="0"/>
              <w:jc w:val="center"/>
              <w:rPr>
                <w:rFonts w:cs="Times New Roman"/>
              </w:rPr>
            </w:pPr>
            <w:r>
              <w:rPr>
                <w:rFonts w:hint="eastAsia" w:ascii="仿宋" w:hAnsi="仿宋" w:eastAsia="仿宋" w:cs="Times New Roman"/>
                <w:sz w:val="28"/>
                <w:szCs w:val="28"/>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8" w:type="dxa"/>
            <w:tcBorders>
              <w:top w:val="single" w:color="auto" w:sz="4" w:space="0"/>
              <w:left w:val="single" w:color="auto" w:sz="4" w:space="0"/>
              <w:bottom w:val="single" w:color="auto" w:sz="4" w:space="0"/>
              <w:right w:val="single" w:color="auto" w:sz="4" w:space="0"/>
            </w:tcBorders>
            <w:noWrap w:val="0"/>
            <w:vAlign w:val="top"/>
          </w:tcPr>
          <w:p>
            <w:pPr>
              <w:snapToGrid w:val="0"/>
              <w:spacing w:line="520" w:lineRule="exact"/>
              <w:jc w:val="center"/>
              <w:rPr>
                <w:rFonts w:ascii="仿宋" w:hAnsi="仿宋" w:eastAsia="仿宋"/>
                <w:sz w:val="28"/>
                <w:szCs w:val="28"/>
              </w:rPr>
            </w:pPr>
            <w:r>
              <w:rPr>
                <w:rFonts w:hint="eastAsia" w:ascii="仿宋" w:hAnsi="仿宋" w:eastAsia="仿宋"/>
                <w:sz w:val="28"/>
                <w:szCs w:val="28"/>
              </w:rPr>
              <w:t>2010150</w:t>
            </w:r>
          </w:p>
        </w:tc>
        <w:tc>
          <w:tcPr>
            <w:tcW w:w="1965"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ascii="仿宋" w:hAnsi="仿宋" w:eastAsia="仿宋"/>
                <w:sz w:val="28"/>
                <w:szCs w:val="28"/>
              </w:rPr>
            </w:pPr>
            <w:r>
              <w:rPr>
                <w:rFonts w:hint="eastAsia" w:ascii="仿宋" w:hAnsi="仿宋" w:eastAsia="仿宋"/>
                <w:sz w:val="28"/>
                <w:szCs w:val="28"/>
              </w:rPr>
              <w:t>事业运行</w:t>
            </w:r>
          </w:p>
        </w:tc>
        <w:tc>
          <w:tcPr>
            <w:tcW w:w="1410"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hint="default" w:ascii="仿宋" w:hAnsi="仿宋" w:eastAsia="仿宋"/>
                <w:sz w:val="28"/>
                <w:szCs w:val="28"/>
                <w:lang w:val="en-US" w:eastAsia="zh-CN"/>
              </w:rPr>
            </w:pPr>
            <w:r>
              <w:rPr>
                <w:rFonts w:hint="eastAsia" w:ascii="仿宋" w:hAnsi="仿宋" w:eastAsia="仿宋"/>
                <w:sz w:val="28"/>
                <w:szCs w:val="28"/>
                <w:lang w:val="en-US" w:eastAsia="zh-CN"/>
              </w:rPr>
              <w:t>64.81</w:t>
            </w:r>
          </w:p>
        </w:tc>
        <w:tc>
          <w:tcPr>
            <w:tcW w:w="1760"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hint="default" w:ascii="仿宋" w:hAnsi="仿宋" w:eastAsia="仿宋"/>
                <w:kern w:val="2"/>
                <w:sz w:val="28"/>
                <w:szCs w:val="28"/>
                <w:lang w:val="en-US" w:eastAsia="zh-CN"/>
              </w:rPr>
            </w:pPr>
            <w:r>
              <w:rPr>
                <w:rFonts w:hint="eastAsia" w:ascii="仿宋" w:hAnsi="仿宋" w:eastAsia="仿宋"/>
                <w:kern w:val="2"/>
                <w:sz w:val="28"/>
                <w:szCs w:val="28"/>
                <w:lang w:val="en-US" w:eastAsia="zh-CN"/>
              </w:rPr>
              <w:t>64.81</w:t>
            </w:r>
          </w:p>
        </w:tc>
        <w:tc>
          <w:tcPr>
            <w:tcW w:w="1949"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ascii="仿宋" w:hAnsi="仿宋" w:eastAsia="仿宋"/>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8" w:type="dxa"/>
            <w:tcBorders>
              <w:top w:val="single" w:color="auto" w:sz="4" w:space="0"/>
              <w:left w:val="single" w:color="auto" w:sz="4" w:space="0"/>
              <w:bottom w:val="single" w:color="auto" w:sz="4" w:space="0"/>
              <w:right w:val="single" w:color="auto" w:sz="4" w:space="0"/>
            </w:tcBorders>
            <w:noWrap w:val="0"/>
            <w:vAlign w:val="top"/>
          </w:tcPr>
          <w:p>
            <w:pPr>
              <w:snapToGrid w:val="0"/>
              <w:spacing w:line="520" w:lineRule="exact"/>
              <w:jc w:val="center"/>
              <w:rPr>
                <w:rFonts w:ascii="仿宋" w:hAnsi="仿宋" w:eastAsia="仿宋"/>
                <w:sz w:val="28"/>
                <w:szCs w:val="28"/>
              </w:rPr>
            </w:pPr>
            <w:r>
              <w:rPr>
                <w:rFonts w:hint="eastAsia" w:ascii="仿宋" w:hAnsi="仿宋" w:eastAsia="仿宋"/>
                <w:sz w:val="28"/>
                <w:szCs w:val="28"/>
              </w:rPr>
              <w:t>2080505</w:t>
            </w:r>
          </w:p>
        </w:tc>
        <w:tc>
          <w:tcPr>
            <w:tcW w:w="1965"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ascii="仿宋" w:hAnsi="仿宋" w:eastAsia="仿宋"/>
                <w:sz w:val="28"/>
                <w:szCs w:val="28"/>
              </w:rPr>
            </w:pPr>
            <w:r>
              <w:rPr>
                <w:rFonts w:hint="eastAsia" w:ascii="仿宋" w:hAnsi="仿宋" w:eastAsia="仿宋"/>
                <w:sz w:val="28"/>
                <w:szCs w:val="28"/>
              </w:rPr>
              <w:t>养老保险</w:t>
            </w:r>
          </w:p>
        </w:tc>
        <w:tc>
          <w:tcPr>
            <w:tcW w:w="1410"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hint="default" w:ascii="仿宋" w:hAnsi="仿宋" w:eastAsia="仿宋"/>
                <w:sz w:val="28"/>
                <w:szCs w:val="28"/>
                <w:lang w:val="en-US" w:eastAsia="zh-CN"/>
              </w:rPr>
            </w:pPr>
            <w:r>
              <w:rPr>
                <w:rFonts w:hint="eastAsia" w:ascii="仿宋" w:hAnsi="仿宋" w:eastAsia="仿宋"/>
                <w:sz w:val="28"/>
                <w:szCs w:val="28"/>
                <w:lang w:val="en-US" w:eastAsia="zh-CN"/>
              </w:rPr>
              <w:t>7.32</w:t>
            </w:r>
          </w:p>
        </w:tc>
        <w:tc>
          <w:tcPr>
            <w:tcW w:w="1760"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hint="default" w:ascii="仿宋" w:hAnsi="仿宋" w:eastAsia="仿宋"/>
                <w:kern w:val="2"/>
                <w:sz w:val="28"/>
                <w:szCs w:val="28"/>
                <w:lang w:val="en-US" w:eastAsia="zh-CN"/>
              </w:rPr>
            </w:pPr>
            <w:r>
              <w:rPr>
                <w:rFonts w:hint="eastAsia" w:ascii="仿宋" w:hAnsi="仿宋" w:eastAsia="仿宋"/>
                <w:kern w:val="2"/>
                <w:sz w:val="28"/>
                <w:szCs w:val="28"/>
                <w:lang w:val="en-US" w:eastAsia="zh-CN"/>
              </w:rPr>
              <w:t>7.32</w:t>
            </w:r>
          </w:p>
        </w:tc>
        <w:tc>
          <w:tcPr>
            <w:tcW w:w="1949"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ascii="仿宋" w:hAnsi="仿宋" w:eastAsia="仿宋"/>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8" w:type="dxa"/>
            <w:tcBorders>
              <w:top w:val="single" w:color="auto" w:sz="4" w:space="0"/>
              <w:left w:val="single" w:color="auto" w:sz="4" w:space="0"/>
              <w:bottom w:val="single" w:color="auto" w:sz="4" w:space="0"/>
              <w:right w:val="single" w:color="auto" w:sz="4" w:space="0"/>
            </w:tcBorders>
            <w:noWrap w:val="0"/>
            <w:vAlign w:val="top"/>
          </w:tcPr>
          <w:p>
            <w:pPr>
              <w:snapToGrid w:val="0"/>
              <w:spacing w:line="520" w:lineRule="exact"/>
              <w:jc w:val="center"/>
              <w:rPr>
                <w:rFonts w:ascii="仿宋" w:hAnsi="仿宋" w:eastAsia="仿宋"/>
                <w:sz w:val="28"/>
                <w:szCs w:val="28"/>
              </w:rPr>
            </w:pPr>
            <w:r>
              <w:rPr>
                <w:rFonts w:hint="eastAsia" w:ascii="仿宋" w:hAnsi="仿宋" w:eastAsia="仿宋"/>
                <w:sz w:val="28"/>
                <w:szCs w:val="28"/>
              </w:rPr>
              <w:t>2080506</w:t>
            </w:r>
          </w:p>
        </w:tc>
        <w:tc>
          <w:tcPr>
            <w:tcW w:w="1965"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ascii="仿宋" w:hAnsi="仿宋" w:eastAsia="仿宋"/>
                <w:sz w:val="28"/>
                <w:szCs w:val="28"/>
              </w:rPr>
            </w:pPr>
            <w:r>
              <w:rPr>
                <w:rFonts w:hint="eastAsia" w:ascii="仿宋" w:hAnsi="仿宋" w:eastAsia="仿宋"/>
                <w:sz w:val="28"/>
                <w:szCs w:val="28"/>
              </w:rPr>
              <w:t>职业年金</w:t>
            </w:r>
          </w:p>
        </w:tc>
        <w:tc>
          <w:tcPr>
            <w:tcW w:w="1410"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hint="default" w:ascii="仿宋" w:hAnsi="仿宋" w:eastAsia="仿宋"/>
                <w:sz w:val="28"/>
                <w:szCs w:val="28"/>
                <w:lang w:val="en-US" w:eastAsia="zh-CN"/>
              </w:rPr>
            </w:pPr>
            <w:r>
              <w:rPr>
                <w:rFonts w:hint="eastAsia" w:ascii="仿宋" w:hAnsi="仿宋" w:eastAsia="仿宋"/>
                <w:sz w:val="28"/>
                <w:szCs w:val="28"/>
                <w:lang w:val="en-US" w:eastAsia="zh-CN"/>
              </w:rPr>
              <w:t>3.74</w:t>
            </w:r>
          </w:p>
        </w:tc>
        <w:tc>
          <w:tcPr>
            <w:tcW w:w="1760"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hint="default" w:ascii="仿宋" w:hAnsi="仿宋" w:eastAsia="仿宋"/>
                <w:kern w:val="2"/>
                <w:sz w:val="28"/>
                <w:szCs w:val="28"/>
                <w:lang w:val="en-US" w:eastAsia="zh-CN"/>
              </w:rPr>
            </w:pPr>
            <w:r>
              <w:rPr>
                <w:rFonts w:hint="eastAsia" w:ascii="仿宋" w:hAnsi="仿宋" w:eastAsia="仿宋"/>
                <w:kern w:val="2"/>
                <w:sz w:val="28"/>
                <w:szCs w:val="28"/>
                <w:lang w:val="en-US" w:eastAsia="zh-CN"/>
              </w:rPr>
              <w:t>3.74</w:t>
            </w:r>
          </w:p>
        </w:tc>
        <w:tc>
          <w:tcPr>
            <w:tcW w:w="1949"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ascii="仿宋" w:hAnsi="仿宋" w:eastAsia="仿宋"/>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8" w:type="dxa"/>
            <w:tcBorders>
              <w:top w:val="single" w:color="auto" w:sz="4" w:space="0"/>
              <w:left w:val="single" w:color="auto" w:sz="4" w:space="0"/>
              <w:bottom w:val="single" w:color="auto" w:sz="4" w:space="0"/>
              <w:right w:val="single" w:color="auto" w:sz="4" w:space="0"/>
            </w:tcBorders>
            <w:noWrap w:val="0"/>
            <w:vAlign w:val="top"/>
          </w:tcPr>
          <w:p>
            <w:pPr>
              <w:snapToGrid w:val="0"/>
              <w:spacing w:line="520" w:lineRule="exact"/>
              <w:jc w:val="center"/>
              <w:rPr>
                <w:rFonts w:ascii="仿宋" w:hAnsi="仿宋" w:eastAsia="仿宋"/>
                <w:sz w:val="28"/>
                <w:szCs w:val="28"/>
              </w:rPr>
            </w:pPr>
            <w:r>
              <w:rPr>
                <w:rFonts w:hint="eastAsia" w:ascii="仿宋" w:hAnsi="仿宋" w:eastAsia="仿宋"/>
                <w:sz w:val="28"/>
                <w:szCs w:val="28"/>
              </w:rPr>
              <w:t>2101102</w:t>
            </w:r>
          </w:p>
        </w:tc>
        <w:tc>
          <w:tcPr>
            <w:tcW w:w="1965"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ascii="仿宋" w:hAnsi="仿宋" w:eastAsia="仿宋"/>
                <w:sz w:val="28"/>
                <w:szCs w:val="28"/>
              </w:rPr>
            </w:pPr>
            <w:r>
              <w:rPr>
                <w:rFonts w:hint="eastAsia" w:ascii="仿宋" w:hAnsi="仿宋" w:eastAsia="仿宋"/>
                <w:sz w:val="28"/>
                <w:szCs w:val="28"/>
              </w:rPr>
              <w:t>事业单位医疗</w:t>
            </w:r>
          </w:p>
        </w:tc>
        <w:tc>
          <w:tcPr>
            <w:tcW w:w="1410"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hint="default" w:ascii="仿宋" w:hAnsi="仿宋" w:eastAsia="仿宋"/>
                <w:sz w:val="28"/>
                <w:szCs w:val="28"/>
                <w:lang w:val="en-US" w:eastAsia="zh-CN"/>
              </w:rPr>
            </w:pPr>
            <w:r>
              <w:rPr>
                <w:rFonts w:hint="eastAsia" w:ascii="仿宋" w:hAnsi="仿宋" w:eastAsia="仿宋"/>
                <w:sz w:val="28"/>
                <w:szCs w:val="28"/>
                <w:lang w:val="en-US" w:eastAsia="zh-CN"/>
              </w:rPr>
              <w:t>3.59</w:t>
            </w:r>
          </w:p>
        </w:tc>
        <w:tc>
          <w:tcPr>
            <w:tcW w:w="1760"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hint="default" w:ascii="仿宋" w:hAnsi="仿宋" w:eastAsia="仿宋"/>
                <w:kern w:val="2"/>
                <w:sz w:val="28"/>
                <w:szCs w:val="28"/>
                <w:lang w:val="en-US" w:eastAsia="zh-CN"/>
              </w:rPr>
            </w:pPr>
            <w:r>
              <w:rPr>
                <w:rFonts w:hint="eastAsia" w:ascii="仿宋" w:hAnsi="仿宋" w:eastAsia="仿宋"/>
                <w:kern w:val="2"/>
                <w:sz w:val="28"/>
                <w:szCs w:val="28"/>
                <w:lang w:val="en-US" w:eastAsia="zh-CN"/>
              </w:rPr>
              <w:t>3.59</w:t>
            </w:r>
          </w:p>
        </w:tc>
        <w:tc>
          <w:tcPr>
            <w:tcW w:w="1949"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ascii="仿宋" w:hAnsi="仿宋" w:eastAsia="仿宋"/>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8" w:type="dxa"/>
            <w:tcBorders>
              <w:top w:val="single" w:color="auto" w:sz="4" w:space="0"/>
              <w:left w:val="single" w:color="auto" w:sz="4" w:space="0"/>
              <w:bottom w:val="single" w:color="auto" w:sz="4" w:space="0"/>
              <w:right w:val="single" w:color="auto" w:sz="4" w:space="0"/>
            </w:tcBorders>
            <w:noWrap w:val="0"/>
            <w:vAlign w:val="top"/>
          </w:tcPr>
          <w:p>
            <w:pPr>
              <w:snapToGrid w:val="0"/>
              <w:spacing w:line="520" w:lineRule="exact"/>
              <w:jc w:val="center"/>
              <w:rPr>
                <w:rFonts w:ascii="仿宋" w:hAnsi="仿宋" w:eastAsia="仿宋"/>
                <w:sz w:val="28"/>
                <w:szCs w:val="28"/>
              </w:rPr>
            </w:pPr>
            <w:r>
              <w:rPr>
                <w:rFonts w:hint="eastAsia" w:ascii="仿宋" w:hAnsi="仿宋" w:eastAsia="仿宋"/>
                <w:sz w:val="28"/>
                <w:szCs w:val="28"/>
              </w:rPr>
              <w:t>2101103</w:t>
            </w:r>
          </w:p>
        </w:tc>
        <w:tc>
          <w:tcPr>
            <w:tcW w:w="1965"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ascii="仿宋" w:hAnsi="仿宋" w:eastAsia="仿宋"/>
                <w:sz w:val="28"/>
                <w:szCs w:val="28"/>
              </w:rPr>
            </w:pPr>
            <w:r>
              <w:rPr>
                <w:rFonts w:hint="eastAsia" w:ascii="仿宋" w:hAnsi="仿宋" w:eastAsia="仿宋"/>
                <w:sz w:val="28"/>
                <w:szCs w:val="28"/>
              </w:rPr>
              <w:t>公务员医疗</w:t>
            </w:r>
          </w:p>
        </w:tc>
        <w:tc>
          <w:tcPr>
            <w:tcW w:w="1410"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hint="default" w:ascii="仿宋" w:hAnsi="仿宋" w:eastAsia="仿宋"/>
                <w:sz w:val="28"/>
                <w:szCs w:val="28"/>
                <w:lang w:val="en-US" w:eastAsia="zh-CN"/>
              </w:rPr>
            </w:pPr>
            <w:r>
              <w:rPr>
                <w:rFonts w:hint="eastAsia" w:ascii="仿宋" w:hAnsi="仿宋" w:eastAsia="仿宋"/>
                <w:sz w:val="28"/>
                <w:szCs w:val="28"/>
                <w:lang w:val="en-US" w:eastAsia="zh-CN"/>
              </w:rPr>
              <w:t>0.88</w:t>
            </w:r>
          </w:p>
        </w:tc>
        <w:tc>
          <w:tcPr>
            <w:tcW w:w="1760"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hint="default" w:ascii="仿宋" w:hAnsi="仿宋" w:eastAsia="仿宋"/>
                <w:sz w:val="28"/>
                <w:szCs w:val="28"/>
                <w:lang w:val="en-US" w:eastAsia="zh-CN"/>
              </w:rPr>
            </w:pPr>
            <w:r>
              <w:rPr>
                <w:rFonts w:hint="eastAsia" w:ascii="仿宋" w:hAnsi="仿宋" w:eastAsia="仿宋"/>
                <w:sz w:val="28"/>
                <w:szCs w:val="28"/>
                <w:lang w:val="en-US" w:eastAsia="zh-CN"/>
              </w:rPr>
              <w:t>0.88</w:t>
            </w:r>
          </w:p>
        </w:tc>
        <w:tc>
          <w:tcPr>
            <w:tcW w:w="1949"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8" w:type="dxa"/>
            <w:tcBorders>
              <w:top w:val="single" w:color="auto" w:sz="4" w:space="0"/>
              <w:left w:val="single" w:color="auto" w:sz="4" w:space="0"/>
              <w:bottom w:val="single" w:color="auto" w:sz="4" w:space="0"/>
              <w:right w:val="single" w:color="auto" w:sz="4" w:space="0"/>
            </w:tcBorders>
            <w:noWrap w:val="0"/>
            <w:vAlign w:val="top"/>
          </w:tcPr>
          <w:p>
            <w:pPr>
              <w:snapToGrid w:val="0"/>
              <w:spacing w:line="520" w:lineRule="exact"/>
              <w:jc w:val="center"/>
              <w:rPr>
                <w:rFonts w:ascii="仿宋" w:hAnsi="仿宋" w:eastAsia="仿宋"/>
                <w:sz w:val="28"/>
                <w:szCs w:val="28"/>
              </w:rPr>
            </w:pPr>
            <w:r>
              <w:rPr>
                <w:rFonts w:hint="eastAsia" w:ascii="仿宋" w:hAnsi="仿宋" w:eastAsia="仿宋"/>
                <w:sz w:val="28"/>
                <w:szCs w:val="28"/>
              </w:rPr>
              <w:t>2210201</w:t>
            </w:r>
          </w:p>
        </w:tc>
        <w:tc>
          <w:tcPr>
            <w:tcW w:w="1965"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ascii="仿宋" w:hAnsi="仿宋" w:eastAsia="仿宋"/>
                <w:sz w:val="28"/>
                <w:szCs w:val="28"/>
              </w:rPr>
            </w:pPr>
            <w:r>
              <w:rPr>
                <w:rFonts w:hint="eastAsia" w:ascii="仿宋" w:hAnsi="仿宋" w:eastAsia="仿宋"/>
                <w:sz w:val="28"/>
                <w:szCs w:val="28"/>
              </w:rPr>
              <w:t>住房公积金</w:t>
            </w:r>
          </w:p>
        </w:tc>
        <w:tc>
          <w:tcPr>
            <w:tcW w:w="1410"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hint="default" w:ascii="仿宋" w:hAnsi="仿宋" w:eastAsia="仿宋"/>
                <w:sz w:val="28"/>
                <w:szCs w:val="28"/>
                <w:lang w:val="en-US" w:eastAsia="zh-CN"/>
              </w:rPr>
            </w:pPr>
            <w:r>
              <w:rPr>
                <w:rFonts w:hint="eastAsia" w:ascii="仿宋" w:hAnsi="仿宋" w:eastAsia="仿宋"/>
                <w:sz w:val="28"/>
                <w:szCs w:val="28"/>
                <w:lang w:val="en-US" w:eastAsia="zh-CN"/>
              </w:rPr>
              <w:t>6.10</w:t>
            </w:r>
          </w:p>
        </w:tc>
        <w:tc>
          <w:tcPr>
            <w:tcW w:w="1760"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hint="default" w:ascii="仿宋" w:hAnsi="仿宋" w:eastAsia="仿宋"/>
                <w:kern w:val="2"/>
                <w:sz w:val="28"/>
                <w:szCs w:val="28"/>
                <w:lang w:val="en-US" w:eastAsia="zh-CN"/>
              </w:rPr>
            </w:pPr>
            <w:r>
              <w:rPr>
                <w:rFonts w:hint="eastAsia" w:ascii="仿宋" w:hAnsi="仿宋" w:eastAsia="仿宋"/>
                <w:kern w:val="2"/>
                <w:sz w:val="28"/>
                <w:szCs w:val="28"/>
                <w:lang w:val="en-US" w:eastAsia="zh-CN"/>
              </w:rPr>
              <w:t>6.10</w:t>
            </w:r>
          </w:p>
        </w:tc>
        <w:tc>
          <w:tcPr>
            <w:tcW w:w="1949"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ascii="仿宋" w:hAnsi="仿宋" w:eastAsia="仿宋"/>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03" w:type="dxa"/>
            <w:gridSpan w:val="2"/>
            <w:tcBorders>
              <w:top w:val="single" w:color="auto" w:sz="4" w:space="0"/>
              <w:left w:val="single" w:color="auto" w:sz="4" w:space="0"/>
              <w:bottom w:val="single" w:color="auto" w:sz="4" w:space="0"/>
              <w:right w:val="single" w:color="auto" w:sz="4" w:space="0"/>
            </w:tcBorders>
            <w:noWrap w:val="0"/>
            <w:vAlign w:val="top"/>
          </w:tcPr>
          <w:p>
            <w:pPr>
              <w:snapToGrid w:val="0"/>
              <w:spacing w:line="520" w:lineRule="exact"/>
              <w:jc w:val="center"/>
              <w:rPr>
                <w:rFonts w:hint="eastAsia" w:ascii="仿宋" w:hAnsi="仿宋" w:eastAsia="仿宋"/>
                <w:sz w:val="28"/>
                <w:szCs w:val="28"/>
                <w:lang w:eastAsia="zh-CN"/>
              </w:rPr>
            </w:pPr>
            <w:r>
              <w:rPr>
                <w:rFonts w:hint="eastAsia" w:ascii="仿宋" w:hAnsi="仿宋" w:eastAsia="仿宋"/>
                <w:sz w:val="28"/>
                <w:szCs w:val="28"/>
                <w:lang w:eastAsia="zh-CN"/>
              </w:rPr>
              <w:t>合计</w:t>
            </w:r>
          </w:p>
        </w:tc>
        <w:tc>
          <w:tcPr>
            <w:tcW w:w="1410"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hint="default" w:ascii="仿宋" w:hAnsi="仿宋" w:eastAsia="仿宋"/>
                <w:sz w:val="28"/>
                <w:szCs w:val="28"/>
                <w:lang w:val="en-US" w:eastAsia="zh-CN"/>
              </w:rPr>
            </w:pPr>
            <w:r>
              <w:rPr>
                <w:rFonts w:hint="eastAsia" w:ascii="仿宋" w:hAnsi="仿宋" w:eastAsia="仿宋"/>
                <w:sz w:val="28"/>
                <w:szCs w:val="28"/>
                <w:lang w:val="en-US" w:eastAsia="zh-CN"/>
              </w:rPr>
              <w:t>86.45</w:t>
            </w:r>
          </w:p>
        </w:tc>
        <w:tc>
          <w:tcPr>
            <w:tcW w:w="1760"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hint="default" w:ascii="仿宋" w:hAnsi="仿宋" w:eastAsia="仿宋"/>
                <w:kern w:val="2"/>
                <w:sz w:val="28"/>
                <w:szCs w:val="28"/>
                <w:lang w:val="en-US" w:eastAsia="zh-CN"/>
              </w:rPr>
            </w:pPr>
            <w:r>
              <w:rPr>
                <w:rFonts w:hint="eastAsia" w:ascii="仿宋" w:hAnsi="仿宋" w:eastAsia="仿宋"/>
                <w:kern w:val="2"/>
                <w:sz w:val="28"/>
                <w:szCs w:val="28"/>
                <w:lang w:val="en-US" w:eastAsia="zh-CN"/>
              </w:rPr>
              <w:t>86.45</w:t>
            </w:r>
          </w:p>
        </w:tc>
        <w:tc>
          <w:tcPr>
            <w:tcW w:w="1949" w:type="dxa"/>
            <w:tcBorders>
              <w:top w:val="single" w:color="auto" w:sz="4" w:space="0"/>
              <w:left w:val="nil"/>
              <w:bottom w:val="single" w:color="auto" w:sz="4" w:space="0"/>
              <w:right w:val="single" w:color="auto" w:sz="4" w:space="0"/>
            </w:tcBorders>
            <w:noWrap w:val="0"/>
            <w:vAlign w:val="top"/>
          </w:tcPr>
          <w:p>
            <w:pPr>
              <w:snapToGrid w:val="0"/>
              <w:spacing w:line="520" w:lineRule="exact"/>
              <w:jc w:val="center"/>
              <w:rPr>
                <w:rFonts w:ascii="仿宋" w:hAnsi="仿宋" w:eastAsia="仿宋"/>
                <w:kern w:val="2"/>
                <w:sz w:val="28"/>
                <w:szCs w:val="28"/>
              </w:rPr>
            </w:pPr>
          </w:p>
        </w:tc>
      </w:tr>
    </w:tbl>
    <w:p>
      <w:pPr>
        <w:snapToGrid w:val="0"/>
        <w:spacing w:line="360" w:lineRule="auto"/>
        <w:rPr>
          <w:rFonts w:hint="eastAsia" w:ascii="仿宋" w:hAnsi="仿宋" w:eastAsia="仿宋"/>
          <w:sz w:val="32"/>
          <w:szCs w:val="32"/>
          <w:lang w:val="en-US" w:eastAsia="zh-CN"/>
        </w:rPr>
      </w:pPr>
    </w:p>
    <w:p>
      <w:pPr>
        <w:numPr>
          <w:ilvl w:val="0"/>
          <w:numId w:val="2"/>
        </w:numPr>
        <w:snapToGrid w:val="0"/>
        <w:spacing w:line="360" w:lineRule="auto"/>
        <w:ind w:firstLine="642" w:firstLineChars="200"/>
        <w:rPr>
          <w:rFonts w:hint="eastAsia" w:ascii="仿宋" w:hAnsi="仿宋" w:eastAsia="仿宋"/>
          <w:sz w:val="32"/>
          <w:szCs w:val="32"/>
          <w:lang w:val="en-US" w:eastAsia="zh-CN"/>
        </w:rPr>
      </w:pPr>
      <w:r>
        <w:rPr>
          <w:rFonts w:hint="eastAsia" w:ascii="仿宋" w:hAnsi="仿宋" w:eastAsia="仿宋"/>
          <w:b/>
          <w:bCs/>
          <w:sz w:val="32"/>
          <w:szCs w:val="32"/>
          <w:lang w:val="en-US" w:eastAsia="zh-CN"/>
        </w:rPr>
        <w:t>专项预算管理。</w:t>
      </w:r>
      <w:r>
        <w:rPr>
          <w:rFonts w:hint="eastAsia" w:ascii="仿宋" w:hAnsi="仿宋" w:eastAsia="仿宋"/>
          <w:sz w:val="32"/>
          <w:szCs w:val="32"/>
          <w:lang w:val="en-US" w:eastAsia="zh-CN"/>
        </w:rPr>
        <w:t>无专项。</w:t>
      </w:r>
    </w:p>
    <w:p>
      <w:pPr>
        <w:numPr>
          <w:ilvl w:val="0"/>
          <w:numId w:val="0"/>
        </w:numPr>
        <w:snapToGrid w:val="0"/>
        <w:spacing w:line="360" w:lineRule="auto"/>
        <w:ind w:firstLine="642" w:firstLineChars="200"/>
        <w:rPr>
          <w:rFonts w:hint="eastAsia" w:ascii="仿宋" w:hAnsi="仿宋" w:eastAsia="仿宋"/>
          <w:sz w:val="32"/>
          <w:szCs w:val="32"/>
          <w:lang w:val="en-US" w:eastAsia="zh-CN"/>
        </w:rPr>
      </w:pPr>
      <w:r>
        <w:rPr>
          <w:rFonts w:hint="eastAsia" w:ascii="仿宋" w:hAnsi="仿宋" w:eastAsia="仿宋"/>
          <w:b/>
          <w:bCs/>
          <w:sz w:val="32"/>
          <w:szCs w:val="32"/>
          <w:lang w:val="en-US" w:eastAsia="zh-CN"/>
        </w:rPr>
        <w:t>（三）结果应用情况。</w:t>
      </w:r>
      <w:r>
        <w:rPr>
          <w:rFonts w:hint="eastAsia" w:ascii="仿宋" w:hAnsi="仿宋" w:eastAsia="仿宋"/>
          <w:sz w:val="32"/>
          <w:szCs w:val="32"/>
          <w:lang w:val="en-US" w:eastAsia="zh-CN"/>
        </w:rPr>
        <w:t>2024年共计支出86.45万元，较上年82.78万元增加3.67万元，同比增长4.43%。</w:t>
      </w:r>
    </w:p>
    <w:p>
      <w:pPr>
        <w:snapToGrid w:val="0"/>
        <w:spacing w:line="360" w:lineRule="auto"/>
        <w:ind w:firstLine="642" w:firstLineChars="200"/>
        <w:rPr>
          <w:rFonts w:hint="eastAsia" w:ascii="仿宋" w:hAnsi="仿宋" w:eastAsia="仿宋"/>
          <w:sz w:val="32"/>
          <w:szCs w:val="32"/>
          <w:lang w:val="en-US" w:eastAsia="zh-CN"/>
        </w:rPr>
      </w:pPr>
      <w:r>
        <w:rPr>
          <w:rStyle w:val="9"/>
          <w:rFonts w:hint="eastAsia" w:ascii="仿宋" w:hAnsi="仿宋" w:eastAsia="仿宋" w:cs="仿宋"/>
          <w:bCs/>
          <w:color w:val="000000"/>
          <w:sz w:val="32"/>
          <w:szCs w:val="32"/>
        </w:rPr>
        <w:t>一般公共服务（类）</w:t>
      </w:r>
      <w:r>
        <w:rPr>
          <w:rStyle w:val="9"/>
          <w:rFonts w:hint="eastAsia" w:ascii="仿宋" w:hAnsi="仿宋" w:eastAsia="仿宋" w:cs="仿宋"/>
          <w:bCs/>
          <w:color w:val="000000"/>
          <w:sz w:val="32"/>
          <w:szCs w:val="32"/>
          <w:lang w:val="en-US" w:eastAsia="zh-CN"/>
        </w:rPr>
        <w:t>201</w:t>
      </w:r>
      <w:r>
        <w:rPr>
          <w:rStyle w:val="9"/>
          <w:rFonts w:hint="eastAsia" w:ascii="仿宋" w:hAnsi="仿宋" w:eastAsia="仿宋" w:cs="仿宋"/>
          <w:bCs/>
          <w:color w:val="000000"/>
          <w:sz w:val="32"/>
          <w:szCs w:val="32"/>
        </w:rPr>
        <w:t>（款）</w:t>
      </w:r>
      <w:r>
        <w:rPr>
          <w:rStyle w:val="9"/>
          <w:rFonts w:hint="eastAsia" w:ascii="仿宋" w:hAnsi="仿宋" w:eastAsia="仿宋" w:cs="仿宋"/>
          <w:bCs/>
          <w:color w:val="000000"/>
          <w:sz w:val="32"/>
          <w:szCs w:val="32"/>
          <w:lang w:val="en-US" w:eastAsia="zh-CN"/>
        </w:rPr>
        <w:t>01</w:t>
      </w:r>
      <w:r>
        <w:rPr>
          <w:rStyle w:val="9"/>
          <w:rFonts w:hint="eastAsia" w:ascii="仿宋" w:hAnsi="仿宋" w:eastAsia="仿宋" w:cs="仿宋"/>
          <w:bCs/>
          <w:color w:val="000000"/>
          <w:sz w:val="32"/>
          <w:szCs w:val="32"/>
        </w:rPr>
        <w:t>（项）</w:t>
      </w:r>
      <w:r>
        <w:rPr>
          <w:rStyle w:val="9"/>
          <w:rFonts w:hint="eastAsia" w:ascii="仿宋" w:hAnsi="仿宋" w:eastAsia="仿宋" w:cs="仿宋"/>
          <w:bCs/>
          <w:color w:val="000000"/>
          <w:sz w:val="32"/>
          <w:szCs w:val="32"/>
          <w:lang w:val="en-US" w:eastAsia="zh-CN"/>
        </w:rPr>
        <w:t>50</w:t>
      </w:r>
      <w:r>
        <w:rPr>
          <w:rStyle w:val="9"/>
          <w:rFonts w:hint="eastAsia" w:ascii="仿宋" w:hAnsi="仿宋" w:eastAsia="仿宋" w:cs="仿宋"/>
          <w:bCs/>
          <w:color w:val="000000"/>
          <w:sz w:val="32"/>
          <w:szCs w:val="32"/>
        </w:rPr>
        <w:t>:</w:t>
      </w:r>
      <w:r>
        <w:rPr>
          <w:rFonts w:hint="eastAsia" w:ascii="仿宋" w:hAnsi="仿宋" w:eastAsia="仿宋"/>
          <w:sz w:val="32"/>
          <w:szCs w:val="32"/>
          <w:lang w:val="en-US" w:eastAsia="zh-CN"/>
        </w:rPr>
        <w:t>支出64.81万元，比上年62.43万元增加2.38万元，同比增长3.81%，原因是事务增多。主要用于：人大代表服务中心机关人员工资、工伤保险、失业保险、办公费、差旅费、培训费等日常运转经费支出，提高了人大代表服务中心机关的有效运转。</w:t>
      </w:r>
    </w:p>
    <w:p>
      <w:pPr>
        <w:snapToGrid w:val="0"/>
        <w:spacing w:line="360" w:lineRule="auto"/>
        <w:ind w:firstLine="642" w:firstLineChars="200"/>
        <w:rPr>
          <w:rFonts w:hint="eastAsia" w:ascii="仿宋" w:hAnsi="仿宋" w:eastAsia="仿宋"/>
          <w:sz w:val="32"/>
          <w:szCs w:val="32"/>
          <w:lang w:val="en-US" w:eastAsia="zh-CN"/>
        </w:rPr>
      </w:pPr>
      <w:r>
        <w:rPr>
          <w:rStyle w:val="9"/>
          <w:rFonts w:hint="eastAsia" w:ascii="仿宋" w:hAnsi="仿宋" w:eastAsia="仿宋" w:cs="仿宋"/>
          <w:bCs/>
          <w:color w:val="000000"/>
          <w:sz w:val="32"/>
          <w:szCs w:val="32"/>
        </w:rPr>
        <w:t>社会保障和就业（类）</w:t>
      </w:r>
      <w:r>
        <w:rPr>
          <w:rStyle w:val="9"/>
          <w:rFonts w:hint="eastAsia" w:ascii="仿宋" w:hAnsi="仿宋" w:eastAsia="仿宋" w:cs="仿宋"/>
          <w:bCs/>
          <w:color w:val="000000"/>
          <w:sz w:val="32"/>
          <w:szCs w:val="32"/>
          <w:lang w:val="en-US" w:eastAsia="zh-CN"/>
        </w:rPr>
        <w:t>208</w:t>
      </w:r>
      <w:r>
        <w:rPr>
          <w:rStyle w:val="9"/>
          <w:rFonts w:hint="eastAsia" w:ascii="仿宋" w:hAnsi="仿宋" w:eastAsia="仿宋" w:cs="仿宋"/>
          <w:bCs/>
          <w:color w:val="000000"/>
          <w:sz w:val="32"/>
          <w:szCs w:val="32"/>
        </w:rPr>
        <w:t>（款）</w:t>
      </w:r>
      <w:r>
        <w:rPr>
          <w:rStyle w:val="9"/>
          <w:rFonts w:hint="eastAsia" w:ascii="仿宋" w:hAnsi="仿宋" w:eastAsia="仿宋" w:cs="仿宋"/>
          <w:bCs/>
          <w:color w:val="000000"/>
          <w:sz w:val="32"/>
          <w:szCs w:val="32"/>
          <w:lang w:val="en-US" w:eastAsia="zh-CN"/>
        </w:rPr>
        <w:t>05</w:t>
      </w:r>
      <w:r>
        <w:rPr>
          <w:rStyle w:val="9"/>
          <w:rFonts w:hint="eastAsia" w:ascii="仿宋" w:hAnsi="仿宋" w:eastAsia="仿宋" w:cs="仿宋"/>
          <w:bCs/>
          <w:color w:val="000000"/>
          <w:sz w:val="32"/>
          <w:szCs w:val="32"/>
        </w:rPr>
        <w:t>（项）</w:t>
      </w:r>
      <w:r>
        <w:rPr>
          <w:rStyle w:val="9"/>
          <w:rFonts w:hint="eastAsia" w:ascii="仿宋" w:hAnsi="仿宋" w:eastAsia="仿宋" w:cs="仿宋"/>
          <w:bCs/>
          <w:color w:val="000000"/>
          <w:sz w:val="32"/>
          <w:szCs w:val="32"/>
          <w:lang w:val="en-US" w:eastAsia="zh-CN"/>
        </w:rPr>
        <w:t>05</w:t>
      </w:r>
      <w:r>
        <w:rPr>
          <w:rStyle w:val="9"/>
          <w:rFonts w:hint="eastAsia" w:ascii="仿宋" w:hAnsi="仿宋" w:eastAsia="仿宋" w:cs="仿宋"/>
          <w:bCs/>
          <w:color w:val="000000"/>
          <w:sz w:val="32"/>
          <w:szCs w:val="32"/>
        </w:rPr>
        <w:t>:</w:t>
      </w:r>
      <w:r>
        <w:rPr>
          <w:rFonts w:hint="eastAsia" w:ascii="仿宋" w:hAnsi="仿宋" w:eastAsia="仿宋"/>
          <w:sz w:val="32"/>
          <w:szCs w:val="32"/>
          <w:lang w:val="en-US" w:eastAsia="zh-CN"/>
        </w:rPr>
        <w:t>支出7.32万元，比上年7万元增加0.32万元，同比增长4.57%，保障机关事业单位工作人员退休养老生活、促进人力资源合理流动具有重要意义。</w:t>
      </w:r>
    </w:p>
    <w:p>
      <w:pPr>
        <w:snapToGrid w:val="0"/>
        <w:spacing w:line="360" w:lineRule="auto"/>
        <w:ind w:firstLine="642" w:firstLineChars="200"/>
        <w:rPr>
          <w:rStyle w:val="9"/>
          <w:rFonts w:hint="eastAsia" w:ascii="仿宋" w:hAnsi="仿宋" w:eastAsia="仿宋" w:cs="仿宋"/>
          <w:bCs/>
          <w:color w:val="000000"/>
          <w:sz w:val="32"/>
          <w:szCs w:val="32"/>
        </w:rPr>
      </w:pPr>
      <w:r>
        <w:rPr>
          <w:rStyle w:val="9"/>
          <w:rFonts w:hint="eastAsia" w:ascii="仿宋" w:hAnsi="仿宋" w:eastAsia="仿宋" w:cs="仿宋"/>
          <w:bCs/>
          <w:color w:val="000000"/>
          <w:sz w:val="32"/>
          <w:szCs w:val="32"/>
        </w:rPr>
        <w:t>社会保障和就业（类）</w:t>
      </w:r>
      <w:r>
        <w:rPr>
          <w:rStyle w:val="9"/>
          <w:rFonts w:hint="eastAsia" w:ascii="仿宋" w:hAnsi="仿宋" w:eastAsia="仿宋" w:cs="仿宋"/>
          <w:bCs/>
          <w:color w:val="000000"/>
          <w:sz w:val="32"/>
          <w:szCs w:val="32"/>
          <w:lang w:val="en-US" w:eastAsia="zh-CN"/>
        </w:rPr>
        <w:t>208</w:t>
      </w:r>
      <w:r>
        <w:rPr>
          <w:rStyle w:val="9"/>
          <w:rFonts w:hint="eastAsia" w:ascii="仿宋" w:hAnsi="仿宋" w:eastAsia="仿宋" w:cs="仿宋"/>
          <w:bCs/>
          <w:color w:val="000000"/>
          <w:sz w:val="32"/>
          <w:szCs w:val="32"/>
        </w:rPr>
        <w:t>（款）</w:t>
      </w:r>
      <w:r>
        <w:rPr>
          <w:rStyle w:val="9"/>
          <w:rFonts w:hint="eastAsia" w:ascii="仿宋" w:hAnsi="仿宋" w:eastAsia="仿宋" w:cs="仿宋"/>
          <w:bCs/>
          <w:color w:val="000000"/>
          <w:sz w:val="32"/>
          <w:szCs w:val="32"/>
          <w:lang w:val="en-US" w:eastAsia="zh-CN"/>
        </w:rPr>
        <w:t>05</w:t>
      </w:r>
      <w:r>
        <w:rPr>
          <w:rStyle w:val="9"/>
          <w:rFonts w:hint="eastAsia" w:ascii="仿宋" w:hAnsi="仿宋" w:eastAsia="仿宋" w:cs="仿宋"/>
          <w:bCs/>
          <w:color w:val="000000"/>
          <w:sz w:val="32"/>
          <w:szCs w:val="32"/>
        </w:rPr>
        <w:t>（项）</w:t>
      </w:r>
      <w:r>
        <w:rPr>
          <w:rStyle w:val="9"/>
          <w:rFonts w:hint="eastAsia" w:ascii="仿宋" w:hAnsi="仿宋" w:eastAsia="仿宋" w:cs="仿宋"/>
          <w:bCs/>
          <w:color w:val="000000"/>
          <w:sz w:val="32"/>
          <w:szCs w:val="32"/>
          <w:lang w:val="en-US" w:eastAsia="zh-CN"/>
        </w:rPr>
        <w:t>06</w:t>
      </w:r>
      <w:r>
        <w:rPr>
          <w:rStyle w:val="9"/>
          <w:rFonts w:hint="eastAsia" w:ascii="仿宋" w:hAnsi="仿宋" w:eastAsia="仿宋" w:cs="仿宋"/>
          <w:bCs/>
          <w:color w:val="000000"/>
          <w:sz w:val="32"/>
          <w:szCs w:val="32"/>
        </w:rPr>
        <w:t>:</w:t>
      </w:r>
      <w:r>
        <w:rPr>
          <w:rFonts w:hint="eastAsia" w:ascii="仿宋" w:hAnsi="仿宋" w:eastAsia="仿宋"/>
          <w:sz w:val="32"/>
          <w:szCs w:val="32"/>
          <w:lang w:val="en-US" w:eastAsia="zh-CN"/>
        </w:rPr>
        <w:t>支出3.74万元，比上年3.49万元增加0.25万元，同比增长7.16%，保障机关事业单位工作人员退休生活、促进人力资源合理流动具有重要意义。</w:t>
      </w:r>
    </w:p>
    <w:p>
      <w:pPr>
        <w:snapToGrid w:val="0"/>
        <w:spacing w:line="360" w:lineRule="auto"/>
        <w:ind w:firstLine="642" w:firstLineChars="200"/>
        <w:rPr>
          <w:rFonts w:hint="eastAsia" w:ascii="仿宋" w:hAnsi="仿宋" w:eastAsia="仿宋"/>
          <w:sz w:val="32"/>
          <w:szCs w:val="32"/>
          <w:lang w:val="en-US" w:eastAsia="zh-CN"/>
        </w:rPr>
      </w:pPr>
      <w:r>
        <w:rPr>
          <w:rStyle w:val="9"/>
          <w:rFonts w:hint="eastAsia" w:ascii="仿宋" w:hAnsi="仿宋" w:eastAsia="仿宋" w:cs="仿宋"/>
          <w:bCs/>
          <w:color w:val="000000"/>
          <w:sz w:val="32"/>
          <w:szCs w:val="32"/>
        </w:rPr>
        <w:t>医疗卫生与计划生育（类）</w:t>
      </w:r>
      <w:r>
        <w:rPr>
          <w:rStyle w:val="9"/>
          <w:rFonts w:hint="eastAsia" w:ascii="仿宋" w:hAnsi="仿宋" w:eastAsia="仿宋" w:cs="仿宋"/>
          <w:bCs/>
          <w:color w:val="000000"/>
          <w:sz w:val="32"/>
          <w:szCs w:val="32"/>
          <w:lang w:val="en-US" w:eastAsia="zh-CN"/>
        </w:rPr>
        <w:t>210</w:t>
      </w:r>
      <w:r>
        <w:rPr>
          <w:rStyle w:val="9"/>
          <w:rFonts w:hint="eastAsia" w:ascii="仿宋" w:hAnsi="仿宋" w:eastAsia="仿宋" w:cs="仿宋"/>
          <w:bCs/>
          <w:color w:val="000000"/>
          <w:sz w:val="32"/>
          <w:szCs w:val="32"/>
        </w:rPr>
        <w:t>（款）</w:t>
      </w:r>
      <w:r>
        <w:rPr>
          <w:rStyle w:val="9"/>
          <w:rFonts w:hint="eastAsia" w:ascii="仿宋" w:hAnsi="仿宋" w:eastAsia="仿宋" w:cs="仿宋"/>
          <w:bCs/>
          <w:color w:val="000000"/>
          <w:sz w:val="32"/>
          <w:szCs w:val="32"/>
          <w:lang w:val="en-US" w:eastAsia="zh-CN"/>
        </w:rPr>
        <w:t>11</w:t>
      </w:r>
      <w:r>
        <w:rPr>
          <w:rStyle w:val="9"/>
          <w:rFonts w:hint="eastAsia" w:ascii="仿宋" w:hAnsi="仿宋" w:eastAsia="仿宋" w:cs="仿宋"/>
          <w:bCs/>
          <w:color w:val="000000"/>
          <w:sz w:val="32"/>
          <w:szCs w:val="32"/>
        </w:rPr>
        <w:t>（项）</w:t>
      </w:r>
      <w:r>
        <w:rPr>
          <w:rStyle w:val="9"/>
          <w:rFonts w:hint="eastAsia" w:ascii="仿宋" w:hAnsi="仿宋" w:eastAsia="仿宋" w:cs="仿宋"/>
          <w:bCs/>
          <w:color w:val="000000"/>
          <w:sz w:val="32"/>
          <w:szCs w:val="32"/>
          <w:lang w:val="en-US" w:eastAsia="zh-CN"/>
        </w:rPr>
        <w:t>02：</w:t>
      </w:r>
      <w:r>
        <w:rPr>
          <w:rFonts w:hint="eastAsia" w:ascii="仿宋" w:hAnsi="仿宋" w:eastAsia="仿宋"/>
          <w:sz w:val="32"/>
          <w:szCs w:val="32"/>
          <w:lang w:val="en-US" w:eastAsia="zh-CN"/>
        </w:rPr>
        <w:t>支出3.59万元，比上年3.39万元增加0.20万元，同比增加5.89%。主要用于：人大代表服务中心机关按照规定标准为职工缴纳的基本医疗保险。</w:t>
      </w:r>
    </w:p>
    <w:p>
      <w:pPr>
        <w:snapToGrid w:val="0"/>
        <w:spacing w:line="360" w:lineRule="auto"/>
        <w:ind w:firstLine="642" w:firstLineChars="200"/>
        <w:rPr>
          <w:rFonts w:hint="eastAsia" w:ascii="仿宋" w:hAnsi="仿宋" w:eastAsia="仿宋"/>
          <w:sz w:val="32"/>
          <w:szCs w:val="32"/>
          <w:lang w:val="en-US" w:eastAsia="zh-CN"/>
        </w:rPr>
      </w:pPr>
      <w:r>
        <w:rPr>
          <w:rStyle w:val="9"/>
          <w:rFonts w:hint="eastAsia" w:ascii="仿宋" w:hAnsi="仿宋" w:eastAsia="仿宋" w:cs="仿宋"/>
          <w:bCs/>
          <w:color w:val="000000"/>
          <w:sz w:val="32"/>
          <w:szCs w:val="32"/>
        </w:rPr>
        <w:t>医疗卫生与计划生育（类）</w:t>
      </w:r>
      <w:r>
        <w:rPr>
          <w:rStyle w:val="9"/>
          <w:rFonts w:hint="eastAsia" w:ascii="仿宋" w:hAnsi="仿宋" w:eastAsia="仿宋" w:cs="仿宋"/>
          <w:bCs/>
          <w:color w:val="000000"/>
          <w:sz w:val="32"/>
          <w:szCs w:val="32"/>
          <w:lang w:val="en-US" w:eastAsia="zh-CN"/>
        </w:rPr>
        <w:t>210</w:t>
      </w:r>
      <w:r>
        <w:rPr>
          <w:rStyle w:val="9"/>
          <w:rFonts w:hint="eastAsia" w:ascii="仿宋" w:hAnsi="仿宋" w:eastAsia="仿宋" w:cs="仿宋"/>
          <w:bCs/>
          <w:color w:val="000000"/>
          <w:sz w:val="32"/>
          <w:szCs w:val="32"/>
        </w:rPr>
        <w:t>（款）</w:t>
      </w:r>
      <w:r>
        <w:rPr>
          <w:rStyle w:val="9"/>
          <w:rFonts w:hint="eastAsia" w:ascii="仿宋" w:hAnsi="仿宋" w:eastAsia="仿宋" w:cs="仿宋"/>
          <w:bCs/>
          <w:color w:val="000000"/>
          <w:sz w:val="32"/>
          <w:szCs w:val="32"/>
          <w:lang w:val="en-US" w:eastAsia="zh-CN"/>
        </w:rPr>
        <w:t>11</w:t>
      </w:r>
      <w:r>
        <w:rPr>
          <w:rStyle w:val="9"/>
          <w:rFonts w:hint="eastAsia" w:ascii="仿宋" w:hAnsi="仿宋" w:eastAsia="仿宋" w:cs="仿宋"/>
          <w:bCs/>
          <w:color w:val="000000"/>
          <w:sz w:val="32"/>
          <w:szCs w:val="32"/>
        </w:rPr>
        <w:t>（项）</w:t>
      </w:r>
      <w:r>
        <w:rPr>
          <w:rStyle w:val="9"/>
          <w:rFonts w:hint="eastAsia" w:ascii="仿宋" w:hAnsi="仿宋" w:eastAsia="仿宋" w:cs="仿宋"/>
          <w:bCs/>
          <w:color w:val="000000"/>
          <w:sz w:val="32"/>
          <w:szCs w:val="32"/>
          <w:lang w:val="en-US" w:eastAsia="zh-CN"/>
        </w:rPr>
        <w:t>03：</w:t>
      </w:r>
      <w:r>
        <w:rPr>
          <w:rFonts w:hint="eastAsia" w:ascii="仿宋" w:hAnsi="仿宋" w:eastAsia="仿宋"/>
          <w:sz w:val="32"/>
          <w:szCs w:val="32"/>
          <w:lang w:val="en-US" w:eastAsia="zh-CN"/>
        </w:rPr>
        <w:t>支出0.88万元，比上年0.87万元增加0.01万元，同比增加1.15%。主要用于：人大代表服务中心机关按照规定标准为职工缴纳的基本医疗保险。</w:t>
      </w:r>
    </w:p>
    <w:p>
      <w:pPr>
        <w:snapToGrid w:val="0"/>
        <w:spacing w:line="360" w:lineRule="auto"/>
        <w:ind w:firstLine="642" w:firstLineChars="200"/>
        <w:rPr>
          <w:rFonts w:hint="eastAsia" w:ascii="仿宋" w:hAnsi="仿宋" w:eastAsia="仿宋"/>
          <w:sz w:val="32"/>
          <w:szCs w:val="32"/>
          <w:lang w:val="en-US" w:eastAsia="zh-CN"/>
        </w:rPr>
      </w:pPr>
      <w:r>
        <w:rPr>
          <w:rStyle w:val="9"/>
          <w:rFonts w:hint="eastAsia" w:ascii="仿宋" w:hAnsi="仿宋" w:eastAsia="仿宋" w:cs="仿宋"/>
          <w:bCs/>
          <w:color w:val="000000"/>
          <w:kern w:val="2"/>
          <w:sz w:val="32"/>
          <w:szCs w:val="32"/>
          <w:lang w:val="en-US" w:eastAsia="zh-CN" w:bidi="ar-SA"/>
        </w:rPr>
        <w:t>住房保障支出</w:t>
      </w:r>
      <w:r>
        <w:rPr>
          <w:rStyle w:val="9"/>
          <w:rFonts w:hint="eastAsia" w:ascii="仿宋" w:hAnsi="仿宋" w:eastAsia="仿宋" w:cs="仿宋"/>
          <w:bCs/>
          <w:color w:val="000000"/>
          <w:sz w:val="32"/>
          <w:szCs w:val="32"/>
        </w:rPr>
        <w:t>（类）</w:t>
      </w:r>
      <w:r>
        <w:rPr>
          <w:rStyle w:val="9"/>
          <w:rFonts w:hint="eastAsia" w:ascii="仿宋" w:hAnsi="仿宋" w:eastAsia="仿宋" w:cs="仿宋"/>
          <w:bCs/>
          <w:color w:val="000000"/>
          <w:sz w:val="32"/>
          <w:szCs w:val="32"/>
          <w:lang w:val="en-US" w:eastAsia="zh-CN"/>
        </w:rPr>
        <w:t>221</w:t>
      </w:r>
      <w:r>
        <w:rPr>
          <w:rStyle w:val="9"/>
          <w:rFonts w:hint="eastAsia" w:ascii="仿宋" w:hAnsi="仿宋" w:eastAsia="仿宋" w:cs="仿宋"/>
          <w:bCs/>
          <w:color w:val="000000"/>
          <w:sz w:val="32"/>
          <w:szCs w:val="32"/>
        </w:rPr>
        <w:t>（款）</w:t>
      </w:r>
      <w:r>
        <w:rPr>
          <w:rStyle w:val="9"/>
          <w:rFonts w:hint="eastAsia" w:ascii="仿宋" w:hAnsi="仿宋" w:eastAsia="仿宋" w:cs="仿宋"/>
          <w:bCs/>
          <w:color w:val="000000"/>
          <w:sz w:val="32"/>
          <w:szCs w:val="32"/>
          <w:lang w:val="en-US" w:eastAsia="zh-CN"/>
        </w:rPr>
        <w:t>02</w:t>
      </w:r>
      <w:r>
        <w:rPr>
          <w:rStyle w:val="9"/>
          <w:rFonts w:hint="eastAsia" w:ascii="仿宋" w:hAnsi="仿宋" w:eastAsia="仿宋" w:cs="仿宋"/>
          <w:bCs/>
          <w:color w:val="000000"/>
          <w:sz w:val="32"/>
          <w:szCs w:val="32"/>
        </w:rPr>
        <w:t>（项）</w:t>
      </w:r>
      <w:r>
        <w:rPr>
          <w:rStyle w:val="9"/>
          <w:rFonts w:hint="eastAsia" w:ascii="仿宋" w:hAnsi="仿宋" w:eastAsia="仿宋" w:cs="仿宋"/>
          <w:bCs/>
          <w:color w:val="000000"/>
          <w:sz w:val="32"/>
          <w:szCs w:val="32"/>
          <w:lang w:val="en-US" w:eastAsia="zh-CN"/>
        </w:rPr>
        <w:t>01：</w:t>
      </w:r>
      <w:r>
        <w:rPr>
          <w:rFonts w:hint="eastAsia" w:ascii="仿宋" w:hAnsi="仿宋" w:eastAsia="仿宋"/>
          <w:sz w:val="32"/>
          <w:szCs w:val="32"/>
          <w:lang w:val="en-US" w:eastAsia="zh-CN"/>
        </w:rPr>
        <w:t>支出6.10万元，完成预算100%，比上年5.6万元增加0.50万元，同比增长8.93%。主要用于：人大代表服务中心机关按照规定标准为职工缴纳住房公积金支出。</w:t>
      </w:r>
    </w:p>
    <w:p>
      <w:pPr>
        <w:snapToGrid w:val="0"/>
        <w:spacing w:line="360" w:lineRule="auto"/>
        <w:ind w:firstLine="642" w:firstLineChars="200"/>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四、评价结论及建议</w:t>
      </w:r>
    </w:p>
    <w:p>
      <w:pPr>
        <w:spacing w:line="580" w:lineRule="exact"/>
        <w:ind w:firstLine="640" w:firstLineChars="200"/>
        <w:rPr>
          <w:rFonts w:hint="eastAsia" w:ascii="仿宋" w:hAnsi="仿宋" w:eastAsia="仿宋" w:cs="仿宋"/>
        </w:rPr>
      </w:pPr>
      <w:r>
        <w:rPr>
          <w:rFonts w:hint="eastAsia" w:ascii="仿宋" w:hAnsi="仿宋" w:eastAsia="仿宋" w:cs="仿宋"/>
          <w:sz w:val="32"/>
          <w:szCs w:val="32"/>
        </w:rPr>
        <w:t>（一）评价结论。</w:t>
      </w:r>
      <w:r>
        <w:rPr>
          <w:rFonts w:hint="eastAsia" w:ascii="仿宋" w:hAnsi="仿宋" w:eastAsia="仿宋" w:cs="仿宋"/>
          <w:color w:val="000000"/>
          <w:kern w:val="0"/>
          <w:sz w:val="31"/>
          <w:szCs w:val="31"/>
          <w:lang w:val="en-US" w:eastAsia="zh-CN" w:bidi="ar"/>
        </w:rPr>
        <w:t>2024 年县人大代表服务中心加强财务工作管理，严格财经纪律，在总结经验的基础上改进工作的方式方法，做好工作创新，保证了县人大代表服务中心2024 年的各项工作能够顺利开展。</w:t>
      </w:r>
    </w:p>
    <w:p>
      <w:pPr>
        <w:numPr>
          <w:ilvl w:val="0"/>
          <w:numId w:val="3"/>
        </w:numPr>
        <w:spacing w:line="580" w:lineRule="exact"/>
        <w:ind w:firstLine="640" w:firstLineChars="200"/>
        <w:rPr>
          <w:rFonts w:hint="eastAsia" w:ascii="仿宋" w:hAnsi="仿宋" w:eastAsia="仿宋" w:cs="仿宋"/>
          <w:lang w:val="en-US" w:eastAsia="zh-CN"/>
        </w:rPr>
      </w:pPr>
      <w:r>
        <w:rPr>
          <w:rFonts w:hint="eastAsia" w:ascii="仿宋" w:hAnsi="仿宋" w:eastAsia="仿宋" w:cs="仿宋"/>
          <w:sz w:val="32"/>
          <w:szCs w:val="32"/>
        </w:rPr>
        <w:t>存在问题。</w:t>
      </w:r>
      <w:r>
        <w:rPr>
          <w:rFonts w:hint="eastAsia" w:ascii="仿宋" w:hAnsi="仿宋" w:eastAsia="仿宋" w:cs="仿宋"/>
          <w:color w:val="000000"/>
          <w:kern w:val="0"/>
          <w:sz w:val="31"/>
          <w:szCs w:val="31"/>
          <w:lang w:val="en-US" w:eastAsia="zh-CN" w:bidi="ar"/>
        </w:rPr>
        <w:t xml:space="preserve"> 需要提高预算的科学性和准确性。</w:t>
      </w:r>
    </w:p>
    <w:p>
      <w:pPr>
        <w:numPr>
          <w:ilvl w:val="0"/>
          <w:numId w:val="3"/>
        </w:numPr>
        <w:spacing w:line="580" w:lineRule="exact"/>
        <w:ind w:left="0" w:leftChars="0" w:firstLine="640" w:firstLineChars="200"/>
        <w:rPr>
          <w:rFonts w:hint="eastAsia" w:ascii="仿宋" w:hAnsi="仿宋" w:eastAsia="仿宋" w:cs="仿宋"/>
        </w:rPr>
      </w:pPr>
      <w:r>
        <w:rPr>
          <w:rFonts w:hint="eastAsia" w:ascii="仿宋" w:hAnsi="仿宋" w:eastAsia="仿宋" w:cs="仿宋"/>
          <w:sz w:val="32"/>
          <w:szCs w:val="32"/>
        </w:rPr>
        <w:t>改进建议。</w:t>
      </w:r>
      <w:r>
        <w:rPr>
          <w:rFonts w:hint="eastAsia" w:ascii="仿宋" w:hAnsi="仿宋" w:eastAsia="仿宋" w:cs="仿宋"/>
          <w:color w:val="000000"/>
          <w:kern w:val="0"/>
          <w:sz w:val="31"/>
          <w:szCs w:val="31"/>
          <w:lang w:val="en-US" w:eastAsia="zh-CN" w:bidi="ar"/>
        </w:rPr>
        <w:t>进一步完善绩效目标填报工作，强化绩效指标实用性。绩效目标是整个预算绩效管理的起点，与部门履职效率形成直接关系，在接下来工作中，严格按照经济性</w:t>
      </w:r>
      <w:bookmarkStart w:id="1" w:name="_GoBack"/>
      <w:bookmarkEnd w:id="1"/>
      <w:r>
        <w:rPr>
          <w:rFonts w:hint="eastAsia" w:ascii="仿宋" w:hAnsi="仿宋" w:eastAsia="仿宋" w:cs="仿宋"/>
          <w:color w:val="000000"/>
          <w:kern w:val="0"/>
          <w:sz w:val="31"/>
          <w:szCs w:val="31"/>
          <w:lang w:val="en-US" w:eastAsia="zh-CN" w:bidi="ar"/>
        </w:rPr>
        <w:t>、效率性及效益性原则设置对应指标，提高绩效指标实用性。认真履行预算编报要求，提高预算编报的科学性。严格按照相关预算编报文件要求，结合近年来执行情况，合理编制各项预算，提高预算的科学性和准确性。</w:t>
      </w:r>
    </w:p>
    <w:p>
      <w:pPr>
        <w:snapToGrid w:val="0"/>
        <w:spacing w:line="360" w:lineRule="auto"/>
        <w:jc w:val="both"/>
        <w:rPr>
          <w:rFonts w:hint="eastAsia" w:ascii="仿宋" w:hAnsi="仿宋" w:eastAsia="仿宋"/>
          <w:sz w:val="32"/>
          <w:szCs w:val="32"/>
          <w:lang w:val="en-US" w:eastAsia="zh-CN"/>
        </w:rPr>
      </w:pPr>
    </w:p>
    <w:p>
      <w:pPr>
        <w:pStyle w:val="6"/>
        <w:rPr>
          <w:rFonts w:hint="eastAsia" w:ascii="仿宋" w:hAnsi="仿宋" w:eastAsia="仿宋"/>
          <w:sz w:val="32"/>
          <w:szCs w:val="32"/>
          <w:lang w:val="en-US" w:eastAsia="zh-CN"/>
        </w:rPr>
      </w:pPr>
    </w:p>
    <w:p>
      <w:pPr>
        <w:pStyle w:val="6"/>
        <w:ind w:left="0" w:leftChars="0" w:firstLine="0" w:firstLineChars="0"/>
        <w:rPr>
          <w:rFonts w:hint="eastAsia"/>
          <w:lang w:val="en-US" w:eastAsia="zh-CN"/>
        </w:rPr>
      </w:pPr>
    </w:p>
    <w:p>
      <w:pPr>
        <w:snapToGrid w:val="0"/>
        <w:spacing w:line="360" w:lineRule="auto"/>
        <w:ind w:firstLine="640" w:firstLineChars="200"/>
        <w:jc w:val="right"/>
        <w:rPr>
          <w:rFonts w:hint="default" w:ascii="仿宋" w:hAnsi="仿宋" w:eastAsia="仿宋"/>
          <w:sz w:val="32"/>
          <w:szCs w:val="32"/>
          <w:lang w:val="en-US" w:eastAsia="zh-CN"/>
        </w:rPr>
      </w:pPr>
      <w:r>
        <w:rPr>
          <w:rFonts w:hint="eastAsia" w:ascii="仿宋" w:hAnsi="仿宋" w:eastAsia="仿宋"/>
          <w:sz w:val="32"/>
          <w:szCs w:val="32"/>
          <w:lang w:val="en-US" w:eastAsia="zh-CN"/>
        </w:rPr>
        <w:t>2025年8月27日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77CDCC"/>
    <w:multiLevelType w:val="singleLevel"/>
    <w:tmpl w:val="CC77CDCC"/>
    <w:lvl w:ilvl="0" w:tentative="0">
      <w:start w:val="2"/>
      <w:numFmt w:val="chineseCounting"/>
      <w:suff w:val="nothing"/>
      <w:lvlText w:val="（%1）"/>
      <w:lvlJc w:val="left"/>
      <w:rPr>
        <w:rFonts w:hint="eastAsia"/>
        <w:sz w:val="32"/>
        <w:szCs w:val="32"/>
      </w:rPr>
    </w:lvl>
  </w:abstractNum>
  <w:abstractNum w:abstractNumId="1">
    <w:nsid w:val="FAD69DBB"/>
    <w:multiLevelType w:val="singleLevel"/>
    <w:tmpl w:val="FAD69DBB"/>
    <w:lvl w:ilvl="0" w:tentative="0">
      <w:start w:val="2"/>
      <w:numFmt w:val="chineseCounting"/>
      <w:suff w:val="nothing"/>
      <w:lvlText w:val="（%1）"/>
      <w:lvlJc w:val="left"/>
      <w:rPr>
        <w:rFonts w:hint="eastAsia" w:ascii="仿宋" w:hAnsi="仿宋" w:eastAsia="仿宋" w:cs="仿宋"/>
        <w:sz w:val="32"/>
        <w:szCs w:val="32"/>
      </w:rPr>
    </w:lvl>
  </w:abstractNum>
  <w:abstractNum w:abstractNumId="2">
    <w:nsid w:val="3CE7AE0A"/>
    <w:multiLevelType w:val="singleLevel"/>
    <w:tmpl w:val="3CE7AE0A"/>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TFhM2IzOGQ0NGYzZmZjNWY3ZDYyMzZjMTI0ZWM5ZTQifQ=="/>
  </w:docVars>
  <w:rsids>
    <w:rsidRoot w:val="00491B22"/>
    <w:rsid w:val="00291808"/>
    <w:rsid w:val="00491B22"/>
    <w:rsid w:val="0052390C"/>
    <w:rsid w:val="006B6D1F"/>
    <w:rsid w:val="00D04E5E"/>
    <w:rsid w:val="01055032"/>
    <w:rsid w:val="01DC390D"/>
    <w:rsid w:val="022C0730"/>
    <w:rsid w:val="057C552B"/>
    <w:rsid w:val="06B31420"/>
    <w:rsid w:val="0717375D"/>
    <w:rsid w:val="08AE1E9F"/>
    <w:rsid w:val="091361A6"/>
    <w:rsid w:val="0CA535B9"/>
    <w:rsid w:val="0DCB704F"/>
    <w:rsid w:val="0E71317C"/>
    <w:rsid w:val="0FBD51DD"/>
    <w:rsid w:val="10F468BD"/>
    <w:rsid w:val="127A1044"/>
    <w:rsid w:val="13E7095B"/>
    <w:rsid w:val="1723472C"/>
    <w:rsid w:val="17D3547E"/>
    <w:rsid w:val="19827F5A"/>
    <w:rsid w:val="199F6E82"/>
    <w:rsid w:val="1A9A2283"/>
    <w:rsid w:val="1B1A1616"/>
    <w:rsid w:val="1F7C01AC"/>
    <w:rsid w:val="1FE3647B"/>
    <w:rsid w:val="20280331"/>
    <w:rsid w:val="232F19D7"/>
    <w:rsid w:val="2532700C"/>
    <w:rsid w:val="271B474C"/>
    <w:rsid w:val="2753038A"/>
    <w:rsid w:val="27A504B9"/>
    <w:rsid w:val="2B0D4CF3"/>
    <w:rsid w:val="2B0F281A"/>
    <w:rsid w:val="2C2B4EAC"/>
    <w:rsid w:val="2FD44032"/>
    <w:rsid w:val="300761B5"/>
    <w:rsid w:val="31F12C79"/>
    <w:rsid w:val="334E7C57"/>
    <w:rsid w:val="34E40873"/>
    <w:rsid w:val="34EB1F43"/>
    <w:rsid w:val="3619454C"/>
    <w:rsid w:val="36435EC2"/>
    <w:rsid w:val="36575075"/>
    <w:rsid w:val="36CE5337"/>
    <w:rsid w:val="37AE5168"/>
    <w:rsid w:val="382611A3"/>
    <w:rsid w:val="38602906"/>
    <w:rsid w:val="38824072"/>
    <w:rsid w:val="3A773F37"/>
    <w:rsid w:val="3CB925E5"/>
    <w:rsid w:val="3D14529E"/>
    <w:rsid w:val="41540B2E"/>
    <w:rsid w:val="41E33B7F"/>
    <w:rsid w:val="42393649"/>
    <w:rsid w:val="434A21E9"/>
    <w:rsid w:val="43B43B06"/>
    <w:rsid w:val="43FD725B"/>
    <w:rsid w:val="4613720A"/>
    <w:rsid w:val="46164604"/>
    <w:rsid w:val="46B1257F"/>
    <w:rsid w:val="46BA7686"/>
    <w:rsid w:val="4846543F"/>
    <w:rsid w:val="48A00AFD"/>
    <w:rsid w:val="48FA020D"/>
    <w:rsid w:val="4CAE37E9"/>
    <w:rsid w:val="4D4E0B28"/>
    <w:rsid w:val="4DA22C22"/>
    <w:rsid w:val="4DD97D2F"/>
    <w:rsid w:val="4E2A3343"/>
    <w:rsid w:val="4E5C7274"/>
    <w:rsid w:val="4EAE0E2E"/>
    <w:rsid w:val="4EB250E6"/>
    <w:rsid w:val="4F041DE6"/>
    <w:rsid w:val="4F5A37B4"/>
    <w:rsid w:val="4FAB400F"/>
    <w:rsid w:val="50514E64"/>
    <w:rsid w:val="50622F2F"/>
    <w:rsid w:val="515661FD"/>
    <w:rsid w:val="53B65679"/>
    <w:rsid w:val="53D84283"/>
    <w:rsid w:val="54DE4E87"/>
    <w:rsid w:val="56440D1A"/>
    <w:rsid w:val="56E6607D"/>
    <w:rsid w:val="56ED7603"/>
    <w:rsid w:val="59332F4E"/>
    <w:rsid w:val="59B461B6"/>
    <w:rsid w:val="59DD395F"/>
    <w:rsid w:val="5AB75F5E"/>
    <w:rsid w:val="5B07740D"/>
    <w:rsid w:val="5C361105"/>
    <w:rsid w:val="5C4F21C6"/>
    <w:rsid w:val="5C844566"/>
    <w:rsid w:val="5CB52971"/>
    <w:rsid w:val="60123C37"/>
    <w:rsid w:val="60D032A5"/>
    <w:rsid w:val="61842912"/>
    <w:rsid w:val="64E834EC"/>
    <w:rsid w:val="64ED07CF"/>
    <w:rsid w:val="6502427A"/>
    <w:rsid w:val="67242BCD"/>
    <w:rsid w:val="67281F92"/>
    <w:rsid w:val="676F196F"/>
    <w:rsid w:val="697E40EB"/>
    <w:rsid w:val="6A050368"/>
    <w:rsid w:val="6AE306AA"/>
    <w:rsid w:val="6B3A10D5"/>
    <w:rsid w:val="6B87197D"/>
    <w:rsid w:val="6CB21ACB"/>
    <w:rsid w:val="6CBF0CA2"/>
    <w:rsid w:val="6F1F1ECC"/>
    <w:rsid w:val="709B37D5"/>
    <w:rsid w:val="71314488"/>
    <w:rsid w:val="71663DE2"/>
    <w:rsid w:val="71924BD7"/>
    <w:rsid w:val="724A3704"/>
    <w:rsid w:val="753F29A5"/>
    <w:rsid w:val="7750678B"/>
    <w:rsid w:val="777A2FB3"/>
    <w:rsid w:val="786A065C"/>
    <w:rsid w:val="799528DD"/>
    <w:rsid w:val="799E680F"/>
    <w:rsid w:val="7CAD6D69"/>
    <w:rsid w:val="7D230DDA"/>
    <w:rsid w:val="7E495736"/>
    <w:rsid w:val="7E851D4C"/>
    <w:rsid w:val="7EF56FBB"/>
    <w:rsid w:val="7F9935D5"/>
    <w:rsid w:val="7F9F53E2"/>
    <w:rsid w:val="BFFF6E1E"/>
    <w:rsid w:val="DB6E07A8"/>
    <w:rsid w:val="DFEB7A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footer"/>
    <w:basedOn w:val="1"/>
    <w:link w:val="11"/>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able of figures"/>
    <w:basedOn w:val="1"/>
    <w:next w:val="1"/>
    <w:qFormat/>
    <w:uiPriority w:val="0"/>
    <w:pPr>
      <w:ind w:leftChars="200" w:hanging="200" w:hangingChars="200"/>
    </w:pPr>
  </w:style>
  <w:style w:type="character" w:styleId="9">
    <w:name w:val="Strong"/>
    <w:basedOn w:val="8"/>
    <w:qFormat/>
    <w:uiPriority w:val="99"/>
    <w:rPr>
      <w:b/>
    </w:rPr>
  </w:style>
  <w:style w:type="character" w:customStyle="1" w:styleId="10">
    <w:name w:val="页眉 Char"/>
    <w:basedOn w:val="8"/>
    <w:link w:val="5"/>
    <w:semiHidden/>
    <w:qFormat/>
    <w:uiPriority w:val="99"/>
    <w:rPr>
      <w:sz w:val="18"/>
      <w:szCs w:val="18"/>
    </w:rPr>
  </w:style>
  <w:style w:type="character" w:customStyle="1" w:styleId="11">
    <w:name w:val="页脚 Char"/>
    <w:basedOn w:val="8"/>
    <w:link w:val="4"/>
    <w:semiHidden/>
    <w:qFormat/>
    <w:uiPriority w:val="99"/>
    <w:rPr>
      <w:sz w:val="18"/>
      <w:szCs w:val="18"/>
    </w:rPr>
  </w:style>
  <w:style w:type="character" w:customStyle="1" w:styleId="12">
    <w:name w:val="19"/>
    <w:basedOn w:val="8"/>
    <w:qFormat/>
    <w:uiPriority w:val="0"/>
    <w:rPr>
      <w:rFonts w:hint="default" w:ascii="Times New Roman" w:hAnsi="Times New Roman" w:cs="Times New Roman"/>
      <w:color w:val="0000FF"/>
      <w:u w:val="single"/>
    </w:rPr>
  </w:style>
  <w:style w:type="paragraph" w:customStyle="1" w:styleId="13">
    <w:name w:val="普通(网站) Char"/>
    <w:basedOn w:val="1"/>
    <w:qFormat/>
    <w:uiPriority w:val="0"/>
    <w:pPr>
      <w:spacing w:before="100" w:beforeAutospacing="1" w:after="100" w:afterAutospacing="1"/>
    </w:pPr>
  </w:style>
  <w:style w:type="character" w:customStyle="1" w:styleId="14">
    <w:name w:val="22"/>
    <w:basedOn w:val="8"/>
    <w:qFormat/>
    <w:uiPriority w:val="0"/>
    <w:rPr>
      <w:rFonts w:hint="default" w:ascii="Times New Roman" w:hAnsi="Times New Roman" w:cs="Times New Roman"/>
      <w:b/>
    </w:rPr>
  </w:style>
  <w:style w:type="paragraph" w:customStyle="1" w:styleId="15">
    <w:name w:val="NormalIndent"/>
    <w:next w:val="5"/>
    <w:qFormat/>
    <w:uiPriority w:val="0"/>
    <w:pPr>
      <w:widowControl w:val="0"/>
      <w:ind w:firstLine="200" w:firstLineChars="200"/>
      <w:jc w:val="both"/>
    </w:pPr>
    <w:rPr>
      <w:rFonts w:ascii="Times New Roman" w:hAnsi="Times New Roman" w:eastAsia="仿宋_GB2312" w:cs="Times New Roman"/>
      <w:kern w:val="2"/>
      <w:sz w:val="32"/>
      <w:szCs w:val="32"/>
      <w:lang w:val="en-US" w:eastAsia="zh-CN" w:bidi="ar-SA"/>
    </w:rPr>
  </w:style>
  <w:style w:type="character" w:customStyle="1" w:styleId="16">
    <w:name w:val="16"/>
    <w:basedOn w:val="8"/>
    <w:qFormat/>
    <w:uiPriority w:val="0"/>
    <w:rPr>
      <w:rFonts w:hint="default" w:ascii="Times New Roman" w:hAnsi="Times New Roman" w:cs="Times New Roman"/>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hart" Target="charts/chart2.xml"/><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Book1.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收入决算结构呼</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[Book1.xlsx]Sheet8!$A$41:$A$48</c:f>
              <c:strCache>
                <c:ptCount val="8"/>
                <c:pt idx="0">
                  <c:v>收入合计</c:v>
                </c:pt>
                <c:pt idx="1">
                  <c:v>一般公共预算财政拨款收入</c:v>
                </c:pt>
              </c:strCache>
            </c:strRef>
          </c:cat>
          <c:val>
            <c:numRef>
              <c:f>[Book1.xlsx]Sheet8!$B$41:$B$48</c:f>
              <c:numCache>
                <c:formatCode>General</c:formatCode>
                <c:ptCount val="8"/>
                <c:pt idx="0">
                  <c:v>86.45</c:v>
                </c:pt>
                <c:pt idx="1">
                  <c:v>86.45</c:v>
                </c:pt>
                <c:pt idx="2">
                  <c:v>0</c:v>
                </c:pt>
                <c:pt idx="3">
                  <c:v>0</c:v>
                </c:pt>
                <c:pt idx="4">
                  <c:v>0</c:v>
                </c:pt>
                <c:pt idx="5">
                  <c:v>0</c:v>
                </c:pt>
                <c:pt idx="6">
                  <c:v>0</c:v>
                </c:pt>
                <c:pt idx="7">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[Book1.xlsx]Sheet8!$A$62:$A$66</c:f>
              <c:strCache>
                <c:ptCount val="5"/>
                <c:pt idx="0">
                  <c:v>支出合计</c:v>
                </c:pt>
                <c:pt idx="1">
                  <c:v>基本支出</c:v>
                </c:pt>
              </c:strCache>
            </c:strRef>
          </c:cat>
          <c:val>
            <c:numRef>
              <c:f>[Book1.xlsx]Sheet8!$B$62:$B$66</c:f>
              <c:numCache>
                <c:formatCode>General</c:formatCode>
                <c:ptCount val="5"/>
                <c:pt idx="0">
                  <c:v>86.45</c:v>
                </c:pt>
                <c:pt idx="1">
                  <c:v>86.45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6</Pages>
  <Words>1899</Words>
  <Characters>2151</Characters>
  <Lines>2</Lines>
  <Paragraphs>1</Paragraphs>
  <TotalTime>23</TotalTime>
  <ScaleCrop>false</ScaleCrop>
  <LinksUpToDate>false</LinksUpToDate>
  <CharactersWithSpaces>2156</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cp:lastPrinted>2025-09-01T10:07:00Z</cp:lastPrinted>
  <dcterms:modified xsi:type="dcterms:W3CDTF">2025-09-02T16:46:55Z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2ED0D98343C64B439AD4139A6AADAA89_12</vt:lpwstr>
  </property>
  <property fmtid="{D5CDD505-2E9C-101B-9397-08002B2CF9AE}" pid="4" name="KSOTemplateDocerSaveRecord">
    <vt:lpwstr>eyJoZGlkIjoiYTFhM2IzOGQ0NGYzZmZjNWY3ZDYyMzZjMTI0ZWM5ZTQiLCJ1c2VySWQiOiI2NjkyOTQ5NzMifQ==</vt:lpwstr>
  </property>
</Properties>
</file>