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bookmarkStart w:id="0" w:name="_Toc15396616"/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黑水县人民代表大会常务委员会办公室</w:t>
      </w:r>
    </w:p>
    <w:p>
      <w:pPr>
        <w:spacing w:line="600" w:lineRule="exact"/>
        <w:jc w:val="center"/>
        <w:outlineLvl w:val="0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24</w:t>
      </w:r>
      <w:r>
        <w:rPr>
          <w:rFonts w:hint="eastAsia" w:ascii="黑体" w:hAnsi="黑体" w:eastAsia="黑体" w:cs="黑体"/>
          <w:b/>
          <w:sz w:val="44"/>
          <w:szCs w:val="44"/>
        </w:rPr>
        <w:t>年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单位</w:t>
      </w:r>
      <w:r>
        <w:rPr>
          <w:rFonts w:hint="eastAsia" w:ascii="黑体" w:hAnsi="黑体" w:eastAsia="黑体" w:cs="黑体"/>
          <w:b/>
          <w:sz w:val="44"/>
          <w:szCs w:val="44"/>
        </w:rPr>
        <w:t>整体支出绩效评价报告</w:t>
      </w:r>
      <w:bookmarkEnd w:id="0"/>
    </w:p>
    <w:p>
      <w:pPr>
        <w:spacing w:line="580" w:lineRule="exact"/>
        <w:ind w:firstLine="642" w:firstLineChars="200"/>
        <w:rPr>
          <w:rFonts w:ascii="仿宋_GB2312" w:hAnsi="黑体" w:eastAsia="仿宋_GB2312" w:cs="黑体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一、部门（单位）概况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zh-CN" w:eastAsia="zh-CN"/>
        </w:rPr>
        <w:t>（一）</w:t>
      </w:r>
      <w:r>
        <w:rPr>
          <w:rFonts w:hint="default" w:ascii="仿宋" w:hAnsi="仿宋" w:eastAsia="仿宋"/>
          <w:b/>
          <w:bCs/>
          <w:sz w:val="32"/>
          <w:szCs w:val="32"/>
          <w:lang w:val="zh-CN" w:eastAsia="zh-CN"/>
        </w:rPr>
        <w:t>机构组成。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县人大下设三个专门委员会：法制监察司法和民族宗教外事委员会、财政经济预算和农业农村城乡环境保护委员会、教育科学文化卫生和社会建设委员会；县人大常委会下设人大常委会办公室、人事代表联络工作委员会；县人大常委会办公室下设人大代表服务中心（公益一类事业单位）。</w:t>
      </w:r>
    </w:p>
    <w:p>
      <w:pPr>
        <w:snapToGrid w:val="0"/>
        <w:spacing w:line="360" w:lineRule="auto"/>
        <w:ind w:firstLine="642" w:firstLineChars="200"/>
        <w:rPr>
          <w:rFonts w:hint="default" w:ascii="仿宋" w:hAnsi="仿宋" w:eastAsia="仿宋"/>
          <w:sz w:val="32"/>
          <w:szCs w:val="32"/>
          <w:lang w:val="zh-CN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zh-CN" w:eastAsia="zh-CN"/>
        </w:rPr>
        <w:t>（二）机构职能。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负责做好本级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"https://www.baidu.com/s?wd=%E4%BA%BA%E6%B0%91%E4%BB%A3%E8%A1%A8%E5%A4%A7%E4%BC%9A&amp;tn=44039180_cpr&amp;fenlei=mv6quAkxTZn0IZRqIHckPjm4nH00T1dBrHmvmWRzmyc3myuWPyub0ZwV5Hcvrjm3rH6sPfKWUMw85HfYnjn4nH6sgvPsT6KdThsqpZwYTjCEQLGCpyw9Uz4Bmy-bIi4WUvYETgN-TLwGUv3EnHRsPHmkPWR1"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人民代表大会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、常委会会议、主任会议、党组会议以及其他有关会议各种文件的起草、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"https://www.baidu.com/s?wd=%E4%BC%9A%E8%AE%AE%E8%AE%B0%E5%BD%95&amp;tn=44039180_cpr&amp;fenlei=mv6quAkxTZn0IZRqIHckPjm4nH00T1dBrHmvmWRzmyc3myuWPyub0ZwV5Hcvrjm3rH6sPfKWUMw85HfYnjn4nH6sgvPsT6KdThsqpZwYTjCEQLGCpyw9Uz4Bmy-bIi4WUvYETgN-TLwGUv3EnHRsPHmkPWR1"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会议记录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和会务工作。对会议决定的事项负责办理落实，并及时报告反馈。负责做好本级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"https://www.baidu.com/s?wd=%E4%BA%BA%E5%A4%A7%E5%B8%B8%E5%A7%94%E4%BC%9A&amp;tn=44039180_cpr&amp;fenlei=mv6quAkxTZn0IZRqIHckPjm4nH00T1dBrHmvmWRzmyc3myuWPyub0ZwV5Hcvrjm3rH6sPfKWUMw85HfYnjn4nH6sgvPsT6KdThsqpZwYTjCEQLGCpyw9Uz4Bmy-bIi4WUvYETgN-TLwGUv3EnHRsPHmkPWR1"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人大常委会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日常文件材料的起草、编辑、校对、分发工作。负责做好上一级人代会期间本级代表团的服务工作；负责做好兄弟人大来参观、交流的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"https://www.baidu.com/s?wd=%E6%8E%A5%E5%BE%85%E5%B7%A5%E4%BD%9C&amp;tn=44039180_cpr&amp;fenlei=mv6quAkxTZn0IZRqIHckPjm4nH00T1dBrHmvmWRzmyc3myuWPyub0ZwV5Hcvrjm3rH6sPfKWUMw85HfYnjn4nH6sgvPsT6KdThsqpZwYTjCEQLGCpyw9Uz4Bmy-bIi4WUvYETgN-TLwGUv3EnHRsPHmkPWR1"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接待工作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，以及上级人大代表来我辖区开展视察、检查、调查活动的接待和服务工作。负责做好本级人大常委会机关的行政、财务、财产管理和日常事务工作，做好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"https://www.baidu.com/s?wd=%E7%A6%BB%E9%80%80%E4%BC%91%E4%BA%BA%E5%91%98&amp;tn=44039180_cpr&amp;fenlei=mv6quAkxTZn0IZRqIHckPjm4nH00T1dBrHmvmWRzmyc3myuWPyub0ZwV5Hcvrjm3rH6sPfKWUMw85HfYnjn4nH6sgvPsT6KdThsqpZwYTjCEQLGCpyw9Uz4Bmy-bIi4WUvYETgN-TLwGUv3EnHRsPHmkPWR1"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退休人员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的服务工作。负责本级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"https://www.baidu.com/s?wd=%E4%BA%BA%E5%A4%A7%E5%B8%B8%E5%A7%94%E4%BC%9A&amp;tn=44039180_cpr&amp;fenlei=mv6quAkxTZn0IZRqIHckPjm4nH00T1dBrHmvmWRzmyc3myuWPyub0ZwV5Hcvrjm3rH6sPfKWUMw85HfYnjn4nH6sgvPsT6KdThsqpZwYTjCEQLGCpyw9Uz4Bmy-bIi4WUvYETgN-TLwGUv3EnHRsPHmkPWR1"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人大常委会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印鉴管理和机关的文电、机要、保密、档案、文印等工作。负责领导交办的其它工作。</w:t>
      </w:r>
    </w:p>
    <w:p>
      <w:pPr>
        <w:pStyle w:val="10"/>
        <w:numPr>
          <w:ilvl w:val="0"/>
          <w:numId w:val="0"/>
        </w:numPr>
        <w:shd w:val="clear" w:color="auto" w:fill="FFFFFF"/>
        <w:tabs>
          <w:tab w:val="left" w:pos="0"/>
        </w:tabs>
        <w:spacing w:before="0" w:beforeAutospacing="0" w:after="0" w:afterAutospacing="0"/>
        <w:ind w:firstLine="642" w:firstLineChars="200"/>
        <w:rPr>
          <w:rStyle w:val="11"/>
          <w:rFonts w:hint="eastAsia"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b/>
          <w:bCs/>
          <w:sz w:val="32"/>
          <w:szCs w:val="32"/>
          <w:lang w:val="zh-CN" w:eastAsia="zh-CN"/>
        </w:rPr>
        <w:t>（三）人员概况。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本单位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行政编制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21人，其中公务员15人，工勤6人。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val="en-US" w:eastAsia="zh-CN" w:bidi="ar-SA"/>
        </w:rPr>
        <w:t>本单位本年度年末实有在职人数为21人，比上年减少2人，变动情况及原因为：2月调入公务员1人，2月调出公务员1人，9月调入公务员1人，9月退休3人；年末实有退休人数为32人，比上年增加2人；年末实有其他人数为0人，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比上年</w:t>
      </w:r>
      <w:r>
        <w:rPr>
          <w:rFonts w:hint="eastAsia" w:ascii="仿宋" w:hAnsi="仿宋" w:eastAsia="仿宋"/>
          <w:sz w:val="32"/>
          <w:szCs w:val="32"/>
          <w:shd w:val="clear" w:color="auto" w:fill="FFFFFF"/>
          <w:lang w:eastAsia="zh-CN"/>
        </w:rPr>
        <w:t>减少</w:t>
      </w:r>
      <w:r>
        <w:rPr>
          <w:rFonts w:hint="eastAsia" w:ascii="仿宋" w:hAnsi="仿宋" w:eastAsia="仿宋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>人</w:t>
      </w:r>
      <w:r>
        <w:rPr>
          <w:rFonts w:hint="eastAsia" w:ascii="仿宋" w:hAnsi="仿宋" w:eastAsia="仿宋"/>
          <w:sz w:val="32"/>
          <w:szCs w:val="32"/>
          <w:shd w:val="clear" w:color="auto" w:fill="FFFFFF"/>
          <w:lang w:eastAsia="zh-CN"/>
        </w:rPr>
        <w:t>（赡养人员去世</w:t>
      </w:r>
      <w:r>
        <w:rPr>
          <w:rFonts w:hint="eastAsia" w:ascii="仿宋" w:hAnsi="仿宋" w:eastAsia="仿宋"/>
          <w:sz w:val="32"/>
          <w:szCs w:val="32"/>
          <w:shd w:val="clear" w:color="auto" w:fill="FFFFFF"/>
          <w:lang w:val="en-US" w:eastAsia="zh-CN"/>
        </w:rPr>
        <w:t>1人</w:t>
      </w:r>
      <w:r>
        <w:rPr>
          <w:rFonts w:hint="eastAsia" w:ascii="仿宋" w:hAnsi="仿宋" w:eastAsia="仿宋"/>
          <w:sz w:val="32"/>
          <w:szCs w:val="32"/>
          <w:shd w:val="clear" w:color="auto" w:fill="FFFFFF"/>
          <w:lang w:eastAsia="zh-CN"/>
        </w:rPr>
        <w:t>）</w:t>
      </w:r>
      <w:r>
        <w:rPr>
          <w:rStyle w:val="11"/>
          <w:rFonts w:hint="eastAsia" w:ascii="仿宋" w:hAnsi="仿宋" w:eastAsia="仿宋"/>
          <w:sz w:val="32"/>
          <w:szCs w:val="32"/>
          <w:shd w:val="clear" w:color="auto" w:fill="FFFFFF"/>
        </w:rPr>
        <w:t>。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二、单位财政资金收支情况</w:t>
      </w:r>
    </w:p>
    <w:p>
      <w:pPr>
        <w:spacing w:line="600" w:lineRule="exact"/>
        <w:ind w:firstLine="642" w:firstLineChars="200"/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（一）单位财政资金收入情况。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本单位本年度收入预算数为1069.52万元，收入决算数为1069.52万元，预算完成度为100.00%，上年度预算完成886.12万元，比上年增加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val="en-US" w:eastAsia="zh-CN"/>
        </w:rPr>
        <w:t>100.62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万元，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</w:rPr>
        <w:t>增长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val="en-US" w:eastAsia="zh-CN"/>
        </w:rPr>
        <w:t>10.38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</w:rPr>
        <w:t>%。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存在差异的主要原因为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eastAsia="zh-CN"/>
        </w:rPr>
        <w:t>五楼办公区改造和多开一次人代会。</w:t>
      </w:r>
    </w:p>
    <w:p>
      <w:pPr>
        <w:spacing w:line="600" w:lineRule="exact"/>
        <w:ind w:firstLine="642" w:firstLineChars="200"/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（二）部门财政资金支出情况。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本年度支出预算数为1069.52万元，支出决算数1069.52万元，预算完成率</w:t>
      </w:r>
      <w:bookmarkStart w:id="1" w:name="_GoBack"/>
      <w:bookmarkEnd w:id="1"/>
      <w:r>
        <w:rPr>
          <w:rFonts w:hint="eastAsia" w:ascii="仿宋" w:hAnsi="仿宋" w:eastAsia="仿宋"/>
          <w:sz w:val="32"/>
          <w:szCs w:val="32"/>
          <w:lang w:val="en-US" w:eastAsia="zh-CN"/>
        </w:rPr>
        <w:t>100.00%，上年度预算完成为968.9万元，比上年增加100.62万元，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</w:rPr>
        <w:t>增长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val="en-US" w:eastAsia="zh-CN"/>
        </w:rPr>
        <w:t>10.38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</w:rPr>
        <w:t>%。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存在差异的主要原因为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eastAsia="zh-CN"/>
        </w:rPr>
        <w:t>五楼办公区改造和多开一次人代会。</w:t>
      </w:r>
    </w:p>
    <w:p>
      <w:pPr>
        <w:spacing w:line="600" w:lineRule="exact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:shd w:val="clear" w:color="auto" w:fill="auto"/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</w:rPr>
        <w:t>（图1：收、支决算总计变动情况图）（柱状图）</w:t>
      </w:r>
    </w:p>
    <w:p>
      <w:pPr>
        <w:snapToGrid w:val="0"/>
        <w:spacing w:line="360" w:lineRule="auto"/>
        <w:ind w:firstLine="42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4819650" cy="2743200"/>
            <wp:effectExtent l="4445" t="4445" r="14605" b="14605"/>
            <wp:docPr id="1" name="图表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ind w:firstLine="642" w:firstLineChars="200"/>
        <w:rPr>
          <w:rFonts w:hint="default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三、部门整体预算绩效管理情况</w:t>
      </w:r>
    </w:p>
    <w:p>
      <w:pPr>
        <w:snapToGrid w:val="0"/>
        <w:spacing w:line="360" w:lineRule="auto"/>
        <w:ind w:firstLine="642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（一）部门预算管理。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年县人大办严格按照财政局下发的文件要求进行预算编制工作，较好地完成了县人大办预算编制工作，无违规行为。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是高度重视预算编制质量，为夯实部门预算编制质量，县人大办高度重视，认真组织2024年单位预算编制工作；二是加快预算执行进度，县人大办按预算执行支出，确保合规使用；三是严控一般性支出，县人大办实时监控支出进度，对比预算与实际，严格控制一般性支出，定期分析偏差，查找原因并整改。</w:t>
      </w:r>
    </w:p>
    <w:tbl>
      <w:tblPr>
        <w:tblStyle w:val="5"/>
        <w:tblW w:w="82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6"/>
        <w:gridCol w:w="2212"/>
        <w:gridCol w:w="1802"/>
        <w:gridCol w:w="2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科目编码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科目名称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预算收入</w:t>
            </w:r>
          </w:p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决算支出</w:t>
            </w:r>
          </w:p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2010101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行政运行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708.51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708.51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2010104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人大会议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72.38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72.38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2010107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培训支出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2010150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事业运行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64.81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64.81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2080505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养老保险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67.31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67.31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2080506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职业年金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33.66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33.66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2101101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行政单位医疗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28.24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28.24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2101102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事业单位医疗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3.59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3.59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2101103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公务员医疗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12.51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12.51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2210201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住房公积金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54.50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54.50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7" w:hRule="atLeast"/>
        </w:trPr>
        <w:tc>
          <w:tcPr>
            <w:tcW w:w="36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合计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1069.52</w:t>
            </w:r>
          </w:p>
        </w:tc>
        <w:tc>
          <w:tcPr>
            <w:tcW w:w="2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1069.52</w:t>
            </w:r>
          </w:p>
        </w:tc>
      </w:tr>
    </w:tbl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ind w:firstLine="642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（二）专项预算管理。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涉及</w:t>
      </w:r>
      <w:r>
        <w:rPr>
          <w:rFonts w:hint="default" w:ascii="仿宋" w:hAnsi="仿宋" w:eastAsia="仿宋"/>
          <w:sz w:val="32"/>
          <w:szCs w:val="32"/>
          <w:lang w:val="en-US" w:eastAsia="zh-CN"/>
        </w:rPr>
        <w:t>常年项目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总数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个，涉及预算总金额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96.38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万元，1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—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1</w:t>
      </w:r>
      <w:r>
        <w:rPr>
          <w:rFonts w:hint="default" w:ascii="仿宋" w:hAnsi="仿宋" w:eastAsia="仿宋"/>
          <w:sz w:val="32"/>
          <w:szCs w:val="32"/>
          <w:lang w:val="en-US" w:eastAsia="zh-CN"/>
        </w:rPr>
        <w:t>2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月预算执行总体进度为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100</w:t>
      </w:r>
      <w:r>
        <w:rPr>
          <w:rFonts w:hint="default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%，其中：预算结余率大于</w:t>
      </w:r>
      <w:r>
        <w:rPr>
          <w:rFonts w:hint="default" w:ascii="仿宋" w:hAnsi="仿宋" w:eastAsia="仿宋"/>
          <w:sz w:val="32"/>
          <w:szCs w:val="32"/>
          <w:lang w:val="en-US" w:eastAsia="zh-CN"/>
        </w:rPr>
        <w:t>10%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的项目共计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</w:t>
      </w:r>
      <w:r>
        <w:rPr>
          <w:rFonts w:hint="default" w:ascii="仿宋" w:hAnsi="仿宋" w:eastAsia="仿宋"/>
          <w:sz w:val="32"/>
          <w:szCs w:val="32"/>
          <w:lang w:val="zh-CN" w:eastAsia="zh-CN"/>
        </w:rPr>
        <w:t>个。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一是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项目决策程序运用科学的方法，广泛收集各种信息，制定出合理合规合法的决策；二是人大会议、人大代表和人大工作者培训是每年都需进行的常规项目，属正常运转项目，都按照要求做好项目入库、事前评估等工作；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三是执行结果，黑水县第十四届人民代表大会第三、四次会议分别于2024年1月14日至1月18日、2024年6月25日至27日在县文化交流中心召开，费用47.38万元。两月1次的常委会，1月1次的主任会议，费用25万元。会议费合计72.38万元。2024年是人大代表履职能力提升年，根据《黑水县人民代表大会常务委员会2024年工作要点》《2024年度黑水县县乡人大代表培训计划》的要求，为加强县乡人大代表培训，切实提高县乡人大代表的履职能力。共举办人大代表和人大工作者培训3期，2期在湖南长沙，1期成都，共计费用24万元。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（三）结果应用情况。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2024年共计支出1069.52万元，较上年增加100.62万元，同比增长10.38%。</w:t>
      </w:r>
    </w:p>
    <w:p>
      <w:pPr>
        <w:snapToGrid w:val="0"/>
        <w:spacing w:line="360" w:lineRule="auto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一般公共服务支出869.70万元，比上年增加64.81万元，同比增长8.05%，原因是厉行节约。主要用于：人大常委会机关人员工资、退休费、工伤保险、失业保险、车辆运行费、差旅费、会议费、培训费等日常运转经费支出，提高了人大常委会机关的有效运转。</w:t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社会保障和就业支出100.97万元，比上年增加11.06万元，同比增长12.30%，保障机关事业单位工作人员退休后的生活、促进人力资源合理流动具有重要意义。</w:t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卫生健康支出44.35万元，比上年增加4.48万元，同比增长11.24%。主要用于：人大常委会机关按照规定标准为职工缴纳的基本医疗保险。</w:t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住房公积金支出54.50万元，比上年增加6.10万元，同比增长12.60%。主要用于：人大常委会机关按照规定标准为职工缴纳住房公积金支出。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四、评价结论及建议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（一）评价结论。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年我办加强财务工作管理，严格财经纪律，在总结经验的基础上改进工作的方式方法，做好工作创新，保证了我办20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年的各项工作能够顺利开展。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（二）存在问题。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绩效目标制定不够完善，预算编制不够科学合理。</w:t>
      </w:r>
    </w:p>
    <w:p>
      <w:pPr>
        <w:snapToGrid w:val="0"/>
        <w:spacing w:line="360" w:lineRule="auto"/>
        <w:ind w:firstLine="642" w:firstLineChars="200"/>
        <w:rPr>
          <w:rFonts w:hint="eastAsia" w:ascii="仿宋" w:hAnsi="仿宋" w:eastAsia="仿宋"/>
          <w:sz w:val="32"/>
          <w:szCs w:val="32"/>
          <w:lang w:val="zh-CN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（三）改进建议。</w:t>
      </w:r>
      <w:r>
        <w:rPr>
          <w:rFonts w:hint="eastAsia" w:ascii="仿宋" w:hAnsi="仿宋" w:eastAsia="仿宋"/>
          <w:sz w:val="32"/>
          <w:szCs w:val="32"/>
          <w:lang w:val="zh-CN" w:eastAsia="zh-CN"/>
        </w:rPr>
        <w:t>进一步完善绩效目标填报工作，强化绩效指标实用性。绩效目标是整个预算绩效管理的起点，与部门履职效率形成直接关系，在接下来工作中，严格按照经济性、效率性及效益性原则设置对应指标，提高绩效指标实用性。认真履行预算编报要求，提高预算编报的科学性。严格按照相关预算编报文件要求，结合近年来执行情况，合理编制各项预算，提高预算的科学性和准确性。</w:t>
      </w: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ind w:firstLine="640" w:firstLineChars="200"/>
        <w:jc w:val="right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2025年8月27日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TFhM2IzOGQ0NGYzZmZjNWY3ZDYyMzZjMTI0ZWM5ZTQifQ=="/>
  </w:docVars>
  <w:rsids>
    <w:rsidRoot w:val="00491B22"/>
    <w:rsid w:val="00291808"/>
    <w:rsid w:val="003357D8"/>
    <w:rsid w:val="00491B22"/>
    <w:rsid w:val="0052390C"/>
    <w:rsid w:val="006B6D1F"/>
    <w:rsid w:val="00D04E5E"/>
    <w:rsid w:val="01055032"/>
    <w:rsid w:val="01DC390D"/>
    <w:rsid w:val="022C0730"/>
    <w:rsid w:val="04CE3D21"/>
    <w:rsid w:val="057C552B"/>
    <w:rsid w:val="06B31420"/>
    <w:rsid w:val="06D27AF8"/>
    <w:rsid w:val="0717375D"/>
    <w:rsid w:val="07D16002"/>
    <w:rsid w:val="08AE1E9F"/>
    <w:rsid w:val="08D14DA6"/>
    <w:rsid w:val="095073FA"/>
    <w:rsid w:val="0CA535B9"/>
    <w:rsid w:val="0CDA366E"/>
    <w:rsid w:val="0DCB704F"/>
    <w:rsid w:val="0ED91C40"/>
    <w:rsid w:val="10F468BD"/>
    <w:rsid w:val="11890582"/>
    <w:rsid w:val="11934328"/>
    <w:rsid w:val="122B630F"/>
    <w:rsid w:val="124D097B"/>
    <w:rsid w:val="127A1044"/>
    <w:rsid w:val="13E7095B"/>
    <w:rsid w:val="17F65611"/>
    <w:rsid w:val="19082535"/>
    <w:rsid w:val="199F6E82"/>
    <w:rsid w:val="1A9A2283"/>
    <w:rsid w:val="1B1A1616"/>
    <w:rsid w:val="1CD20489"/>
    <w:rsid w:val="1D2B3667"/>
    <w:rsid w:val="1DA04055"/>
    <w:rsid w:val="1FE3647B"/>
    <w:rsid w:val="20004D08"/>
    <w:rsid w:val="20280331"/>
    <w:rsid w:val="22EC555B"/>
    <w:rsid w:val="232F19D7"/>
    <w:rsid w:val="23A67EEB"/>
    <w:rsid w:val="23FF4E46"/>
    <w:rsid w:val="261A696E"/>
    <w:rsid w:val="271B474C"/>
    <w:rsid w:val="27840543"/>
    <w:rsid w:val="27A504B9"/>
    <w:rsid w:val="28C130D1"/>
    <w:rsid w:val="29174AC0"/>
    <w:rsid w:val="2A905C71"/>
    <w:rsid w:val="2AE76F28"/>
    <w:rsid w:val="2C2B4EAC"/>
    <w:rsid w:val="300761B5"/>
    <w:rsid w:val="30470360"/>
    <w:rsid w:val="30F279D5"/>
    <w:rsid w:val="313D3119"/>
    <w:rsid w:val="318555E4"/>
    <w:rsid w:val="334E7C57"/>
    <w:rsid w:val="33AE06F6"/>
    <w:rsid w:val="34EB1F43"/>
    <w:rsid w:val="3619454C"/>
    <w:rsid w:val="36435EC2"/>
    <w:rsid w:val="36575075"/>
    <w:rsid w:val="36CE5337"/>
    <w:rsid w:val="37040D59"/>
    <w:rsid w:val="37C36E66"/>
    <w:rsid w:val="37FC3C26"/>
    <w:rsid w:val="382611A3"/>
    <w:rsid w:val="38824072"/>
    <w:rsid w:val="38E452E6"/>
    <w:rsid w:val="392A081F"/>
    <w:rsid w:val="396AC56B"/>
    <w:rsid w:val="3C4542ED"/>
    <w:rsid w:val="3CB925E5"/>
    <w:rsid w:val="3D14529E"/>
    <w:rsid w:val="3D74650C"/>
    <w:rsid w:val="3ED100BA"/>
    <w:rsid w:val="3F02D8D7"/>
    <w:rsid w:val="40F4361A"/>
    <w:rsid w:val="41E33B7F"/>
    <w:rsid w:val="42393649"/>
    <w:rsid w:val="42AC04F6"/>
    <w:rsid w:val="434A21E9"/>
    <w:rsid w:val="43655275"/>
    <w:rsid w:val="43B43B06"/>
    <w:rsid w:val="43FD725B"/>
    <w:rsid w:val="44F3240C"/>
    <w:rsid w:val="46164604"/>
    <w:rsid w:val="46B1257F"/>
    <w:rsid w:val="46BA7686"/>
    <w:rsid w:val="46F32B98"/>
    <w:rsid w:val="48401E0D"/>
    <w:rsid w:val="4846543F"/>
    <w:rsid w:val="489108BA"/>
    <w:rsid w:val="4ABA324B"/>
    <w:rsid w:val="4CAE37E9"/>
    <w:rsid w:val="4D4E0B28"/>
    <w:rsid w:val="4DA22C22"/>
    <w:rsid w:val="4DD97D2F"/>
    <w:rsid w:val="4E3221F7"/>
    <w:rsid w:val="4E5C7274"/>
    <w:rsid w:val="4F041DE6"/>
    <w:rsid w:val="4F5A37B4"/>
    <w:rsid w:val="4FAB400F"/>
    <w:rsid w:val="4FF5638A"/>
    <w:rsid w:val="50514E64"/>
    <w:rsid w:val="513D3ABD"/>
    <w:rsid w:val="515661FD"/>
    <w:rsid w:val="516C77CE"/>
    <w:rsid w:val="5197762D"/>
    <w:rsid w:val="51DA5080"/>
    <w:rsid w:val="53D84283"/>
    <w:rsid w:val="54DE4E87"/>
    <w:rsid w:val="56440D1A"/>
    <w:rsid w:val="56466840"/>
    <w:rsid w:val="5737087F"/>
    <w:rsid w:val="58DA5965"/>
    <w:rsid w:val="5A3D7F5A"/>
    <w:rsid w:val="5ADB706E"/>
    <w:rsid w:val="5C361105"/>
    <w:rsid w:val="5C4F21C6"/>
    <w:rsid w:val="5C844566"/>
    <w:rsid w:val="5CB52971"/>
    <w:rsid w:val="5CDF79EE"/>
    <w:rsid w:val="5EFFF899"/>
    <w:rsid w:val="5F090D52"/>
    <w:rsid w:val="5FEF04D9"/>
    <w:rsid w:val="5FFC681A"/>
    <w:rsid w:val="60123C37"/>
    <w:rsid w:val="60D032A5"/>
    <w:rsid w:val="61842912"/>
    <w:rsid w:val="62C21944"/>
    <w:rsid w:val="64ED07CF"/>
    <w:rsid w:val="6502427A"/>
    <w:rsid w:val="676F196F"/>
    <w:rsid w:val="677CDE78"/>
    <w:rsid w:val="68AA7102"/>
    <w:rsid w:val="68D777CC"/>
    <w:rsid w:val="697E40EB"/>
    <w:rsid w:val="69B61AD7"/>
    <w:rsid w:val="6A050368"/>
    <w:rsid w:val="6AE306AA"/>
    <w:rsid w:val="6B513865"/>
    <w:rsid w:val="6C0C59DE"/>
    <w:rsid w:val="6CBF0CA2"/>
    <w:rsid w:val="6DB37B78"/>
    <w:rsid w:val="6F1F1ECC"/>
    <w:rsid w:val="6F651FD5"/>
    <w:rsid w:val="6FF32624"/>
    <w:rsid w:val="6FF5C05C"/>
    <w:rsid w:val="709B37D5"/>
    <w:rsid w:val="74D80B53"/>
    <w:rsid w:val="753F29A5"/>
    <w:rsid w:val="7601232C"/>
    <w:rsid w:val="777A2FB3"/>
    <w:rsid w:val="77A3B710"/>
    <w:rsid w:val="77D9E140"/>
    <w:rsid w:val="797D43BF"/>
    <w:rsid w:val="799528DD"/>
    <w:rsid w:val="79E41D48"/>
    <w:rsid w:val="7B5B24DE"/>
    <w:rsid w:val="7CAD6D69"/>
    <w:rsid w:val="7D230DDA"/>
    <w:rsid w:val="7E5A5C53"/>
    <w:rsid w:val="7E851D4C"/>
    <w:rsid w:val="7EF56FBB"/>
    <w:rsid w:val="7F5BD458"/>
    <w:rsid w:val="7F9935D5"/>
    <w:rsid w:val="7FDB2621"/>
    <w:rsid w:val="7FDE6796"/>
    <w:rsid w:val="7FEF8E4E"/>
    <w:rsid w:val="9FD4B494"/>
    <w:rsid w:val="BFE6DD47"/>
    <w:rsid w:val="D6DB879F"/>
    <w:rsid w:val="DB527A8C"/>
    <w:rsid w:val="DC774879"/>
    <w:rsid w:val="DF4C8E93"/>
    <w:rsid w:val="DFF8B9A4"/>
    <w:rsid w:val="E7F5E25D"/>
    <w:rsid w:val="EF7F1372"/>
    <w:rsid w:val="F56F2209"/>
    <w:rsid w:val="F7E202A1"/>
    <w:rsid w:val="F8F77D5C"/>
    <w:rsid w:val="FBE8A45C"/>
    <w:rsid w:val="FEB8F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table of figures"/>
    <w:basedOn w:val="1"/>
    <w:next w:val="1"/>
    <w:qFormat/>
    <w:uiPriority w:val="0"/>
    <w:pPr>
      <w:ind w:leftChars="200" w:hanging="200" w:hangingChars="200"/>
    </w:p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19"/>
    <w:basedOn w:val="6"/>
    <w:qFormat/>
    <w:uiPriority w:val="0"/>
    <w:rPr>
      <w:rFonts w:hint="default" w:ascii="Times New Roman" w:hAnsi="Times New Roman" w:cs="Times New Roman"/>
      <w:color w:val="0000FF"/>
      <w:u w:val="single"/>
    </w:rPr>
  </w:style>
  <w:style w:type="paragraph" w:customStyle="1" w:styleId="10">
    <w:name w:val="普通(网站) Char"/>
    <w:basedOn w:val="1"/>
    <w:qFormat/>
    <w:uiPriority w:val="0"/>
    <w:pPr>
      <w:spacing w:before="100" w:beforeAutospacing="1" w:after="100" w:afterAutospacing="1"/>
    </w:pPr>
  </w:style>
  <w:style w:type="character" w:customStyle="1" w:styleId="11">
    <w:name w:val="22"/>
    <w:basedOn w:val="6"/>
    <w:qFormat/>
    <w:uiPriority w:val="0"/>
    <w:rPr>
      <w:rFonts w:hint="default" w:ascii="Times New Roman" w:hAnsi="Times New Roman" w:cs="Times New Roman"/>
      <w:b/>
    </w:rPr>
  </w:style>
  <w:style w:type="paragraph" w:customStyle="1" w:styleId="12">
    <w:name w:val="NormalIndent"/>
    <w:next w:val="3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customStyle="1" w:styleId="13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C:\Users\Administrator\Desktop\Book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baseline="0">
                <a:solidFill>
                  <a:srgbClr val="404040">
                    <a:lumMod val="75000"/>
                    <a:lumOff val="25000"/>
                  </a:srgbClr>
                </a:solidFill>
                <a:latin typeface="+mn-lt"/>
                <a:ea typeface="+mn-ea"/>
                <a:cs typeface="+mn-cs"/>
              </a:defRPr>
            </a:pPr>
            <a:r>
              <a:t>收、支决算总计变动情况图</a:t>
            </a:r>
            <a:endParaRPr lang="en-US" altLang="zh-CN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rgbClr val="404040">
                        <a:lumMod val="75000"/>
                        <a:lumOff val="25000"/>
                      </a:srgb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rgbClr val="A6A6A6">
                          <a:lumMod val="35000"/>
                          <a:lumOff val="65000"/>
                        </a:srgb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[Book1.xlsx]Sheet9!$A$1:$A$4</c:f>
              <c:strCache>
                <c:ptCount val="4"/>
                <c:pt idx="0">
                  <c:v>2023年度收入预算</c:v>
                </c:pt>
                <c:pt idx="1">
                  <c:v>2023年度支出预算</c:v>
                </c:pt>
                <c:pt idx="2">
                  <c:v>2024年度收入预算</c:v>
                </c:pt>
                <c:pt idx="3">
                  <c:v>2024年度支出预算</c:v>
                </c:pt>
              </c:strCache>
            </c:strRef>
          </c:cat>
          <c:val>
            <c:numRef>
              <c:f>[Book1.xlsx]Sheet9!$B$1:$B$4</c:f>
              <c:numCache>
                <c:formatCode>General</c:formatCode>
                <c:ptCount val="4"/>
                <c:pt idx="0">
                  <c:v>968.9</c:v>
                </c:pt>
                <c:pt idx="1">
                  <c:v>968.9</c:v>
                </c:pt>
                <c:pt idx="2">
                  <c:v>1069.52</c:v>
                </c:pt>
                <c:pt idx="3">
                  <c:v>1069.52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46"/>
        <c:overlap val="-28"/>
        <c:axId val="987753672"/>
        <c:axId val="615609418"/>
      </c:barChart>
      <c:catAx>
        <c:axId val="987753672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rgbClr val="D9D9D9">
                <a:lumMod val="15000"/>
                <a:lumOff val="85000"/>
              </a:srgb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rgbClr val="595959">
                    <a:lumMod val="65000"/>
                    <a:lumOff val="35000"/>
                  </a:srgbClr>
                </a:solidFill>
                <a:latin typeface="+mn-lt"/>
                <a:ea typeface="+mn-ea"/>
                <a:cs typeface="+mn-cs"/>
              </a:defRPr>
            </a:pPr>
          </a:p>
        </c:txPr>
        <c:crossAx val="615609418"/>
        <c:crosses val="autoZero"/>
        <c:auto val="1"/>
        <c:lblAlgn val="ctr"/>
        <c:lblOffset val="100"/>
        <c:noMultiLvlLbl val="0"/>
      </c:catAx>
      <c:valAx>
        <c:axId val="61560941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rgbClr val="E6E6E6">
                  <a:lumMod val="90200"/>
                </a:srgb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rgbClr val="595959">
                    <a:lumMod val="65000"/>
                    <a:lumOff val="35000"/>
                  </a:srgbClr>
                </a:solidFill>
                <a:latin typeface="+mn-lt"/>
                <a:ea typeface="+mn-ea"/>
                <a:cs typeface="+mn-cs"/>
              </a:defRPr>
            </a:pPr>
          </a:p>
        </c:txPr>
        <c:crossAx val="987753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rgbClr val="595959">
                  <a:lumMod val="65000"/>
                  <a:lumOff val="35000"/>
                </a:srgb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spPr>
    <a:solidFill>
      <a:srgbClr val="FFFFFF"/>
    </a:solidFill>
    <a:ln w="9525" cap="flat" cmpd="sng" algn="ctr">
      <a:solidFill>
        <a:srgbClr val="D9D9D9">
          <a:lumMod val="15000"/>
          <a:lumOff val="85000"/>
        </a:srgb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rgbClr val="4F81BD"/>
  <a:srgbClr val="C0504D"/>
  <a:srgbClr val="9BBB59"/>
  <a:srgbClr val="8064A2"/>
  <a:srgbClr val="4BACC6"/>
  <a:srgbClr val="F7964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001">
  <cs:axisTitle>
    <cs:lnRef idx="0"/>
    <cs:fillRef idx="0"/>
    <cs:effectRef idx="0"/>
    <cs:fontRef idx="minor">
      <a:srgbClr val="595959">
        <a:lumMod val="65000"/>
        <a:lumOff val="35000"/>
      </a:srgbClr>
    </cs:fontRef>
    <cs:defRPr sz="1000" kern="1200"/>
  </cs:axisTitle>
  <cs:categoryAxis>
    <cs:lnRef idx="0"/>
    <cs:fillRef idx="0"/>
    <cs:effectRef idx="0"/>
    <cs:fontRef idx="minor">
      <a:srgbClr val="595959">
        <a:lumMod val="65000"/>
        <a:lumOff val="35000"/>
      </a:srgbClr>
    </cs:fontRef>
    <cs:spPr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rgbClr val="000000"/>
    </cs:fontRef>
    <cs:spPr>
      <a:solidFill>
        <a:srgbClr val="FFFFFF"/>
      </a:solidFill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1000" kern="1200"/>
  </cs:chartArea>
  <cs:dataLabel>
    <cs:lnRef idx="0"/>
    <cs:fillRef idx="0"/>
    <cs:effectRef idx="0"/>
    <cs:fontRef idx="minor">
      <a:srgbClr val="404040">
        <a:lumMod val="75000"/>
        <a:lumOff val="25000"/>
      </a:srgbClr>
    </cs:fontRef>
    <cs:defRPr sz="1000" kern="1200"/>
  </cs:dataLabel>
  <cs:dataLabelCallout>
    <cs:lnRef idx="0"/>
    <cs:fillRef idx="0"/>
    <cs:effectRef idx="0"/>
    <cs:fontRef idx="minor">
      <a:srgbClr val="595959">
        <a:lumMod val="65000"/>
        <a:lumOff val="35000"/>
      </a:srgbClr>
    </cs:fontRef>
    <cs:spPr>
      <a:solidFill>
        <a:srgbClr val="FFFFFF"/>
      </a:solidFill>
      <a:ln>
        <a:solidFill>
          <a:srgbClr val="BFBFBF">
            <a:lumMod val="25000"/>
            <a:lumOff val="75000"/>
          </a:srgb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rgbClr val="000000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rgbClr val="000000"/>
    </cs:fontRef>
  </cs:dataPoint3D>
  <cs:dataPointLine>
    <cs:lnRef idx="0">
      <cs:styleClr val="auto"/>
    </cs:lnRef>
    <cs:fillRef idx="1"/>
    <cs:effectRef idx="0"/>
    <cs:fontRef idx="minor">
      <a:srgbClr val="000000"/>
    </cs:fontRef>
    <cs:spPr>
      <a:ln w="28575" cap="rnd">
        <a:solidFill>
          <a:srgbClr val="FFFFFF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rgbClr val="000000"/>
    </cs:fontRef>
    <cs:spPr>
      <a:ln w="9525">
        <a:solidFill>
          <a:srgbClr val="FFFFFF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rgbClr val="000000"/>
    </cs:fontRef>
    <cs:spPr>
      <a:ln w="9525" cap="rnd">
        <a:solidFill>
          <a:srgbClr val="FFFFFF"/>
        </a:solidFill>
        <a:round/>
      </a:ln>
    </cs:spPr>
  </cs:dataPointWireframe>
  <cs:dataTable>
    <cs:lnRef idx="0"/>
    <cs:fillRef idx="0"/>
    <cs:effectRef idx="0"/>
    <cs:fontRef idx="minor">
      <a:srgbClr val="595959">
        <a:lumMod val="65000"/>
        <a:lumOff val="35000"/>
      </a:srgbClr>
    </cs:fontRef>
    <cs:spPr>
      <a:noFill/>
      <a:ln w="9525" cap="flat" cmpd="sng" algn="ctr">
        <a:solidFill>
          <a:srgbClr val="D9D9D9">
            <a:lumMod val="15000"/>
            <a:lumOff val="85000"/>
          </a:srgbClr>
        </a:solidFill>
        <a:round/>
      </a:ln>
    </cs:spPr>
    <cs:defRPr sz="900" kern="1200"/>
  </cs:dataTable>
  <cs:downBar>
    <cs:lnRef idx="0"/>
    <cs:fillRef idx="0"/>
    <cs:effectRef idx="0"/>
    <cs:fontRef idx="minor">
      <a:srgbClr val="000000"/>
    </cs:fontRef>
    <cs:spPr>
      <a:solidFill>
        <a:srgbClr val="595959">
          <a:lumMod val="65000"/>
          <a:lumOff val="35000"/>
        </a:srgbClr>
      </a:solidFill>
      <a:ln w="9525">
        <a:solidFill>
          <a:srgbClr val="595959">
            <a:lumMod val="65000"/>
            <a:lumOff val="35000"/>
          </a:srgbClr>
        </a:solidFill>
      </a:ln>
    </cs:spPr>
  </cs:downBar>
  <cs:drop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dropLine>
  <cs:errorBar>
    <cs:lnRef idx="0"/>
    <cs:fillRef idx="0"/>
    <cs:effectRef idx="0"/>
    <cs:fontRef idx="minor">
      <a:srgbClr val="000000"/>
    </cs:fontRef>
    <cs:spPr>
      <a:ln w="9525" cap="flat" cmpd="sng" algn="ctr">
        <a:solidFill>
          <a:srgbClr val="595959">
            <a:lumMod val="65000"/>
            <a:lumOff val="35000"/>
          </a:srgbClr>
        </a:solidFill>
        <a:round/>
      </a:ln>
    </cs:spPr>
  </cs:errorBar>
  <cs:floor>
    <cs:lnRef idx="0"/>
    <cs:fillRef idx="0"/>
    <cs:effectRef idx="0"/>
    <cs:fontRef idx="minor">
      <a:srgbClr val="000000"/>
    </cs:fontRef>
    <cs:spPr>
      <a:noFill/>
      <a:ln>
        <a:noFill/>
      </a:ln>
    </cs:spPr>
  </cs:floor>
  <cs:gridlineMajor>
    <cs:lnRef idx="0"/>
    <cs:fillRef idx="0"/>
    <cs:effectRef idx="0"/>
    <cs:fontRef idx="minor">
      <a:srgbClr val="000000"/>
    </cs:fontRef>
    <cs:spPr>
      <a:ln w="9525" cap="flat" cmpd="sng" algn="ctr">
        <a:solidFill>
          <a:srgbClr val="E6E6E6">
            <a:lumMod val="90200"/>
          </a:srgbClr>
        </a:solidFill>
        <a:round/>
      </a:ln>
    </cs:spPr>
  </cs:gridlineMajor>
  <cs:gridlineMinor>
    <cs:lnRef idx="0"/>
    <cs:fillRef idx="0"/>
    <cs:effectRef idx="0"/>
    <cs:fontRef idx="minor">
      <a:srgbClr val="000000"/>
    </cs:fontRef>
    <cs:spPr>
      <a:ln w="9525" cap="flat" cmpd="sng" algn="ctr">
        <a:solidFill>
          <a:srgbClr val="F2F2F2">
            <a:lumMod val="5000"/>
            <a:lumOff val="95000"/>
          </a:srgbClr>
        </a:solidFill>
        <a:round/>
      </a:ln>
    </cs:spPr>
  </cs:gridlineMinor>
  <cs:hiLo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404040">
            <a:lumMod val="75000"/>
            <a:lumOff val="25000"/>
          </a:srgbClr>
        </a:solidFill>
        <a:round/>
      </a:ln>
    </cs:spPr>
  </cs:hiLoLine>
  <cs:leader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leaderLine>
  <cs:legend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legend>
  <cs:plotArea mods="allowNoFillOverride allowNoLineOverride">
    <cs:lnRef idx="0"/>
    <cs:fillRef idx="0"/>
    <cs:effectRef idx="0"/>
    <cs:fontRef idx="minor">
      <a:srgbClr val="000000"/>
    </cs:fontRef>
  </cs:plotArea>
  <cs:plotArea3D mods="allowNoFillOverride allowNoLineOverride">
    <cs:lnRef idx="0"/>
    <cs:fillRef idx="0"/>
    <cs:effectRef idx="0"/>
    <cs:fontRef idx="minor">
      <a:srgbClr val="000000"/>
    </cs:fontRef>
  </cs:plotArea3D>
  <cs:seriesAxis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seriesAxis>
  <cs:seriesLine>
    <cs:lnRef idx="0"/>
    <cs:fillRef idx="0"/>
    <cs:effectRef idx="0"/>
    <cs:fontRef idx="minor">
      <a:srgbClr val="000000"/>
    </cs:fontRef>
    <cs:spPr>
      <a:ln w="9525" cap="flat" cmpd="sng" algn="ctr">
        <a:solidFill>
          <a:srgbClr val="A6A6A6">
            <a:lumMod val="35000"/>
            <a:lumOff val="65000"/>
          </a:srgbClr>
        </a:solidFill>
        <a:round/>
      </a:ln>
    </cs:spPr>
  </cs:seriesLine>
  <cs:title>
    <cs:lnRef idx="0"/>
    <cs:fillRef idx="0"/>
    <cs:effectRef idx="0"/>
    <cs:fontRef idx="minor">
      <a:srgbClr val="404040">
        <a:lumMod val="75000"/>
        <a:lumOff val="25000"/>
      </a:srgbClr>
    </cs:fontRef>
    <cs:defRPr sz="1400" b="1" kern="1200" baseline="0"/>
  </cs:title>
  <cs:trendline>
    <cs:lnRef idx="0">
      <cs:styleClr val="auto"/>
    </cs:lnRef>
    <cs:fillRef idx="0"/>
    <cs:effectRef idx="0"/>
    <cs:fontRef idx="minor">
      <a:srgbClr val="000000"/>
    </cs:fontRef>
    <cs:spPr>
      <a:ln w="19050" cap="rnd">
        <a:solidFill>
          <a:srgbClr val="FFFFFF"/>
        </a:solidFill>
        <a:prstDash val="sysDot"/>
      </a:ln>
    </cs:spPr>
  </cs:trendline>
  <cs:trendlineLabel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trendlineLabel>
  <cs:upBar>
    <cs:lnRef idx="0"/>
    <cs:fillRef idx="0"/>
    <cs:effectRef idx="0"/>
    <cs:fontRef idx="minor">
      <a:srgbClr val="000000"/>
    </cs:fontRef>
    <cs:spPr>
      <a:solidFill>
        <a:srgbClr val="FFFFFF"/>
      </a:solidFill>
      <a:ln w="9525">
        <a:solidFill>
          <a:srgbClr val="D9D9D9">
            <a:lumMod val="15000"/>
            <a:lumOff val="85000"/>
          </a:srgbClr>
        </a:solidFill>
      </a:ln>
    </cs:spPr>
  </cs:upBar>
  <cs:valueAxis>
    <cs:lnRef idx="0"/>
    <cs:fillRef idx="0"/>
    <cs:effectRef idx="0"/>
    <cs:fontRef idx="minor">
      <a:srgbClr val="595959">
        <a:lumMod val="65000"/>
        <a:lumOff val="35000"/>
      </a:srgbClr>
    </cs:fontRef>
    <cs:defRPr sz="900" kern="1200"/>
  </cs:valueAxis>
  <cs:wall>
    <cs:lnRef idx="0"/>
    <cs:fillRef idx="0"/>
    <cs:effectRef idx="0"/>
    <cs:fontRef idx="minor">
      <a:srgbClr val="000000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6</Pages>
  <Words>2146</Words>
  <Characters>2488</Characters>
  <Lines>2</Lines>
  <Paragraphs>1</Paragraphs>
  <TotalTime>25</TotalTime>
  <ScaleCrop>false</ScaleCrop>
  <LinksUpToDate>false</LinksUpToDate>
  <CharactersWithSpaces>2489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2019-08-19T17:06:00Z</dcterms:created>
  <dc:creator>Sky123.Org</dc:creator>
  <cp:lastModifiedBy>user</cp:lastModifiedBy>
  <dcterms:modified xsi:type="dcterms:W3CDTF">2025-11-10T15:36:09Z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2ED0D98343C64B439AD4139A6AADAA89_12</vt:lpwstr>
  </property>
  <property fmtid="{D5CDD505-2E9C-101B-9397-08002B2CF9AE}" pid="4" name="KSOTemplateDocerSaveRecord">
    <vt:lpwstr>eyJoZGlkIjoiYTFhM2IzOGQ0NGYzZmZjNWY3ZDYyMzZjMTI0ZWM5ZTQiLCJ1c2VySWQiOiI2NjkyOTQ5NzMifQ==</vt:lpwstr>
  </property>
</Properties>
</file>