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44"/>
          <w:szCs w:val="44"/>
          <w:lang w:eastAsia="zh-CN"/>
        </w:rPr>
      </w:pPr>
      <w:bookmarkStart w:id="0" w:name="_Toc15396616"/>
      <w:r>
        <w:rPr>
          <w:rFonts w:hint="eastAsia" w:ascii="仿宋_GB2312" w:hAnsi="黑体" w:eastAsia="仿宋_GB2312" w:cs="方正小标宋简体"/>
          <w:b/>
          <w:sz w:val="44"/>
          <w:szCs w:val="44"/>
          <w:lang w:eastAsia="zh-CN"/>
        </w:rPr>
        <w:t>政协黑水县委员会办公室（</w:t>
      </w:r>
      <w:r>
        <w:rPr>
          <w:rFonts w:hint="eastAsia" w:ascii="仿宋_GB2312" w:hAnsi="黑体" w:eastAsia="仿宋_GB2312" w:cs="方正小标宋简体"/>
          <w:b/>
          <w:sz w:val="44"/>
          <w:szCs w:val="44"/>
          <w:lang w:val="en-US" w:eastAsia="zh-CN"/>
        </w:rPr>
        <w:t>汇总</w:t>
      </w:r>
      <w:r>
        <w:rPr>
          <w:rFonts w:hint="eastAsia" w:ascii="仿宋_GB2312" w:hAnsi="黑体" w:eastAsia="仿宋_GB2312" w:cs="方正小标宋简体"/>
          <w:b/>
          <w:sz w:val="44"/>
          <w:szCs w:val="44"/>
          <w:lang w:eastAsia="zh-CN"/>
        </w:rPr>
        <w:t>）</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44"/>
          <w:szCs w:val="44"/>
        </w:rPr>
        <w:t>20</w:t>
      </w:r>
      <w:r>
        <w:rPr>
          <w:rFonts w:hint="eastAsia" w:ascii="仿宋_GB2312" w:hAnsi="黑体" w:eastAsia="仿宋_GB2312" w:cs="方正小标宋简体"/>
          <w:b/>
          <w:sz w:val="44"/>
          <w:szCs w:val="44"/>
          <w:lang w:val="en-US" w:eastAsia="zh-CN"/>
        </w:rPr>
        <w:t>23</w:t>
      </w:r>
      <w:r>
        <w:rPr>
          <w:rFonts w:hint="eastAsia" w:ascii="仿宋_GB2312" w:hAnsi="黑体" w:eastAsia="仿宋_GB2312" w:cs="方正小标宋简体"/>
          <w:b/>
          <w:sz w:val="44"/>
          <w:szCs w:val="44"/>
        </w:rPr>
        <w:t>年部门整体支出绩效评价报告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一、部门概况</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（一）机构组成。</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内设四委一室：政协办公室、提案文史学习委员会、民族宗教群团法制委员会、文教卫生委员会、经济科技委员会。设事业单位1个，即黑水县政协委员服务中心，为公益一类股级事业编制。</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（二）机构职能。</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主要职能是：政治协商、民主监督、参政议政三大职能。</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政治协商是对国家和地方的大政方针以及政治、经济、文化和社会生活中的主要问题在决策之前进行协商和就决策过程中的重要问题进行协商。中国人民政治协商会议全国委员会和地方委员会可根据中国共产党、人民代表大会常务委员会、人民政府、民主党派、人民团体的提议，举行由各党派、团体的负责人和各族各界人士的代表参加的会议，进行协商，亦可建议上列单位将有关重要问题提交协商。</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民主监督是对国家宪法、法律和法规的实施，重大方针政策的贯彻执行、国家机关及其工作人员的工作，通过建议和批评进行监督。</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参政议政是对政治、经济、文化和社会生活中的重要问题以及人民群众普遍关心的问题，开展调查研究，反映社情民意，进行协商讨论，通过调研报告、提案、建议案或其他形式，向中国共产党和国家机关提出意见和建议。</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（三）人员概况。</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本单位编制共22人：其中行政编制12人，事业编制4人，工勤编制6人；2023年年末在职实有人数为29人：其中行政人员23人，事业人员2人，工勤人员4人；离、退休人员24人，抚养人员3人。</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二、部门财政资金收支情况</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（一）部门财政资金收入情况。</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2023年一般公共预算收入1044.72万元。其中基本收入955.2万元，项目收入89.52万元。主要用于2023年政协机关人员和日常公用经费、委员视察经费、政协会议费、编撰出版文史书籍等支出，切实保证机关的正常运转。</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2023年政府采购未安排公务用车购置预算。</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（二）部门财政资金支出情况。</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2023年实际支出1044.72万元。 按资金来源分析：其中财政拨款支出1044.72万元；按支出性质分析：基本支出955.2万元，项目支出89.52万元；按支出经济分类分析：其中工资福利支出765.41万元，商品和服务支出225.23万元，对个人和家庭的补助支出54.08万元。</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三、部门整体预算绩效管理情况</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（一）部门预算管理。</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en-US" w:eastAsia="zh-CN"/>
        </w:rPr>
        <w:t>1.</w:t>
      </w:r>
      <w:r>
        <w:rPr>
          <w:rFonts w:hint="eastAsia" w:ascii="仿宋_GB2312" w:hAnsi="黑体" w:eastAsia="仿宋_GB2312" w:cs="黑体"/>
          <w:sz w:val="32"/>
          <w:szCs w:val="32"/>
          <w:lang w:val="zh-CN" w:eastAsia="zh-CN"/>
        </w:rPr>
        <w:t>履职效能。县政协依据部门预算项目设定，积极组织开展政协二次全会、县级政协委员职能培训班，同时紧紧围绕中心、服务大局，以多种形式参政议政；组织开展专题小微协商，深入开展调研，有效推动了政协协商同基层治理的衔接与融合，为乡村振兴注入政协力量；学习借鉴有效的民主监督方式，用民主监督推进各项工作、改进工作作风、加强党风廉政建设。切实提高政协履职能力，充分发挥自身带头作用，认真履行政协章程赋予的职能。</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en-US" w:eastAsia="zh-CN"/>
        </w:rPr>
        <w:t>2.</w:t>
      </w:r>
      <w:r>
        <w:rPr>
          <w:rFonts w:hint="default" w:ascii="仿宋_GB2312" w:hAnsi="黑体" w:eastAsia="仿宋_GB2312" w:cs="黑体"/>
          <w:sz w:val="32"/>
          <w:szCs w:val="32"/>
          <w:lang w:val="zh-CN" w:eastAsia="zh-CN"/>
        </w:rPr>
        <w:t>预算管理</w:t>
      </w:r>
      <w:r>
        <w:rPr>
          <w:rFonts w:hint="eastAsia" w:ascii="仿宋_GB2312" w:hAnsi="黑体" w:eastAsia="仿宋_GB2312" w:cs="黑体"/>
          <w:sz w:val="32"/>
          <w:szCs w:val="32"/>
          <w:lang w:val="zh-CN" w:eastAsia="zh-CN"/>
        </w:rPr>
        <w:t>。</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预算编制质量</w:t>
      </w:r>
      <w:r>
        <w:rPr>
          <w:rFonts w:hint="default" w:ascii="仿宋_GB2312" w:hAnsi="黑体" w:eastAsia="仿宋_GB2312" w:cs="黑体"/>
          <w:sz w:val="32"/>
          <w:szCs w:val="32"/>
          <w:lang w:val="zh-CN" w:eastAsia="zh-CN"/>
        </w:rPr>
        <w:t>：</w:t>
      </w:r>
      <w:r>
        <w:rPr>
          <w:rFonts w:hint="eastAsia" w:ascii="仿宋_GB2312" w:hAnsi="黑体" w:eastAsia="仿宋_GB2312" w:cs="黑体"/>
          <w:sz w:val="32"/>
          <w:szCs w:val="32"/>
          <w:lang w:val="en-US" w:eastAsia="zh-CN"/>
        </w:rPr>
        <w:t>2023年县政协以财为本、依法履职，主动靠前加强部门预算编制工作，以文件为基础、以定额为标准、根据工作量合理编制部门预算，较好的完成了预算编制工作。</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en-US" w:eastAsia="zh-CN"/>
        </w:rPr>
        <w:t>单位收入统筹</w:t>
      </w:r>
      <w:r>
        <w:rPr>
          <w:rFonts w:hint="default" w:ascii="仿宋_GB2312" w:hAnsi="黑体" w:eastAsia="仿宋_GB2312" w:cs="黑体"/>
          <w:sz w:val="32"/>
          <w:szCs w:val="32"/>
          <w:lang w:val="en-US" w:eastAsia="zh-CN"/>
        </w:rPr>
        <w:t>：</w:t>
      </w:r>
      <w:r>
        <w:rPr>
          <w:rFonts w:hint="eastAsia" w:ascii="仿宋_GB2312" w:hAnsi="黑体" w:eastAsia="仿宋_GB2312" w:cs="黑体"/>
          <w:sz w:val="32"/>
          <w:szCs w:val="32"/>
          <w:lang w:val="en-US" w:eastAsia="zh-CN"/>
        </w:rPr>
        <w:t>该年度我</w:t>
      </w:r>
      <w:r>
        <w:rPr>
          <w:rFonts w:hint="eastAsia" w:ascii="仿宋_GB2312" w:hAnsi="黑体" w:eastAsia="仿宋_GB2312" w:cs="黑体"/>
          <w:sz w:val="32"/>
          <w:szCs w:val="32"/>
          <w:lang w:val="zh-CN" w:eastAsia="zh-CN"/>
        </w:rPr>
        <w:t>单位无自</w:t>
      </w:r>
      <w:r>
        <w:rPr>
          <w:rFonts w:hint="default" w:ascii="仿宋_GB2312" w:hAnsi="黑体" w:eastAsia="仿宋_GB2312" w:cs="黑体"/>
          <w:sz w:val="32"/>
          <w:szCs w:val="32"/>
          <w:lang w:val="en-US" w:eastAsia="zh-CN"/>
        </w:rPr>
        <w:t>有</w:t>
      </w:r>
      <w:r>
        <w:rPr>
          <w:rFonts w:hint="eastAsia" w:ascii="仿宋_GB2312" w:hAnsi="黑体" w:eastAsia="仿宋_GB2312" w:cs="黑体"/>
          <w:sz w:val="32"/>
          <w:szCs w:val="32"/>
          <w:lang w:val="zh-CN" w:eastAsia="zh-CN"/>
        </w:rPr>
        <w:t>收入。</w:t>
      </w:r>
    </w:p>
    <w:p>
      <w:pPr>
        <w:spacing w:line="580" w:lineRule="exact"/>
        <w:ind w:firstLine="640" w:firstLineChars="200"/>
        <w:rPr>
          <w:rFonts w:hint="default"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支出执行进度</w:t>
      </w:r>
      <w:r>
        <w:rPr>
          <w:rFonts w:hint="default" w:ascii="仿宋_GB2312" w:hAnsi="黑体" w:eastAsia="仿宋_GB2312" w:cs="黑体"/>
          <w:sz w:val="32"/>
          <w:szCs w:val="32"/>
          <w:lang w:val="en-US" w:eastAsia="zh-CN"/>
        </w:rPr>
        <w:t>：</w:t>
      </w:r>
      <w:r>
        <w:rPr>
          <w:rFonts w:hint="eastAsia" w:ascii="仿宋_GB2312" w:hAnsi="黑体" w:eastAsia="仿宋_GB2312" w:cs="黑体"/>
          <w:sz w:val="32"/>
          <w:szCs w:val="32"/>
          <w:lang w:val="en-US" w:eastAsia="zh-CN"/>
        </w:rPr>
        <w:t>1-12月一般公共预算支出金额为1044.72万元，资金支付</w:t>
      </w:r>
      <w:r>
        <w:rPr>
          <w:rFonts w:hint="default" w:ascii="仿宋_GB2312" w:hAnsi="黑体" w:eastAsia="仿宋_GB2312" w:cs="黑体"/>
          <w:sz w:val="32"/>
          <w:szCs w:val="32"/>
          <w:lang w:val="en-US" w:eastAsia="zh-CN"/>
        </w:rPr>
        <w:t>进度</w:t>
      </w:r>
      <w:r>
        <w:rPr>
          <w:rFonts w:hint="eastAsia" w:ascii="仿宋_GB2312" w:hAnsi="黑体" w:eastAsia="仿宋_GB2312" w:cs="黑体"/>
          <w:sz w:val="32"/>
          <w:szCs w:val="32"/>
          <w:lang w:val="en-US" w:eastAsia="zh-CN"/>
        </w:rPr>
        <w:t>达100%</w:t>
      </w:r>
      <w:r>
        <w:rPr>
          <w:rFonts w:hint="default" w:ascii="仿宋_GB2312" w:hAnsi="黑体" w:eastAsia="仿宋_GB2312" w:cs="黑体"/>
          <w:sz w:val="32"/>
          <w:szCs w:val="32"/>
          <w:lang w:val="en-US" w:eastAsia="zh-CN"/>
        </w:rPr>
        <w:t>。未出现支出预警情况，较好地完成了预算支出执行力度。</w:t>
      </w:r>
    </w:p>
    <w:p>
      <w:pPr>
        <w:spacing w:line="580" w:lineRule="exact"/>
        <w:ind w:firstLine="640" w:firstLineChars="200"/>
        <w:rPr>
          <w:rFonts w:hint="default" w:ascii="仿宋_GB2312" w:hAnsi="黑体" w:eastAsia="仿宋_GB2312" w:cs="黑体"/>
          <w:sz w:val="32"/>
          <w:szCs w:val="32"/>
          <w:lang w:val="en-US" w:eastAsia="zh-CN"/>
        </w:rPr>
      </w:pPr>
      <w:r>
        <w:rPr>
          <w:rFonts w:hint="eastAsia" w:ascii="仿宋_GB2312" w:hAnsi="黑体" w:eastAsia="仿宋_GB2312" w:cs="黑体"/>
          <w:sz w:val="32"/>
          <w:szCs w:val="32"/>
          <w:lang w:val="zh-CN" w:eastAsia="zh-CN"/>
        </w:rPr>
        <w:t>预算年终结余</w:t>
      </w:r>
      <w:r>
        <w:rPr>
          <w:rFonts w:hint="default" w:ascii="仿宋_GB2312" w:hAnsi="黑体" w:eastAsia="仿宋_GB2312" w:cs="黑体"/>
          <w:sz w:val="32"/>
          <w:szCs w:val="32"/>
          <w:lang w:val="en-US" w:eastAsia="zh-CN"/>
        </w:rPr>
        <w:t>：年终无预算结余资金。</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zh-CN" w:eastAsia="zh-CN"/>
        </w:rPr>
        <w:t>严控一般性支出：</w:t>
      </w:r>
      <w:r>
        <w:rPr>
          <w:rFonts w:hint="eastAsia" w:ascii="仿宋_GB2312" w:hAnsi="黑体" w:eastAsia="仿宋_GB2312" w:cs="黑体"/>
          <w:sz w:val="32"/>
          <w:szCs w:val="32"/>
          <w:lang w:val="en-US" w:eastAsia="zh-CN"/>
        </w:rPr>
        <w:t>在执行管理中，政协机关严格控制各项开支，尤其重视对“三公”经费的支出管理，尽量压缩公务接待次数，加强公车运行管理。</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en-US" w:eastAsia="zh-CN"/>
        </w:rPr>
        <w:t>3.</w:t>
      </w:r>
      <w:r>
        <w:rPr>
          <w:rFonts w:hint="default" w:ascii="仿宋_GB2312" w:hAnsi="黑体" w:eastAsia="仿宋_GB2312" w:cs="黑体"/>
          <w:sz w:val="32"/>
          <w:szCs w:val="32"/>
          <w:lang w:val="zh-CN" w:eastAsia="zh-CN"/>
        </w:rPr>
        <w:t>财务管理</w:t>
      </w:r>
      <w:r>
        <w:rPr>
          <w:rFonts w:hint="eastAsia" w:ascii="仿宋_GB2312" w:hAnsi="黑体" w:eastAsia="仿宋_GB2312" w:cs="黑体"/>
          <w:sz w:val="32"/>
          <w:szCs w:val="32"/>
          <w:lang w:val="zh-CN" w:eastAsia="zh-CN"/>
        </w:rPr>
        <w:t>。</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财务管理制度：严格按照《会计法》，建立</w:t>
      </w:r>
      <w:r>
        <w:rPr>
          <w:rFonts w:hint="default" w:ascii="仿宋_GB2312" w:hAnsi="黑体" w:eastAsia="仿宋_GB2312" w:cs="黑体"/>
          <w:sz w:val="32"/>
          <w:szCs w:val="32"/>
          <w:lang w:val="en-US" w:eastAsia="zh-CN"/>
        </w:rPr>
        <w:t>内部</w:t>
      </w:r>
      <w:r>
        <w:rPr>
          <w:rFonts w:hint="eastAsia" w:ascii="仿宋_GB2312" w:hAnsi="黑体" w:eastAsia="仿宋_GB2312" w:cs="黑体"/>
          <w:sz w:val="32"/>
          <w:szCs w:val="32"/>
          <w:lang w:val="en-US" w:eastAsia="zh-CN"/>
        </w:rPr>
        <w:t>财务管理制度、会计出纳岗位职责、内部控制等制度。</w:t>
      </w:r>
    </w:p>
    <w:p>
      <w:pPr>
        <w:spacing w:line="580" w:lineRule="exact"/>
        <w:ind w:firstLine="640" w:firstLineChars="200"/>
        <w:rPr>
          <w:rFonts w:hint="default"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财务岗位设置：合理设置财务工作岗位，明确职责权限，并严格实行</w:t>
      </w:r>
      <w:r>
        <w:rPr>
          <w:rFonts w:hint="default" w:ascii="仿宋_GB2312" w:hAnsi="黑体" w:eastAsia="仿宋_GB2312" w:cs="黑体"/>
          <w:sz w:val="32"/>
          <w:szCs w:val="32"/>
          <w:lang w:val="en-US" w:eastAsia="zh-CN"/>
        </w:rPr>
        <w:t>会计、出纳</w:t>
      </w:r>
      <w:r>
        <w:rPr>
          <w:rFonts w:hint="eastAsia" w:ascii="仿宋_GB2312" w:hAnsi="黑体" w:eastAsia="仿宋_GB2312" w:cs="黑体"/>
          <w:sz w:val="32"/>
          <w:szCs w:val="32"/>
          <w:lang w:val="en-US" w:eastAsia="zh-CN"/>
        </w:rPr>
        <w:t>不相容岗位分离</w:t>
      </w:r>
      <w:r>
        <w:rPr>
          <w:rFonts w:hint="default" w:ascii="仿宋_GB2312" w:hAnsi="黑体" w:eastAsia="仿宋_GB2312" w:cs="黑体"/>
          <w:sz w:val="32"/>
          <w:szCs w:val="32"/>
          <w:lang w:val="en-US" w:eastAsia="zh-CN"/>
        </w:rPr>
        <w:t>。</w:t>
      </w:r>
    </w:p>
    <w:p>
      <w:pPr>
        <w:spacing w:line="580" w:lineRule="exact"/>
        <w:ind w:firstLine="640" w:firstLineChars="200"/>
        <w:rPr>
          <w:rFonts w:hint="eastAsia" w:ascii="仿宋_GB2312" w:hAnsi="黑体" w:eastAsia="仿宋_GB2312" w:cs="黑体"/>
          <w:sz w:val="32"/>
          <w:szCs w:val="32"/>
          <w:lang w:val="en-US" w:eastAsia="zh-CN"/>
        </w:rPr>
      </w:pPr>
      <w:r>
        <w:rPr>
          <w:rFonts w:hint="default" w:ascii="仿宋_GB2312" w:hAnsi="黑体" w:eastAsia="仿宋_GB2312" w:cs="黑体"/>
          <w:sz w:val="32"/>
          <w:szCs w:val="32"/>
          <w:lang w:val="en-US" w:eastAsia="zh-CN"/>
        </w:rPr>
        <w:t>资金使用规范</w:t>
      </w:r>
      <w:r>
        <w:rPr>
          <w:rFonts w:hint="eastAsia" w:ascii="仿宋_GB2312" w:hAnsi="黑体" w:eastAsia="仿宋_GB2312" w:cs="黑体"/>
          <w:sz w:val="32"/>
          <w:szCs w:val="32"/>
          <w:lang w:val="en-US" w:eastAsia="zh-CN"/>
        </w:rPr>
        <w:t>：</w:t>
      </w:r>
      <w:r>
        <w:rPr>
          <w:rFonts w:hint="default" w:ascii="仿宋_GB2312" w:hAnsi="黑体" w:eastAsia="仿宋_GB2312" w:cs="黑体"/>
          <w:sz w:val="32"/>
          <w:szCs w:val="32"/>
          <w:lang w:val="en-US" w:eastAsia="zh-CN"/>
        </w:rPr>
        <w:t>根据部门资金用途，按照财务管理制度，统一管理，专款专用，追踪问效的原则进行考核，</w:t>
      </w:r>
      <w:r>
        <w:rPr>
          <w:rFonts w:hint="eastAsia" w:ascii="仿宋_GB2312" w:hAnsi="黑体" w:eastAsia="仿宋_GB2312" w:cs="黑体"/>
          <w:sz w:val="32"/>
          <w:szCs w:val="32"/>
          <w:lang w:val="en-US" w:eastAsia="zh-CN"/>
        </w:rPr>
        <w:t>严格执行预算，规范资金审批和支付程序，提高资金的使用效率。</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en-US" w:eastAsia="zh-CN"/>
        </w:rPr>
        <w:t xml:space="preserve"> 4.</w:t>
      </w:r>
      <w:r>
        <w:rPr>
          <w:rFonts w:hint="default" w:ascii="仿宋_GB2312" w:hAnsi="黑体" w:eastAsia="仿宋_GB2312" w:cs="黑体"/>
          <w:sz w:val="32"/>
          <w:szCs w:val="32"/>
          <w:lang w:val="zh-CN" w:eastAsia="zh-CN"/>
        </w:rPr>
        <w:t>资产管理</w:t>
      </w:r>
      <w:r>
        <w:rPr>
          <w:rFonts w:hint="eastAsia" w:ascii="仿宋_GB2312" w:hAnsi="黑体" w:eastAsia="仿宋_GB2312" w:cs="黑体"/>
          <w:sz w:val="32"/>
          <w:szCs w:val="32"/>
          <w:lang w:val="zh-CN" w:eastAsia="zh-CN"/>
        </w:rPr>
        <w:t>。</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en-US" w:eastAsia="zh-CN"/>
        </w:rPr>
        <w:t>人均资产变化率：2023年新增固定资产账面价值0.8万元，处置废旧低效办公设施设备，账面价值16.5万元，因本年度人员减少，故</w:t>
      </w:r>
      <w:r>
        <w:rPr>
          <w:rFonts w:hint="eastAsia" w:ascii="仿宋_GB2312" w:hAnsi="黑体" w:eastAsia="仿宋_GB2312" w:cs="黑体"/>
          <w:sz w:val="32"/>
          <w:szCs w:val="32"/>
          <w:lang w:val="zh-CN" w:eastAsia="zh-CN"/>
        </w:rPr>
        <w:t>人均资产变化率无较大变化。</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资产利用率：我办对到期仍具有使用价值的资产进行功能挖潜、修旧利废、合理调剂满足单位不同委室业务工作需求，做到物尽其用，尽可能减少资产配置，减少财政经费支出，有效盘活并高效使用闲置资产，加强单位内部资源统筹</w:t>
      </w:r>
      <w:r>
        <w:rPr>
          <w:rFonts w:hint="eastAsia" w:ascii="仿宋_GB2312" w:hAnsi="黑体" w:eastAsia="仿宋_GB2312" w:cs="黑体"/>
          <w:sz w:val="32"/>
          <w:szCs w:val="32"/>
          <w:lang w:val="zh-CN" w:eastAsia="zh-CN"/>
        </w:rPr>
        <w:t>。</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zh-CN" w:eastAsia="zh-CN"/>
        </w:rPr>
        <w:t>资产盘活率：</w:t>
      </w:r>
      <w:r>
        <w:rPr>
          <w:rFonts w:hint="eastAsia" w:ascii="仿宋_GB2312" w:hAnsi="黑体" w:eastAsia="仿宋_GB2312" w:cs="黑体"/>
          <w:sz w:val="32"/>
          <w:szCs w:val="32"/>
          <w:lang w:val="en-US" w:eastAsia="zh-CN"/>
        </w:rPr>
        <w:t>我办无</w:t>
      </w:r>
      <w:r>
        <w:rPr>
          <w:rFonts w:hint="eastAsia" w:ascii="仿宋_GB2312" w:hAnsi="黑体" w:eastAsia="仿宋_GB2312" w:cs="黑体"/>
          <w:sz w:val="32"/>
          <w:szCs w:val="32"/>
          <w:lang w:val="zh-CN" w:eastAsia="zh-CN"/>
        </w:rPr>
        <w:t>闲置一年以上的资产盘活</w:t>
      </w:r>
      <w:r>
        <w:rPr>
          <w:rFonts w:hint="eastAsia" w:ascii="仿宋_GB2312" w:hAnsi="黑体" w:eastAsia="仿宋_GB2312" w:cs="黑体"/>
          <w:sz w:val="32"/>
          <w:szCs w:val="32"/>
          <w:lang w:val="en-US" w:eastAsia="zh-CN"/>
        </w:rPr>
        <w:t>情况。</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5.</w:t>
      </w:r>
      <w:r>
        <w:rPr>
          <w:rFonts w:hint="default" w:ascii="仿宋_GB2312" w:hAnsi="黑体" w:eastAsia="仿宋_GB2312" w:cs="黑体"/>
          <w:sz w:val="32"/>
          <w:szCs w:val="32"/>
          <w:lang w:val="zh-CN" w:eastAsia="zh-CN"/>
        </w:rPr>
        <w:t>采购管理</w:t>
      </w:r>
      <w:r>
        <w:rPr>
          <w:rFonts w:hint="eastAsia" w:ascii="仿宋_GB2312" w:hAnsi="黑体" w:eastAsia="仿宋_GB2312" w:cs="黑体"/>
          <w:sz w:val="32"/>
          <w:szCs w:val="32"/>
          <w:lang w:val="zh-CN" w:eastAsia="zh-CN"/>
        </w:rPr>
        <w:t>。</w:t>
      </w:r>
      <w:r>
        <w:rPr>
          <w:rFonts w:hint="eastAsia" w:ascii="仿宋_GB2312" w:hAnsi="黑体" w:eastAsia="仿宋_GB2312" w:cs="黑体"/>
          <w:sz w:val="32"/>
          <w:szCs w:val="32"/>
          <w:lang w:val="en-US" w:eastAsia="zh-CN"/>
        </w:rPr>
        <w:t xml:space="preserve">    </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zh-CN" w:eastAsia="zh-CN"/>
        </w:rPr>
        <w:t>支持中小企业发展：</w:t>
      </w:r>
      <w:r>
        <w:rPr>
          <w:rFonts w:hint="eastAsia" w:ascii="仿宋_GB2312" w:hAnsi="黑体" w:eastAsia="仿宋_GB2312" w:cs="黑体"/>
          <w:sz w:val="32"/>
          <w:szCs w:val="32"/>
          <w:lang w:val="en-US" w:eastAsia="zh-CN"/>
        </w:rPr>
        <w:t>我办</w:t>
      </w:r>
      <w:r>
        <w:rPr>
          <w:rFonts w:hint="eastAsia" w:ascii="仿宋_GB2312" w:hAnsi="黑体" w:eastAsia="仿宋_GB2312" w:cs="黑体"/>
          <w:sz w:val="32"/>
          <w:szCs w:val="32"/>
          <w:lang w:val="zh-CN" w:eastAsia="zh-CN"/>
        </w:rPr>
        <w:t>严格执行政府采购促进中小企业发展相关管理办法</w:t>
      </w:r>
      <w:r>
        <w:rPr>
          <w:rFonts w:hint="eastAsia" w:ascii="仿宋_GB2312" w:hAnsi="黑体" w:eastAsia="仿宋_GB2312" w:cs="黑体"/>
          <w:sz w:val="32"/>
          <w:szCs w:val="32"/>
          <w:lang w:val="en-US" w:eastAsia="zh-CN"/>
        </w:rPr>
        <w:t>，对适宜由中小企业提供的采购项目和采购包，预留采购份额专门面向中小企业采购，并在采购预算中单独列示。</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采购执行率：严格按照流程执行采购预算支付。</w:t>
      </w:r>
    </w:p>
    <w:p>
      <w:pPr>
        <w:spacing w:line="580" w:lineRule="exact"/>
        <w:ind w:firstLine="640" w:firstLineChars="200"/>
        <w:rPr>
          <w:rFonts w:hint="default"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6.违规记录情况：2023年度未出现违规纪律情况。</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（二）专项预算管理。</w:t>
      </w:r>
    </w:p>
    <w:p>
      <w:pPr>
        <w:spacing w:line="580" w:lineRule="exact"/>
        <w:ind w:firstLine="640" w:firstLineChars="200"/>
        <w:rPr>
          <w:rFonts w:hint="default" w:ascii="仿宋_GB2312" w:hAnsi="黑体" w:eastAsia="仿宋_GB2312" w:cs="黑体"/>
          <w:sz w:val="32"/>
          <w:szCs w:val="32"/>
          <w:lang w:val="zh-CN" w:eastAsia="zh-CN"/>
        </w:rPr>
      </w:pPr>
      <w:r>
        <w:rPr>
          <w:rFonts w:hint="default" w:ascii="仿宋_GB2312" w:hAnsi="黑体" w:eastAsia="仿宋_GB2312" w:cs="黑体"/>
          <w:sz w:val="32"/>
          <w:szCs w:val="32"/>
          <w:lang w:val="en-US" w:eastAsia="zh-CN"/>
        </w:rPr>
        <w:t>常年项目绩效分析。</w:t>
      </w:r>
      <w:r>
        <w:rPr>
          <w:rFonts w:hint="default" w:ascii="仿宋_GB2312" w:hAnsi="黑体" w:eastAsia="仿宋_GB2312" w:cs="黑体"/>
          <w:sz w:val="32"/>
          <w:szCs w:val="32"/>
          <w:lang w:val="zh-CN" w:eastAsia="zh-CN"/>
        </w:rPr>
        <w:t>该类项目总数</w:t>
      </w:r>
      <w:r>
        <w:rPr>
          <w:rFonts w:hint="eastAsia" w:ascii="仿宋_GB2312" w:hAnsi="黑体" w:eastAsia="仿宋_GB2312" w:cs="黑体"/>
          <w:sz w:val="32"/>
          <w:szCs w:val="32"/>
          <w:lang w:val="en-US" w:eastAsia="zh-CN"/>
        </w:rPr>
        <w:t>28</w:t>
      </w:r>
      <w:r>
        <w:rPr>
          <w:rFonts w:hint="default" w:ascii="仿宋_GB2312" w:hAnsi="黑体" w:eastAsia="仿宋_GB2312" w:cs="黑体"/>
          <w:sz w:val="32"/>
          <w:szCs w:val="32"/>
          <w:lang w:val="zh-CN" w:eastAsia="zh-CN"/>
        </w:rPr>
        <w:t>个，涉及预算总金额</w:t>
      </w:r>
      <w:r>
        <w:rPr>
          <w:rFonts w:hint="eastAsia" w:ascii="仿宋_GB2312" w:hAnsi="黑体" w:eastAsia="仿宋_GB2312" w:cs="黑体"/>
          <w:sz w:val="32"/>
          <w:szCs w:val="32"/>
          <w:lang w:val="en-US" w:eastAsia="zh-CN"/>
        </w:rPr>
        <w:t>955.2</w:t>
      </w:r>
      <w:r>
        <w:rPr>
          <w:rFonts w:hint="default" w:ascii="仿宋_GB2312" w:hAnsi="黑体" w:eastAsia="仿宋_GB2312" w:cs="黑体"/>
          <w:sz w:val="32"/>
          <w:szCs w:val="32"/>
          <w:lang w:val="zh-CN" w:eastAsia="zh-CN"/>
        </w:rPr>
        <w:t>万元，1</w:t>
      </w:r>
      <w:r>
        <w:rPr>
          <w:rFonts w:hint="eastAsia" w:ascii="仿宋_GB2312" w:hAnsi="黑体" w:eastAsia="仿宋_GB2312" w:cs="黑体"/>
          <w:sz w:val="32"/>
          <w:szCs w:val="32"/>
          <w:lang w:val="en-US" w:eastAsia="zh-CN"/>
        </w:rPr>
        <w:t>-</w:t>
      </w:r>
      <w:r>
        <w:rPr>
          <w:rFonts w:hint="default" w:ascii="仿宋_GB2312" w:hAnsi="黑体" w:eastAsia="仿宋_GB2312" w:cs="黑体"/>
          <w:sz w:val="32"/>
          <w:szCs w:val="32"/>
          <w:lang w:val="zh-CN" w:eastAsia="zh-CN"/>
        </w:rPr>
        <w:t>1</w:t>
      </w:r>
      <w:r>
        <w:rPr>
          <w:rFonts w:hint="default" w:ascii="仿宋_GB2312" w:hAnsi="黑体" w:eastAsia="仿宋_GB2312" w:cs="黑体"/>
          <w:sz w:val="32"/>
          <w:szCs w:val="32"/>
          <w:lang w:val="en-US" w:eastAsia="zh-CN"/>
        </w:rPr>
        <w:t>2</w:t>
      </w:r>
      <w:r>
        <w:rPr>
          <w:rFonts w:hint="default" w:ascii="仿宋_GB2312" w:hAnsi="黑体" w:eastAsia="仿宋_GB2312" w:cs="黑体"/>
          <w:sz w:val="32"/>
          <w:szCs w:val="32"/>
          <w:lang w:val="zh-CN" w:eastAsia="zh-CN"/>
        </w:rPr>
        <w:t>月预算执行总体进度为</w:t>
      </w:r>
      <w:r>
        <w:rPr>
          <w:rFonts w:hint="eastAsia" w:ascii="仿宋_GB2312" w:hAnsi="黑体" w:eastAsia="仿宋_GB2312" w:cs="黑体"/>
          <w:sz w:val="32"/>
          <w:szCs w:val="32"/>
          <w:lang w:val="en-US" w:eastAsia="zh-CN"/>
        </w:rPr>
        <w:t>100</w:t>
      </w:r>
      <w:r>
        <w:rPr>
          <w:rFonts w:hint="default" w:ascii="仿宋_GB2312" w:hAnsi="黑体" w:eastAsia="仿宋_GB2312" w:cs="黑体"/>
          <w:sz w:val="32"/>
          <w:szCs w:val="32"/>
          <w:lang w:val="zh-CN" w:eastAsia="zh-CN"/>
        </w:rPr>
        <w:t>%。</w:t>
      </w:r>
    </w:p>
    <w:p>
      <w:pPr>
        <w:spacing w:line="580" w:lineRule="exact"/>
        <w:ind w:firstLine="640" w:firstLineChars="200"/>
        <w:rPr>
          <w:rFonts w:hint="default" w:ascii="仿宋_GB2312" w:hAnsi="黑体" w:eastAsia="仿宋_GB2312" w:cs="黑体"/>
          <w:sz w:val="32"/>
          <w:szCs w:val="32"/>
          <w:lang w:val="zh-CN" w:eastAsia="zh-CN"/>
        </w:rPr>
      </w:pPr>
      <w:r>
        <w:rPr>
          <w:rFonts w:hint="default" w:ascii="仿宋_GB2312" w:hAnsi="黑体" w:eastAsia="仿宋_GB2312" w:cs="黑体"/>
          <w:sz w:val="32"/>
          <w:szCs w:val="32"/>
          <w:lang w:val="en-US" w:eastAsia="zh-CN"/>
        </w:rPr>
        <w:t>阶段</w:t>
      </w:r>
      <w:r>
        <w:rPr>
          <w:rFonts w:hint="eastAsia" w:ascii="仿宋_GB2312" w:hAnsi="黑体" w:eastAsia="仿宋_GB2312" w:cs="黑体"/>
          <w:sz w:val="32"/>
          <w:szCs w:val="32"/>
          <w:lang w:val="en-US" w:eastAsia="zh-CN"/>
        </w:rPr>
        <w:t>（</w:t>
      </w:r>
      <w:r>
        <w:rPr>
          <w:rFonts w:hint="default" w:ascii="仿宋_GB2312" w:hAnsi="黑体" w:eastAsia="仿宋_GB2312" w:cs="黑体"/>
          <w:sz w:val="32"/>
          <w:szCs w:val="32"/>
          <w:lang w:val="en-US" w:eastAsia="zh-CN"/>
        </w:rPr>
        <w:t>一次性</w:t>
      </w:r>
      <w:r>
        <w:rPr>
          <w:rFonts w:hint="eastAsia" w:ascii="仿宋_GB2312" w:hAnsi="黑体" w:eastAsia="仿宋_GB2312" w:cs="黑体"/>
          <w:sz w:val="32"/>
          <w:szCs w:val="32"/>
          <w:lang w:val="en-US" w:eastAsia="zh-CN"/>
        </w:rPr>
        <w:t>）</w:t>
      </w:r>
      <w:r>
        <w:rPr>
          <w:rFonts w:hint="default" w:ascii="仿宋_GB2312" w:hAnsi="黑体" w:eastAsia="仿宋_GB2312" w:cs="黑体"/>
          <w:sz w:val="32"/>
          <w:szCs w:val="32"/>
          <w:lang w:val="en-US" w:eastAsia="zh-CN"/>
        </w:rPr>
        <w:t>项目绩效分析。</w:t>
      </w:r>
      <w:r>
        <w:rPr>
          <w:rFonts w:hint="default" w:ascii="仿宋_GB2312" w:hAnsi="黑体" w:eastAsia="仿宋_GB2312" w:cs="黑体"/>
          <w:sz w:val="32"/>
          <w:szCs w:val="32"/>
          <w:lang w:val="zh-CN" w:eastAsia="zh-CN"/>
        </w:rPr>
        <w:t>该类项目总数</w:t>
      </w:r>
      <w:r>
        <w:rPr>
          <w:rFonts w:hint="eastAsia" w:ascii="仿宋_GB2312" w:hAnsi="黑体" w:eastAsia="仿宋_GB2312" w:cs="黑体"/>
          <w:sz w:val="32"/>
          <w:szCs w:val="32"/>
          <w:lang w:val="en-US" w:eastAsia="zh-CN"/>
        </w:rPr>
        <w:t>3</w:t>
      </w:r>
      <w:r>
        <w:rPr>
          <w:rFonts w:hint="default" w:ascii="仿宋_GB2312" w:hAnsi="黑体" w:eastAsia="仿宋_GB2312" w:cs="黑体"/>
          <w:sz w:val="32"/>
          <w:szCs w:val="32"/>
          <w:lang w:val="zh-CN" w:eastAsia="zh-CN"/>
        </w:rPr>
        <w:t>个，涉及预算总金额</w:t>
      </w:r>
      <w:r>
        <w:rPr>
          <w:rFonts w:hint="eastAsia" w:ascii="仿宋_GB2312" w:hAnsi="黑体" w:eastAsia="仿宋_GB2312" w:cs="黑体"/>
          <w:sz w:val="32"/>
          <w:szCs w:val="32"/>
          <w:lang w:val="en-US" w:eastAsia="zh-CN"/>
        </w:rPr>
        <w:t>89.52</w:t>
      </w:r>
      <w:r>
        <w:rPr>
          <w:rFonts w:hint="default" w:ascii="仿宋_GB2312" w:hAnsi="黑体" w:eastAsia="仿宋_GB2312" w:cs="黑体"/>
          <w:sz w:val="32"/>
          <w:szCs w:val="32"/>
          <w:lang w:val="zh-CN" w:eastAsia="zh-CN"/>
        </w:rPr>
        <w:t>万元，1</w:t>
      </w:r>
      <w:r>
        <w:rPr>
          <w:rFonts w:hint="eastAsia" w:ascii="仿宋_GB2312" w:hAnsi="黑体" w:eastAsia="仿宋_GB2312" w:cs="黑体"/>
          <w:sz w:val="32"/>
          <w:szCs w:val="32"/>
          <w:lang w:val="en-US" w:eastAsia="zh-CN"/>
        </w:rPr>
        <w:t>-</w:t>
      </w:r>
      <w:r>
        <w:rPr>
          <w:rFonts w:hint="default" w:ascii="仿宋_GB2312" w:hAnsi="黑体" w:eastAsia="仿宋_GB2312" w:cs="黑体"/>
          <w:sz w:val="32"/>
          <w:szCs w:val="32"/>
          <w:lang w:val="zh-CN" w:eastAsia="zh-CN"/>
        </w:rPr>
        <w:t>1</w:t>
      </w:r>
      <w:r>
        <w:rPr>
          <w:rFonts w:hint="default" w:ascii="仿宋_GB2312" w:hAnsi="黑体" w:eastAsia="仿宋_GB2312" w:cs="黑体"/>
          <w:sz w:val="32"/>
          <w:szCs w:val="32"/>
          <w:lang w:val="en-US" w:eastAsia="zh-CN"/>
        </w:rPr>
        <w:t>2</w:t>
      </w:r>
      <w:r>
        <w:rPr>
          <w:rFonts w:hint="default" w:ascii="仿宋_GB2312" w:hAnsi="黑体" w:eastAsia="仿宋_GB2312" w:cs="黑体"/>
          <w:sz w:val="32"/>
          <w:szCs w:val="32"/>
          <w:lang w:val="zh-CN" w:eastAsia="zh-CN"/>
        </w:rPr>
        <w:t>月预算执行总体进度为</w:t>
      </w:r>
      <w:r>
        <w:rPr>
          <w:rFonts w:hint="eastAsia" w:ascii="仿宋_GB2312" w:hAnsi="黑体" w:eastAsia="仿宋_GB2312" w:cs="黑体"/>
          <w:sz w:val="32"/>
          <w:szCs w:val="32"/>
          <w:lang w:val="en-US" w:eastAsia="zh-CN"/>
        </w:rPr>
        <w:t>100</w:t>
      </w:r>
      <w:r>
        <w:rPr>
          <w:rFonts w:hint="default" w:ascii="仿宋_GB2312" w:hAnsi="黑体" w:eastAsia="仿宋_GB2312" w:cs="黑体"/>
          <w:sz w:val="32"/>
          <w:szCs w:val="32"/>
          <w:lang w:val="zh-CN" w:eastAsia="zh-CN"/>
        </w:rPr>
        <w:t>%。</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en-US" w:eastAsia="zh-CN"/>
        </w:rPr>
        <w:t>1.</w:t>
      </w:r>
      <w:r>
        <w:rPr>
          <w:rFonts w:hint="eastAsia" w:ascii="仿宋_GB2312" w:hAnsi="黑体" w:eastAsia="仿宋_GB2312" w:cs="黑体"/>
          <w:sz w:val="32"/>
          <w:szCs w:val="32"/>
          <w:lang w:val="zh-CN" w:eastAsia="zh-CN"/>
        </w:rPr>
        <w:t>项目决策。</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zh-CN" w:eastAsia="zh-CN"/>
        </w:rPr>
        <w:t>决策程序</w:t>
      </w:r>
      <w:r>
        <w:rPr>
          <w:rFonts w:hint="eastAsia" w:ascii="仿宋_GB2312" w:hAnsi="黑体" w:eastAsia="仿宋_GB2312" w:cs="黑体"/>
          <w:sz w:val="32"/>
          <w:szCs w:val="32"/>
          <w:lang w:val="en-US" w:eastAsia="zh-CN"/>
        </w:rPr>
        <w:t>:</w:t>
      </w:r>
      <w:r>
        <w:rPr>
          <w:rFonts w:hint="eastAsia" w:ascii="仿宋_GB2312" w:hAnsi="黑体" w:eastAsia="仿宋_GB2312" w:cs="黑体"/>
          <w:sz w:val="32"/>
          <w:szCs w:val="32"/>
          <w:lang w:val="zh-CN" w:eastAsia="zh-CN"/>
        </w:rPr>
        <w:t>部门预算项目依据充分，主要根据法律法规和部门职能职责</w:t>
      </w:r>
      <w:r>
        <w:rPr>
          <w:rFonts w:hint="eastAsia" w:ascii="仿宋_GB2312" w:hAnsi="黑体" w:eastAsia="仿宋_GB2312" w:cs="黑体"/>
          <w:sz w:val="32"/>
          <w:szCs w:val="32"/>
          <w:lang w:val="en-US" w:eastAsia="zh-CN"/>
        </w:rPr>
        <w:t>。</w:t>
      </w:r>
      <w:r>
        <w:rPr>
          <w:rFonts w:hint="eastAsia" w:ascii="仿宋_GB2312" w:hAnsi="黑体" w:eastAsia="仿宋_GB2312" w:cs="黑体"/>
          <w:sz w:val="32"/>
          <w:szCs w:val="32"/>
          <w:lang w:val="zh-CN" w:eastAsia="zh-CN"/>
        </w:rPr>
        <w:t>立项程序规范，按照县财政局相关要求履行评估论证、项目入库等申报程序。</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zh-CN" w:eastAsia="zh-CN"/>
        </w:rPr>
        <w:t>目标设置：设立绩效目标具有合理性，设立绩效指标具有明确性，资金投入体现了预算科学性。</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项目入库：严格按照财政要求，在规定时间内完成预算一体化项目入库工作。</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en-US" w:eastAsia="zh-CN"/>
        </w:rPr>
        <w:t>2.项目执行</w:t>
      </w:r>
      <w:r>
        <w:rPr>
          <w:rFonts w:hint="eastAsia" w:ascii="仿宋_GB2312" w:hAnsi="黑体" w:eastAsia="仿宋_GB2312" w:cs="黑体"/>
          <w:sz w:val="32"/>
          <w:szCs w:val="32"/>
          <w:lang w:val="zh-CN" w:eastAsia="zh-CN"/>
        </w:rPr>
        <w:t>。</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zh-CN" w:eastAsia="zh-CN"/>
        </w:rPr>
        <w:t>执行同向</w:t>
      </w:r>
      <w:r>
        <w:rPr>
          <w:rFonts w:hint="eastAsia" w:ascii="仿宋_GB2312" w:hAnsi="黑体" w:eastAsia="仿宋_GB2312" w:cs="黑体"/>
          <w:sz w:val="32"/>
          <w:szCs w:val="32"/>
          <w:lang w:val="en-US" w:eastAsia="zh-CN"/>
        </w:rPr>
        <w:t>:</w:t>
      </w:r>
      <w:r>
        <w:rPr>
          <w:rFonts w:hint="eastAsia" w:ascii="仿宋_GB2312" w:hAnsi="黑体" w:eastAsia="仿宋_GB2312" w:cs="黑体"/>
          <w:sz w:val="32"/>
          <w:szCs w:val="32"/>
          <w:lang w:val="zh-CN" w:eastAsia="zh-CN"/>
        </w:rPr>
        <w:t>部门预算项目实际列支内容与绩效目标设置方向相符。</w:t>
      </w:r>
    </w:p>
    <w:p>
      <w:pPr>
        <w:spacing w:line="580" w:lineRule="exact"/>
        <w:ind w:firstLine="640" w:firstLineChars="200"/>
        <w:rPr>
          <w:rFonts w:hint="eastAsia" w:ascii="仿宋_GB2312" w:hAnsi="黑体" w:eastAsia="仿宋_GB2312" w:cs="黑体"/>
          <w:sz w:val="32"/>
          <w:szCs w:val="32"/>
          <w:lang w:val="zh-CN" w:eastAsia="zh-CN"/>
        </w:rPr>
      </w:pPr>
      <w:r>
        <w:rPr>
          <w:rFonts w:hint="eastAsia" w:ascii="仿宋_GB2312" w:hAnsi="黑体" w:eastAsia="仿宋_GB2312" w:cs="黑体"/>
          <w:sz w:val="32"/>
          <w:szCs w:val="32"/>
          <w:lang w:val="zh-CN" w:eastAsia="zh-CN"/>
        </w:rPr>
        <w:t>项目调整</w:t>
      </w:r>
      <w:r>
        <w:rPr>
          <w:rFonts w:hint="eastAsia" w:ascii="仿宋_GB2312" w:hAnsi="黑体" w:eastAsia="仿宋_GB2312" w:cs="黑体"/>
          <w:sz w:val="32"/>
          <w:szCs w:val="32"/>
          <w:lang w:val="en-US" w:eastAsia="zh-CN"/>
        </w:rPr>
        <w:t>:</w:t>
      </w:r>
      <w:r>
        <w:rPr>
          <w:rFonts w:hint="eastAsia" w:ascii="仿宋_GB2312" w:hAnsi="黑体" w:eastAsia="仿宋_GB2312" w:cs="黑体"/>
          <w:sz w:val="32"/>
          <w:szCs w:val="32"/>
          <w:lang w:val="zh-CN" w:eastAsia="zh-CN"/>
        </w:rPr>
        <w:t>部分预算项目资金根据财政最终批复金额，</w:t>
      </w:r>
      <w:r>
        <w:rPr>
          <w:rFonts w:hint="eastAsia" w:ascii="仿宋_GB2312" w:hAnsi="黑体" w:eastAsia="仿宋_GB2312" w:cs="黑体"/>
          <w:sz w:val="32"/>
          <w:szCs w:val="32"/>
          <w:lang w:val="en-US" w:eastAsia="zh-CN"/>
        </w:rPr>
        <w:t>在规定时间内</w:t>
      </w:r>
      <w:r>
        <w:rPr>
          <w:rFonts w:hint="eastAsia" w:ascii="仿宋_GB2312" w:hAnsi="黑体" w:eastAsia="仿宋_GB2312" w:cs="黑体"/>
          <w:sz w:val="32"/>
          <w:szCs w:val="32"/>
          <w:lang w:val="zh-CN" w:eastAsia="zh-CN"/>
        </w:rPr>
        <w:t>对项目库进行相应调整。</w:t>
      </w:r>
    </w:p>
    <w:p>
      <w:pPr>
        <w:spacing w:line="580" w:lineRule="exact"/>
        <w:ind w:firstLine="640" w:firstLineChars="200"/>
        <w:rPr>
          <w:rFonts w:hint="default" w:ascii="仿宋_GB2312" w:hAnsi="黑体" w:eastAsia="仿宋_GB2312" w:cs="黑体"/>
          <w:sz w:val="32"/>
          <w:szCs w:val="32"/>
          <w:lang w:val="en-US" w:eastAsia="zh-CN"/>
        </w:rPr>
      </w:pPr>
      <w:r>
        <w:rPr>
          <w:rFonts w:hint="eastAsia" w:ascii="仿宋_GB2312" w:hAnsi="黑体" w:eastAsia="仿宋_GB2312" w:cs="黑体"/>
          <w:sz w:val="32"/>
          <w:szCs w:val="32"/>
          <w:lang w:val="zh-CN" w:eastAsia="zh-CN"/>
        </w:rPr>
        <w:t>执行结果</w:t>
      </w:r>
      <w:r>
        <w:rPr>
          <w:rFonts w:hint="eastAsia" w:ascii="仿宋_GB2312" w:hAnsi="黑体" w:eastAsia="仿宋_GB2312" w:cs="黑体"/>
          <w:sz w:val="32"/>
          <w:szCs w:val="32"/>
          <w:lang w:val="en-US" w:eastAsia="zh-CN"/>
        </w:rPr>
        <w:t>:</w:t>
      </w:r>
      <w:r>
        <w:rPr>
          <w:rFonts w:hint="eastAsia" w:ascii="仿宋_GB2312" w:hAnsi="黑体" w:eastAsia="仿宋_GB2312" w:cs="黑体"/>
          <w:sz w:val="32"/>
          <w:szCs w:val="32"/>
          <w:lang w:val="zh-CN" w:eastAsia="zh-CN"/>
        </w:rPr>
        <w:t>截止</w:t>
      </w:r>
      <w:r>
        <w:rPr>
          <w:rFonts w:hint="eastAsia" w:ascii="仿宋_GB2312" w:hAnsi="黑体" w:eastAsia="仿宋_GB2312" w:cs="黑体"/>
          <w:sz w:val="32"/>
          <w:szCs w:val="32"/>
          <w:lang w:val="en-US" w:eastAsia="zh-CN"/>
        </w:rPr>
        <w:t>2023年年底，我办</w:t>
      </w:r>
      <w:r>
        <w:rPr>
          <w:rFonts w:hint="eastAsia" w:ascii="仿宋_GB2312" w:hAnsi="黑体" w:eastAsia="仿宋_GB2312" w:cs="黑体"/>
          <w:sz w:val="32"/>
          <w:szCs w:val="32"/>
          <w:lang w:val="zh-CN" w:eastAsia="zh-CN"/>
        </w:rPr>
        <w:t>部门预算执行情况较好，财政</w:t>
      </w:r>
      <w:r>
        <w:rPr>
          <w:rFonts w:hint="eastAsia" w:ascii="仿宋_GB2312" w:hAnsi="黑体" w:eastAsia="仿宋_GB2312" w:cs="黑体"/>
          <w:sz w:val="32"/>
          <w:szCs w:val="32"/>
          <w:lang w:val="en-US" w:eastAsia="zh-CN"/>
        </w:rPr>
        <w:t>预算</w:t>
      </w:r>
      <w:r>
        <w:rPr>
          <w:rFonts w:hint="eastAsia" w:ascii="仿宋_GB2312" w:hAnsi="黑体" w:eastAsia="仿宋_GB2312" w:cs="黑体"/>
          <w:sz w:val="32"/>
          <w:szCs w:val="32"/>
          <w:lang w:val="zh-CN" w:eastAsia="zh-CN"/>
        </w:rPr>
        <w:t>收入</w:t>
      </w:r>
      <w:r>
        <w:rPr>
          <w:rFonts w:hint="eastAsia" w:ascii="仿宋_GB2312" w:hAnsi="黑体" w:eastAsia="仿宋_GB2312" w:cs="黑体"/>
          <w:sz w:val="32"/>
          <w:szCs w:val="32"/>
          <w:lang w:val="en-US" w:eastAsia="zh-CN"/>
        </w:rPr>
        <w:t>1044.72万元，支出1044.72万元，年底无结余资金。</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3.</w:t>
      </w:r>
      <w:r>
        <w:rPr>
          <w:rFonts w:hint="eastAsia" w:ascii="仿宋_GB2312" w:hAnsi="黑体" w:eastAsia="仿宋_GB2312" w:cs="黑体"/>
          <w:sz w:val="32"/>
          <w:szCs w:val="32"/>
          <w:lang w:val="zh-CN" w:eastAsia="zh-CN"/>
        </w:rPr>
        <w:t>目标实现。</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zh-CN" w:eastAsia="zh-CN"/>
        </w:rPr>
        <w:t>目标完成</w:t>
      </w:r>
      <w:r>
        <w:rPr>
          <w:rFonts w:hint="eastAsia" w:ascii="仿宋_GB2312" w:hAnsi="黑体" w:eastAsia="仿宋_GB2312" w:cs="黑体"/>
          <w:sz w:val="32"/>
          <w:szCs w:val="32"/>
          <w:lang w:val="en-US" w:eastAsia="zh-CN"/>
        </w:rPr>
        <w:t>:通过对我办预算支出绩效目标的设置情况、资金使用情况、资金实施管理情况、整体支出绩效表现情况进行自我评价，了解资金使用是否达到了预期目标、资金管理是否规范、资金使用是否有效，检验资金支出效率和效果，分析存在的问题和原因，及时总结经验，改进管理措施，不断增强和落实绩效管理责任，完善工作机制，有效提高资金管理水平和使用效益，进一步提升绩效管理水平，强化支出责任，提高财政资金使用效益。</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目标偏离:本年度部门预算项目绩效目标数量指标完成情况较好，已完成预期指标值的数量指标中偏离度均在30%内，如特定项目：召开政协全委会一场，组织政协委员培训一场，编撰出版文史书籍3000册等均较好完成目标值。</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实现效果:我办认真做好政协工作安排、按时完成县委工作计划，合理推进全县经济发展目标；做好预决算审查监督工作，保障财政资金高效利用，对政协干部、委员培训，提升相关履职职能，更好为人民服务，本年度所有项目均完成预期设定绩效目标效益指标。</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（三）结果应用情况。</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我办将进一步加大预算绩效管理的力度、扎实工作，将预算绩效自评价结果作为改进预算管理和安排以后年度预算的重要依据。在今后编制预算时，我们将在县财政局的具体指导下，不断完善绩效评价指标，及时调整和优化我办后续项目和以后年度预算支出的方向和结构，合理配置资源，加强财务管理，完善项目管理办法，切实提高项目管理水平、财政资金使用效益和部门工作效率。针对财政局的反馈意见，我们将认真落实整改。加强资金使用的监管和跟踪，完善内部控制制度，压实责任，重视财政资金使用的绩效评价，确保各项资金管理使用合规合纪，为政协机关正常运转提供强有力的财务保障。</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四、评价结论及建议</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（一）评价结论。</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我办组织开展了2023年度部门整体支出绩效评价工作，对2023年度财政预算资金进行整体绩效评价，根据设定的绩效目标，运用合理的评价方法，对预算资金支出经济性、效率性、有效性和可持性进行客观、公正的评价。我单位对财政专项资金的分配、使用和管理按照先有办法、后分资金；专款专用、独立核算；统一支付、严格把关的原则进行管理。严格执行预算，规范了资金审批和支付程序，提高了资金的使用效率。认真开展专项资金绩效管理，在资金分配中的项目申报、评审和安排，均按规定严格执行，各项重点项目资金安排都保证及时到位，每一笔收支都做到有依据、有凭证、有程序。确保专项资金依法管理与使用。没有发生专项资金的挤占、挪用、截流等违规现象。</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（二）存在问题。</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财政资金有时拨付较晚，故存在先使用单位日常公用经费垫支项目资金，相关专项经费到位后，又进行调账</w:t>
      </w:r>
      <w:bookmarkStart w:id="1" w:name="_GoBack"/>
      <w:bookmarkEnd w:id="1"/>
      <w:r>
        <w:rPr>
          <w:rFonts w:hint="eastAsia" w:ascii="仿宋_GB2312" w:hAnsi="黑体" w:eastAsia="仿宋_GB2312" w:cs="黑体"/>
          <w:sz w:val="32"/>
          <w:szCs w:val="32"/>
          <w:lang w:val="en-US" w:eastAsia="zh-CN"/>
        </w:rPr>
        <w:t>处理；财务人员业务知识仍需不断提升；在项目绩效目标设定、预算执行、资金使用等方面，不同程度地存在一些操作不够规范、跟踪不够及时、衔接不够充分、监督不够到位；部分项目预算资金支付进度有待提高，短期资金支出效率较低。项目绩效目标设定的科学性、时效性有待加强。项目安排统筹力度还需加大。因资金拨付情况及工作开展情况，导致个别项目在一定程度上存在支出进度慢的现象。</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（三）改进建议。</w:t>
      </w:r>
    </w:p>
    <w:p>
      <w:pPr>
        <w:spacing w:line="580" w:lineRule="exact"/>
        <w:ind w:firstLine="640" w:firstLineChars="200"/>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进一步加强财务规范化管理，增强内部预算管理意识，严格按照预算编制的相关制度和要求进行预算编制和绩效评估,切实提高财政资金使用效益，不断提高单位绩效自评工作人员的知识和能力，确保绩效评价的科学性和准确性；坚持推进精细化管理，强化预算绩效目标管理、细化绩效目标，并将绩效目标细化分解为具体工作计划。烦请财政根据政协工作发展要求和实际情况，将相关项目经费纳入年度预算，保障单位财务正常运转，使评价工作更合理、更完整；进一步完善预算管理体制，加强项目开展进度的跟踪，开展项目绩效评价，确保项目绩效目标的完成。</w:t>
      </w:r>
    </w:p>
    <w:p>
      <w:pPr>
        <w:spacing w:line="580" w:lineRule="exact"/>
        <w:ind w:firstLine="640" w:firstLineChars="200"/>
        <w:rPr>
          <w:rFonts w:hint="eastAsia" w:ascii="仿宋_GB2312" w:hAnsi="黑体" w:eastAsia="仿宋_GB2312" w:cs="黑体"/>
          <w:sz w:val="32"/>
          <w:szCs w:val="32"/>
          <w:lang w:val="en-US" w:eastAsia="zh-CN"/>
        </w:rPr>
      </w:pPr>
    </w:p>
    <w:p>
      <w:pPr>
        <w:spacing w:line="580" w:lineRule="exact"/>
        <w:ind w:firstLine="640" w:firstLineChars="200"/>
        <w:rPr>
          <w:rFonts w:hint="eastAsia" w:ascii="仿宋_GB2312" w:hAnsi="黑体" w:eastAsia="仿宋_GB2312" w:cs="黑体"/>
          <w:sz w:val="32"/>
          <w:szCs w:val="32"/>
          <w:lang w:val="en-US" w:eastAsia="zh-CN"/>
        </w:rPr>
      </w:pPr>
    </w:p>
    <w:p>
      <w:pPr>
        <w:spacing w:line="580" w:lineRule="exact"/>
        <w:ind w:firstLine="640" w:firstLineChars="200"/>
        <w:jc w:val="right"/>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政协黑水县委员会办公室</w:t>
      </w:r>
    </w:p>
    <w:p>
      <w:pPr>
        <w:spacing w:line="580" w:lineRule="exact"/>
        <w:ind w:firstLine="640" w:firstLineChars="200"/>
        <w:jc w:val="center"/>
        <w:rPr>
          <w:rFonts w:hint="default"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 xml:space="preserve">                         2024年9月26日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A1MzU1Yjg2YzVjNTI0MTZmNGEwNTRjYjRlMmMxMjkifQ=="/>
  </w:docVars>
  <w:rsids>
    <w:rsidRoot w:val="00491B22"/>
    <w:rsid w:val="00291808"/>
    <w:rsid w:val="00491B22"/>
    <w:rsid w:val="0052390C"/>
    <w:rsid w:val="12BD243C"/>
    <w:rsid w:val="34112FBB"/>
    <w:rsid w:val="34EB1F43"/>
    <w:rsid w:val="36435EC2"/>
    <w:rsid w:val="4DD97D2F"/>
    <w:rsid w:val="60D032A5"/>
    <w:rsid w:val="6C5C01A5"/>
    <w:rsid w:val="71307730"/>
    <w:rsid w:val="71EE4438"/>
    <w:rsid w:val="7B685560"/>
    <w:rsid w:val="90BFF4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able of figures"/>
    <w:basedOn w:val="1"/>
    <w:next w:val="1"/>
    <w:qFormat/>
    <w:uiPriority w:val="0"/>
    <w:pPr>
      <w:ind w:leftChars="200" w:hanging="200" w:hangingChars="200"/>
    </w:p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9">
    <w:name w:val="页眉 Char"/>
    <w:basedOn w:val="8"/>
    <w:link w:val="4"/>
    <w:semiHidden/>
    <w:qFormat/>
    <w:uiPriority w:val="99"/>
    <w:rPr>
      <w:sz w:val="18"/>
      <w:szCs w:val="18"/>
    </w:rPr>
  </w:style>
  <w:style w:type="character" w:customStyle="1" w:styleId="10">
    <w:name w:val="页脚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8</Pages>
  <Words>3687</Words>
  <Characters>3843</Characters>
  <Lines>2</Lines>
  <Paragraphs>1</Paragraphs>
  <TotalTime>11</TotalTime>
  <ScaleCrop>false</ScaleCrop>
  <LinksUpToDate>false</LinksUpToDate>
  <CharactersWithSpaces>3874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WPS_1511431328</cp:lastModifiedBy>
  <dcterms:modified xsi:type="dcterms:W3CDTF">2024-11-12T10:30:23Z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ABA42A22605047528E6DB680FC763731_12</vt:lpwstr>
  </property>
</Properties>
</file>