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ascii="黑体" w:hAnsi="黑体" w:eastAsia="黑体" w:cs="宋体"/>
          <w:b/>
          <w:kern w:val="0"/>
          <w:sz w:val="40"/>
          <w:szCs w:val="36"/>
        </w:rPr>
      </w:pPr>
      <w:bookmarkStart w:id="0" w:name="_Toc15396616"/>
      <w:r>
        <w:rPr>
          <w:rFonts w:hint="eastAsia" w:ascii="黑体" w:hAnsi="黑体" w:eastAsia="黑体" w:cs="宋体"/>
          <w:b/>
          <w:kern w:val="0"/>
          <w:sz w:val="40"/>
          <w:szCs w:val="36"/>
        </w:rPr>
        <w:t>中共黑水县委办公室</w:t>
      </w:r>
    </w:p>
    <w:p>
      <w:pPr>
        <w:widowControl/>
        <w:spacing w:line="480" w:lineRule="atLeast"/>
        <w:ind w:firstLine="60"/>
        <w:jc w:val="center"/>
        <w:rPr>
          <w:rFonts w:ascii="黑体" w:hAnsi="黑体" w:eastAsia="黑体" w:cs="宋体"/>
          <w:b/>
          <w:kern w:val="0"/>
          <w:sz w:val="40"/>
          <w:szCs w:val="36"/>
        </w:rPr>
      </w:pPr>
      <w:r>
        <w:rPr>
          <w:rFonts w:hint="eastAsia" w:ascii="黑体" w:hAnsi="黑体" w:eastAsia="黑体" w:cs="宋体"/>
          <w:b/>
          <w:kern w:val="0"/>
          <w:sz w:val="40"/>
          <w:szCs w:val="36"/>
          <w:lang w:eastAsia="zh-CN"/>
        </w:rPr>
        <w:t>2021年</w:t>
      </w:r>
      <w:r>
        <w:rPr>
          <w:rFonts w:hint="eastAsia" w:ascii="黑体" w:hAnsi="黑体" w:eastAsia="黑体" w:cs="宋体"/>
          <w:b/>
          <w:kern w:val="0"/>
          <w:sz w:val="40"/>
          <w:szCs w:val="36"/>
        </w:rPr>
        <w:t>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中共黑水县委办公室为一级运算单位，单位行政单位1个。</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负责县委日常文书的外理，中央、省委、州委和县委重要工作部署的贯彻落实、督促检查。围绕中央、省委、州委和县委工作部署，收集信息、反映动态，对全县经济、政治、文化等方面问题进行综合调研，及时提出意见和建议，为县委决策提供依据和参考。承担县委文件、文稿的起草、修改和校核工作；负责中央、省委、州委和县委文件的收发、管理和传递等工作；负责县委各种会议和大型活动的组织安排。负责县委的后勤保障工作，管理县委机关房产、地籍和其它固定资产，负责县委办公室行政事业经费的预算决算、财务管理、财务审计、基建计划及实施等工作；负责县委机关大院办公楼、宿舍区的安全防范、绿化、卫生管理等工作。负责全县党政系统的密码通信和密码管理。负责贯彻执行党和国家有关保密工作的方针、政策、法律、法规和县委、县政府关于保密工作的指示和决定，承办县委保密委员会的日常事务工作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w:t>
      </w:r>
      <w:r>
        <w:rPr>
          <w:rFonts w:hint="eastAsia" w:ascii="仿宋_GB2312" w:hAnsi="仿宋" w:eastAsia="仿宋_GB2312" w:cs="仿宋_GB2312"/>
          <w:sz w:val="32"/>
          <w:szCs w:val="32"/>
          <w:lang w:eastAsia="zh-CN"/>
        </w:rPr>
        <w:t>2021年</w:t>
      </w:r>
      <w:r>
        <w:rPr>
          <w:rFonts w:hint="eastAsia" w:ascii="仿宋_GB2312" w:hAnsi="仿宋" w:eastAsia="仿宋_GB2312" w:cs="仿宋_GB2312"/>
          <w:sz w:val="32"/>
          <w:szCs w:val="32"/>
        </w:rPr>
        <w:t>12月在册人数：在职</w:t>
      </w:r>
      <w:r>
        <w:rPr>
          <w:rFonts w:hint="eastAsia" w:ascii="仿宋_GB2312" w:hAnsi="仿宋" w:eastAsia="仿宋_GB2312" w:cs="仿宋_GB2312"/>
          <w:sz w:val="32"/>
          <w:szCs w:val="32"/>
          <w:lang w:val="en-US" w:eastAsia="zh-CN"/>
        </w:rPr>
        <w:t>29</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离</w:t>
      </w:r>
      <w:r>
        <w:rPr>
          <w:rFonts w:hint="eastAsia" w:ascii="仿宋_GB2312" w:hAnsi="仿宋" w:eastAsia="仿宋_GB2312" w:cs="仿宋_GB2312"/>
          <w:sz w:val="32"/>
          <w:szCs w:val="32"/>
        </w:rPr>
        <w:t>退休人员</w:t>
      </w:r>
      <w:r>
        <w:rPr>
          <w:rFonts w:hint="eastAsia" w:ascii="仿宋_GB2312" w:hAnsi="仿宋" w:eastAsia="仿宋_GB2312" w:cs="仿宋_GB2312"/>
          <w:sz w:val="32"/>
          <w:szCs w:val="32"/>
          <w:lang w:val="en-US" w:eastAsia="zh-CN"/>
        </w:rPr>
        <w:t>36</w:t>
      </w:r>
      <w:r>
        <w:rPr>
          <w:rFonts w:hint="eastAsia" w:ascii="仿宋_GB2312" w:hAnsi="仿宋"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2021年</w:t>
      </w:r>
      <w:r>
        <w:rPr>
          <w:rFonts w:hint="eastAsia" w:ascii="仿宋_GB2312" w:hAnsi="仿宋" w:eastAsia="仿宋_GB2312" w:cs="仿宋_GB2312"/>
          <w:sz w:val="32"/>
          <w:szCs w:val="32"/>
        </w:rPr>
        <w:t>度部门财政资金总收入</w:t>
      </w:r>
      <w:r>
        <w:rPr>
          <w:rFonts w:hint="eastAsia" w:ascii="仿宋_GB2312" w:hAnsi="仿宋" w:eastAsia="仿宋_GB2312" w:cs="仿宋_GB2312"/>
          <w:sz w:val="32"/>
          <w:szCs w:val="32"/>
          <w:lang w:val="en-US" w:eastAsia="zh-CN"/>
        </w:rPr>
        <w:t>1190.31</w:t>
      </w:r>
      <w:r>
        <w:rPr>
          <w:rFonts w:hint="eastAsia" w:ascii="仿宋_GB2312" w:hAnsi="仿宋" w:eastAsia="仿宋_GB2312" w:cs="仿宋_GB2312"/>
          <w:sz w:val="32"/>
          <w:szCs w:val="32"/>
        </w:rPr>
        <w:t>万元；其中当年财政拨款收入：</w:t>
      </w:r>
      <w:r>
        <w:rPr>
          <w:rFonts w:hint="eastAsia" w:ascii="仿宋_GB2312" w:hAnsi="仿宋" w:eastAsia="仿宋_GB2312" w:cs="仿宋_GB2312"/>
          <w:sz w:val="32"/>
          <w:szCs w:val="32"/>
          <w:lang w:val="en-US" w:eastAsia="zh-CN"/>
        </w:rPr>
        <w:t>893.11</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75.03</w:t>
      </w:r>
      <w:r>
        <w:rPr>
          <w:rFonts w:hint="eastAsia" w:ascii="仿宋_GB2312" w:hAnsi="仿宋" w:eastAsia="仿宋_GB2312" w:cs="仿宋_GB2312"/>
          <w:sz w:val="32"/>
          <w:szCs w:val="32"/>
        </w:rPr>
        <w:t>%，上年结转</w:t>
      </w:r>
      <w:r>
        <w:rPr>
          <w:rFonts w:hint="eastAsia" w:ascii="仿宋_GB2312" w:hAnsi="仿宋" w:eastAsia="仿宋_GB2312" w:cs="仿宋_GB2312"/>
          <w:sz w:val="32"/>
          <w:szCs w:val="32"/>
          <w:lang w:val="en-US" w:eastAsia="zh-CN"/>
        </w:rPr>
        <w:t>297.2</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24.97</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sz w:val="32"/>
          <w:szCs w:val="32"/>
          <w:lang w:eastAsia="zh-CN"/>
        </w:rPr>
        <w:t>2021年</w:t>
      </w:r>
      <w:r>
        <w:rPr>
          <w:rFonts w:hint="eastAsia" w:ascii="仿宋_GB2312" w:hAnsi="仿宋" w:eastAsia="仿宋_GB2312" w:cs="仿宋_GB2312"/>
          <w:sz w:val="32"/>
          <w:szCs w:val="32"/>
        </w:rPr>
        <w:t>度部门财政资金总支出</w:t>
      </w:r>
      <w:r>
        <w:rPr>
          <w:rFonts w:hint="eastAsia" w:ascii="仿宋_GB2312" w:hAnsi="仿宋" w:eastAsia="仿宋_GB2312"/>
          <w:color w:val="000000"/>
          <w:sz w:val="32"/>
          <w:szCs w:val="32"/>
          <w:highlight w:val="none"/>
          <w:lang w:val="en-US" w:eastAsia="zh-CN"/>
        </w:rPr>
        <w:t>1190.37</w:t>
      </w:r>
      <w:r>
        <w:rPr>
          <w:rFonts w:hint="eastAsia" w:ascii="仿宋_GB2312" w:hAnsi="仿宋" w:eastAsia="仿宋_GB2312" w:cs="仿宋_GB2312"/>
          <w:sz w:val="32"/>
          <w:szCs w:val="32"/>
        </w:rPr>
        <w:t>万元（</w:t>
      </w:r>
      <w:r>
        <w:rPr>
          <w:rFonts w:hint="eastAsia" w:ascii="仿宋_GB2312" w:hAnsi="仿宋" w:eastAsia="仿宋_GB2312"/>
          <w:color w:val="000000"/>
          <w:sz w:val="32"/>
          <w:szCs w:val="32"/>
          <w:highlight w:val="none"/>
        </w:rPr>
        <w:t>其中：基本支出</w:t>
      </w:r>
      <w:r>
        <w:rPr>
          <w:rFonts w:hint="eastAsia" w:ascii="仿宋_GB2312" w:hAnsi="仿宋" w:eastAsia="仿宋_GB2312"/>
          <w:color w:val="000000"/>
          <w:sz w:val="32"/>
          <w:szCs w:val="32"/>
          <w:highlight w:val="none"/>
          <w:lang w:val="en-US" w:eastAsia="zh-CN"/>
        </w:rPr>
        <w:t>1061.57</w:t>
      </w:r>
      <w:r>
        <w:rPr>
          <w:rFonts w:hint="eastAsia" w:ascii="仿宋_GB2312" w:hAnsi="仿宋" w:eastAsia="仿宋_GB2312"/>
          <w:color w:val="000000"/>
          <w:sz w:val="32"/>
          <w:szCs w:val="32"/>
          <w:highlight w:val="none"/>
        </w:rPr>
        <w:t>万元，占</w:t>
      </w:r>
      <w:r>
        <w:rPr>
          <w:rFonts w:hint="eastAsia" w:ascii="仿宋_GB2312" w:hAnsi="仿宋" w:eastAsia="仿宋_GB2312"/>
          <w:color w:val="000000"/>
          <w:sz w:val="32"/>
          <w:szCs w:val="32"/>
          <w:highlight w:val="none"/>
          <w:lang w:val="en-US" w:eastAsia="zh-CN"/>
        </w:rPr>
        <w:t>89.18</w:t>
      </w:r>
      <w:r>
        <w:rPr>
          <w:rFonts w:hint="eastAsia" w:ascii="仿宋_GB2312" w:hAnsi="仿宋" w:eastAsia="仿宋_GB2312"/>
          <w:color w:val="000000"/>
          <w:sz w:val="32"/>
          <w:szCs w:val="32"/>
          <w:highlight w:val="none"/>
        </w:rPr>
        <w:t>%；项目支出</w:t>
      </w:r>
      <w:r>
        <w:rPr>
          <w:rFonts w:hint="eastAsia" w:ascii="仿宋_GB2312" w:hAnsi="仿宋" w:eastAsia="仿宋_GB2312"/>
          <w:color w:val="000000"/>
          <w:sz w:val="32"/>
          <w:szCs w:val="32"/>
          <w:highlight w:val="none"/>
          <w:lang w:val="en-US" w:eastAsia="zh-CN"/>
        </w:rPr>
        <w:t>128.75</w:t>
      </w:r>
      <w:r>
        <w:rPr>
          <w:rFonts w:hint="eastAsia" w:ascii="仿宋_GB2312" w:hAnsi="仿宋" w:eastAsia="仿宋_GB2312"/>
          <w:color w:val="000000"/>
          <w:sz w:val="32"/>
          <w:szCs w:val="32"/>
          <w:highlight w:val="none"/>
        </w:rPr>
        <w:t>万元，占</w:t>
      </w:r>
      <w:r>
        <w:rPr>
          <w:rFonts w:hint="eastAsia" w:ascii="仿宋_GB2312" w:hAnsi="仿宋" w:eastAsia="仿宋_GB2312"/>
          <w:color w:val="000000"/>
          <w:sz w:val="32"/>
          <w:szCs w:val="32"/>
          <w:highlight w:val="none"/>
          <w:lang w:val="en-US" w:eastAsia="zh-CN"/>
        </w:rPr>
        <w:t>10.82</w:t>
      </w:r>
      <w:r>
        <w:rPr>
          <w:rFonts w:hint="eastAsia" w:ascii="仿宋_GB2312" w:hAnsi="仿宋" w:eastAsia="仿宋_GB2312"/>
          <w:color w:val="000000"/>
          <w:sz w:val="32"/>
          <w:szCs w:val="32"/>
          <w:highlight w:val="none"/>
        </w:rPr>
        <w:t>%</w:t>
      </w:r>
      <w:r>
        <w:rPr>
          <w:rFonts w:hint="eastAsia" w:ascii="仿宋_GB2312" w:hAnsi="仿宋" w:eastAsia="仿宋_GB2312" w:cs="仿宋_GB2312"/>
          <w:sz w:val="32"/>
          <w:szCs w:val="32"/>
        </w:rPr>
        <w:t>）具体为工资福利支出</w:t>
      </w:r>
      <w:r>
        <w:rPr>
          <w:rFonts w:hint="eastAsia" w:ascii="仿宋_GB2312" w:hAnsi="仿宋" w:eastAsia="仿宋_GB2312" w:cs="仿宋_GB2312"/>
          <w:sz w:val="32"/>
          <w:szCs w:val="32"/>
          <w:lang w:val="en-US" w:eastAsia="zh-CN"/>
        </w:rPr>
        <w:t>669.75</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56.27</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252.37</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21.2</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89.25</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7.5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。资本性支出</w:t>
      </w:r>
      <w:r>
        <w:rPr>
          <w:rFonts w:hint="eastAsia" w:ascii="仿宋_GB2312" w:hAnsi="仿宋" w:eastAsia="仿宋_GB2312" w:cs="仿宋_GB2312"/>
          <w:sz w:val="32"/>
          <w:szCs w:val="32"/>
          <w:lang w:val="en-US" w:eastAsia="zh-CN"/>
        </w:rPr>
        <w:t>178.93万元，</w:t>
      </w:r>
      <w:r>
        <w:rPr>
          <w:rFonts w:hint="eastAsia" w:ascii="仿宋_GB2312" w:hAnsi="仿宋" w:eastAsia="仿宋_GB2312" w:cs="仿宋_GB2312"/>
          <w:sz w:val="32"/>
          <w:szCs w:val="32"/>
        </w:rPr>
        <w:t>占总支出</w:t>
      </w:r>
      <w:r>
        <w:rPr>
          <w:rFonts w:hint="eastAsia" w:ascii="仿宋_GB2312" w:hAnsi="仿宋" w:eastAsia="仿宋_GB2312" w:cs="仿宋_GB2312"/>
          <w:sz w:val="32"/>
          <w:szCs w:val="32"/>
          <w:lang w:val="en-US" w:eastAsia="zh-CN"/>
        </w:rPr>
        <w:t>15.03</w:t>
      </w:r>
      <w:bookmarkStart w:id="1" w:name="_GoBack"/>
      <w:bookmarkEnd w:id="1"/>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00" w:firstLineChars="200"/>
        <w:rPr>
          <w:rFonts w:ascii="仿宋_GB2312" w:hAnsi="仿宋" w:eastAsia="仿宋_GB2312" w:cs="仿宋_GB2312"/>
          <w:color w:val="FF0000"/>
          <w:sz w:val="32"/>
          <w:szCs w:val="32"/>
        </w:rPr>
      </w:pPr>
      <w:r>
        <w:rPr>
          <w:rFonts w:hint="eastAsia" w:ascii="仿宋" w:hAnsi="仿宋" w:eastAsia="仿宋" w:cs="仿宋"/>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通过县巡查组巡查组，本单位无违规记录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本年本单位在执行公务过程中严格执行“厉行节约、反对浪费”的规定，严格控制“三公”经费支出，加强公务用车管理，努力降低燃修费用。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部门预算决算在财政部门批复后及时填报预算公开资料、决算公开资料报表报财政审核后在政府信息公开网上公示。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从自评情况来看，我所部门支出绩效水平较高，整体上完成了年初设定的绩效目标，保障了我所工作的正常运转，促进了我所的事业发展，充分发挥了财政资金的经济效益和社会效益。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5ZWRlMzQ1MTg4YTZmODgwMjMxOTc0YTUzOGNkZmQifQ=="/>
  </w:docVars>
  <w:rsids>
    <w:rsidRoot w:val="00491B22"/>
    <w:rsid w:val="00291808"/>
    <w:rsid w:val="00491B22"/>
    <w:rsid w:val="0052390C"/>
    <w:rsid w:val="1B8547A4"/>
    <w:rsid w:val="1D9E3734"/>
    <w:rsid w:val="2FCE0F42"/>
    <w:rsid w:val="36435EC2"/>
    <w:rsid w:val="394962F5"/>
    <w:rsid w:val="3B6958A3"/>
    <w:rsid w:val="3E555349"/>
    <w:rsid w:val="445F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1487</Words>
  <Characters>1571</Characters>
  <Lines>2</Lines>
  <Paragraphs>1</Paragraphs>
  <TotalTime>0</TotalTime>
  <ScaleCrop>false</ScaleCrop>
  <LinksUpToDate>false</LinksUpToDate>
  <CharactersWithSpaces>1571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2022-08-21T08:38:53Z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634644E748F646A1B6CBB3703C734EC6</vt:lpwstr>
  </property>
</Properties>
</file>