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中共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纪委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比2019年减少1.87万元，下降93%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公务接待减少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/>
          <w:color w:val="000000"/>
          <w:sz w:val="32"/>
          <w:szCs w:val="32"/>
        </w:rPr>
        <w:t>99.86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比2019年增加 56.46万元，增长130%。主要原因是购置车辆两台。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/>
          <w:color w:val="000000"/>
          <w:sz w:val="32"/>
          <w:szCs w:val="32"/>
        </w:rPr>
        <w:t>50.77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主要用于日常审查调查及监督检查等所需的公务用车燃料费、维修费、过路过桥费、保险费等支出。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eastAsia="仿宋_GB2312"/>
          <w:color w:val="000000"/>
          <w:sz w:val="32"/>
          <w:szCs w:val="32"/>
        </w:rPr>
        <w:t>49.09万元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中共黑水县纪委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99.86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49.09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50.77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23AA554C"/>
    <w:rsid w:val="3DCF4CBC"/>
    <w:rsid w:val="4B3C460C"/>
    <w:rsid w:val="66090EF9"/>
    <w:rsid w:val="6C514D6B"/>
    <w:rsid w:val="7E4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2021-08-13T08:25:31Z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4CD25BF089A54D988EE7DED0349C3C27</vt:lpwstr>
  </property>
</Properties>
</file>