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 w:hint="eastAsia"/>
          <w:kern w:val="0"/>
          <w:sz w:val="36"/>
          <w:szCs w:val="36"/>
          <w:lang w:eastAsia="zh-CN"/>
        </w:rPr>
      </w:pPr>
      <w:r>
        <w:rPr>
          <w:rFonts w:ascii="方正小标宋简体" w:eastAsia="方正小标宋简体" w:cs="宋体" w:hint="eastAsia"/>
          <w:kern w:val="0"/>
          <w:sz w:val="36"/>
          <w:szCs w:val="36"/>
          <w:lang w:eastAsia="zh-CN"/>
        </w:rPr>
        <w:t>中共黑水县委组织部</w:t>
      </w:r>
    </w:p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ascii="方正小标宋简体" w:eastAsia="方正小标宋简体" w:cs="宋体" w:hint="eastAsia"/>
          <w:kern w:val="0"/>
          <w:sz w:val="36"/>
          <w:szCs w:val="36"/>
        </w:rPr>
        <w:t>关于“三公”经费</w:t>
      </w:r>
      <w:r>
        <w:rPr>
          <w:rFonts w:ascii="方正小标宋简体" w:eastAsia="方正小标宋简体" w:cs="宋体" w:hint="eastAsia"/>
          <w:kern w:val="0"/>
          <w:sz w:val="36"/>
          <w:szCs w:val="36"/>
          <w:lang w:eastAsia="zh-CN"/>
        </w:rPr>
        <w:t>202</w:t>
      </w:r>
      <w:r>
        <w:rPr>
          <w:rFonts w:ascii="方正小标宋简体" w:eastAsia="方正小标宋简体" w:cs="宋体" w:hint="eastAsia"/>
          <w:kern w:val="0"/>
          <w:sz w:val="36"/>
          <w:szCs w:val="36"/>
          <w:lang w:val="en-US" w:eastAsia="zh-CN"/>
        </w:rPr>
        <w:t>3</w:t>
      </w:r>
      <w:r>
        <w:rPr>
          <w:rFonts w:ascii="方正小标宋简体" w:eastAsia="方正小标宋简体" w:cs="宋体" w:hint="eastAsia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Chars="218" w:firstLine="69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我单位 “三公”经费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eastAsia="仿宋_GB2312" w:cs="宋体" w:hint="eastAsia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年决算支出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万元,较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持平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，主要原因是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厉行节约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持平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，主要原因是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厉行节约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。其中：国内公务接待费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万元，共计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批次共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人；国（境）外公务接待费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rPr>
          <w:rFonts w:ascii="仿宋_GB2312" w:eastAsia="仿宋_GB2312" w:cs="宋体" w:hint="eastAsia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三、公务用车购置及运行维护费</w:t>
        <w:br/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16.83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万元，相比上年度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减少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32.19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万元，主要原因为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上年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购买公车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1辆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和厉行节约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与预算数持平，支付预算数100%。</w:t>
      </w:r>
      <w:bookmarkStart w:id="0" w:name="_GoBack"/>
      <w:bookmarkEnd w:id="0"/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 xml:space="preserve">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单位共有公务用车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辆，其中：越野车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辆，轿车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Chars="200" w:firstLine="64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年安排公务用车运行维护费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16.83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万元。主要用于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公务用车运行维护费开支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Chars="200" w:firstLine="64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年安排公务用车购置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辆，购置费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中共黑水县委组织部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ascii="仿宋_GB2312" w:eastAsia="仿宋_GB2312" w:cs="宋体" w:hint="eastAsia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jc w:val="left"/>
        <w:tblInd w:w="0" w:type="dxa"/>
        <w:tblW w:w="842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rPr>
          <w:trHeight w:hRule="exact" w:val="697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eastAsia="zh-CN"/>
              </w:rPr>
              <w:t>2023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年决算（万元）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16.83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16.83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简体">
    <w:altName w:val="微软雅黑"/>
    <w:panose1 w:val="03000509000000000000"/>
    <w:charset w:val="86"/>
    <w:family w:val="auto"/>
    <w:pitch w:val="variable"/>
    <w:sig w:usb0="00000000" w:usb1="0000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variable"/>
    <w:sig w:usb0="00000001" w:usb1="080E0000" w:usb2="00000000" w:usb3="00000000" w:csb0="0004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72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2"/>
  </w:compat>
  <w:docVars>
    <w:docVar w:name="commondata" w:val="eyJoZGlkIjoiMmU4YjRjNzBiMDk3ZjI3ZWMxODFmZDE4MGQyZmZiNj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link w:val="1Char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Times New Roman" w:eastAsia="宋体" w:cs="Times New Roman" w:hAnsi="Times New Roman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cs="Arial" w:hAnsi="Calibri"/>
      <w:sz w:val="18"/>
      <w:szCs w:val="18"/>
    </w:rPr>
  </w:style>
  <w:style w:type="character" w:styleId="17">
    <w:name w:val="Strong"/>
    <w:basedOn w:val="1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Yozo_Office27021597764231179</Application>
  <Pages>2</Pages>
  <Words>383</Words>
  <Characters>439</Characters>
  <Lines>51</Lines>
  <Paragraphs>26</Paragraphs>
  <CharactersWithSpaces>518</CharactersWithSpaces>
  <Company>Sky123.Org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Sky123.Org</dc:creator>
  <cp:lastModifiedBy>Administrator</cp:lastModifiedBy>
  <cp:revision>2</cp:revision>
  <dcterms:created xsi:type="dcterms:W3CDTF">2019-08-19T17:06:00Z</dcterms:created>
  <dcterms:modified xsi:type="dcterms:W3CDTF">2024-09-23T08:05:25Z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2052-10.1.0.7698</vt:lpwstr>
  </property>
  <property fmtid="{D5CDD505-2E9C-101B-9397-08002B2CF9AE}" pid="3" name="ICV">
    <vt:lpwstr>E476C27FD91E428C9CADE37081418AE4_12</vt:lpwstr>
  </property>
</Properties>
</file>