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contextualSpacing/>
        <w:textAlignment w:val="auto"/>
        <w:outlineLvl w:val="9"/>
        <w:rPr>
          <w:rFonts w:hint="default" w:ascii="Times New Roman" w:hAnsi="Times New Roman" w:eastAsia="黑体" w:cs="Times New Roman"/>
          <w:szCs w:val="32"/>
          <w:highlight w:val="none"/>
          <w:lang w:val="zh-CN" w:eastAsia="zh-CN"/>
        </w:rPr>
      </w:pPr>
      <w:bookmarkStart w:id="1" w:name="_GoBack"/>
      <w:bookmarkEnd w:id="1"/>
      <w:r>
        <w:rPr>
          <w:rFonts w:hint="default" w:ascii="Times New Roman" w:hAnsi="Times New Roman" w:eastAsia="黑体" w:cs="Times New Roman"/>
          <w:szCs w:val="32"/>
          <w:highlight w:val="none"/>
          <w:lang w:val="zh-CN"/>
        </w:rPr>
        <w:t>附件</w:t>
      </w:r>
      <w:r>
        <w:rPr>
          <w:rFonts w:hint="default" w:ascii="Times New Roman" w:hAnsi="Times New Roman" w:eastAsia="黑体" w:cs="Times New Roman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contextualSpacing/>
        <w:jc w:val="both"/>
        <w:textAlignment w:val="auto"/>
        <w:outlineLvl w:val="9"/>
        <w:rPr>
          <w:rFonts w:hint="default" w:ascii="Times New Roman" w:hAnsi="Times New Roman" w:eastAsia="宋体" w:cs="Times New Roman"/>
          <w:b/>
          <w:sz w:val="44"/>
          <w:szCs w:val="44"/>
          <w:highlight w:val="none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highlight w:val="none"/>
          <w:shd w:val="clear" w:color="auto" w:fill="FFFFFF"/>
          <w:lang w:eastAsia="zh-CN"/>
        </w:rPr>
        <w:t>中共黑水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highlight w:val="none"/>
          <w:shd w:val="clear" w:color="auto" w:fill="FFFFFF"/>
          <w:lang w:val="en-US" w:eastAsia="zh-CN"/>
        </w:rPr>
        <w:t>县委组织部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cs="Times New Roman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highlight w:val="none"/>
          <w:shd w:val="clear" w:color="auto" w:fill="FFFFFF"/>
          <w:lang w:val="en-US" w:eastAsia="zh-CN"/>
        </w:rPr>
        <w:t>202</w:t>
      </w:r>
      <w:r>
        <w:rPr>
          <w:rFonts w:hint="eastAsia" w:eastAsia="方正小标宋简体" w:cs="Times New Roman"/>
          <w:b w:val="0"/>
          <w:bCs/>
          <w:sz w:val="44"/>
          <w:szCs w:val="44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highlight w:val="none"/>
          <w:shd w:val="clear" w:color="auto" w:fill="FFFFFF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highlight w:val="none"/>
          <w:shd w:val="clear" w:color="auto" w:fill="FFFFFF"/>
        </w:rPr>
        <w:t>财政支出绩效评价报告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48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 w:val="24"/>
          <w:szCs w:val="32"/>
          <w:highlight w:val="none"/>
          <w:shd w:val="clear" w:color="auto" w:fill="FFFFFF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cs="Times New Roman"/>
          <w:szCs w:val="32"/>
        </w:rPr>
      </w:pPr>
      <w:r>
        <w:rPr>
          <w:rFonts w:hint="eastAsia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部门（单位）基本情况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机构组成。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县委组织部设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个职能股室、2个事业中心，分别是办公室、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农村党建工作股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机关党建工作股、</w:t>
      </w:r>
      <w:r>
        <w:rPr>
          <w:rFonts w:hint="eastAsia" w:ascii="仿宋_GB2312" w:hAnsi="仿宋_GB2312" w:eastAsia="仿宋_GB2312" w:cs="仿宋_GB2312"/>
          <w:sz w:val="32"/>
          <w:szCs w:val="32"/>
        </w:rPr>
        <w:t>干部股、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公务员</w:t>
      </w:r>
      <w:r>
        <w:rPr>
          <w:rFonts w:hint="eastAsia" w:ascii="仿宋_GB2312" w:hAnsi="仿宋_GB2312" w:eastAsia="仿宋_GB2312" w:cs="仿宋_GB2312"/>
          <w:sz w:val="32"/>
          <w:szCs w:val="32"/>
        </w:rPr>
        <w:t>股、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人才工作股</w:t>
      </w:r>
      <w:r>
        <w:rPr>
          <w:rFonts w:hint="eastAsia" w:ascii="仿宋_GB2312" w:hAnsi="仿宋_GB2312" w:eastAsia="仿宋_GB2312" w:cs="仿宋_GB2312"/>
          <w:sz w:val="32"/>
          <w:szCs w:val="32"/>
        </w:rPr>
        <w:t>、老干部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工作股、</w:t>
      </w:r>
      <w:r>
        <w:rPr>
          <w:rFonts w:hint="eastAsia" w:ascii="仿宋_GB2312" w:hAnsi="仿宋_GB2312" w:eastAsia="仿宋_GB2312" w:cs="仿宋_GB2312"/>
          <w:sz w:val="32"/>
          <w:szCs w:val="32"/>
        </w:rPr>
        <w:t>远程教育中心（参公管理）、信息中心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(二）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机构职能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1.研究、指导全县各基层党组织的建设；研究、探索各类新经济组织中党组织的设置和活动方式；协调、规划和指导全县党员的教育管理和主管党员的发展工作；组织新时期党的建设理论研究。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2.负责乡镇、县直部门和县委、县政府直属事业单位的领导班子和领导干部的考察考核，并提出领导班子调整、配备和领导干部任免的意见和建议；负责州委管理干部职务任免、工资、待遇及离退休干部的上报资料和手续；负责有关上报州委组织部的备案材料；配合州级有关部门考核协管单位的领导班子和领导干部，并对其领导班子和领导干部的调整、任免提出意见和建议；承办县委管理干部职务任免、工资、待遇和离退休干部的审批手续；承办县委管理干部和县级党群、政法系统干部的调配、交流、安置工作；负责县党代会、人代会、政协会的有关组织工作和各乡镇党代会、人代会和政协会的宏观指导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3.研究制定全县领导班子和干部队伍建设的政策、措施；指导科级领导班子的思想作风建设；组织落实培养和选拔中青年干部，负责后备干部队伍建设工作；负责领导干部多媒体信息的采集和制作。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4.研究、指导全县党的组织制度和干部人事制度改革，制定或参与制定组织、干部、人事工作的重要政策和制度。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5.负责组织、干部工作的监督检查及有关的综合协调工作，及时向县委和州委组织部反映情况，提出建议。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6.主管干部教育工作。制定全县干部教育规划和有关政策规定；负责领导干部的培训工作；指导、协调县委党校等干部教育的基地建设、师资队伍建设和教材编写工作。负责全县党员（远程）教育工作。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7.负责全县人才工作及人才队伍建设的宏观指导和综合协调，牵头贯彻落实州委、州政府和县委县政府有关人才工作的重大政策和部署；协调、指导各类人才队伍建设的宏观规划、政策制定、表彰奖励等工作，负责“党政一把手抓第一资源”目标责任制的组织实施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8.负责全县党员和基层党组织电化教育工作。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9.归口管理县直机关工委。负责指导县直机关党组织抓好党的思想、组织、作风建设。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10.归口管理县委老干部局。负责离退休干部工作的宏观管理，研究制定或参与制定离退休干部管理服务工作的相关制度措施。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11.负责研究拟订群众管理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办法、工作制度、工作规范、纪律规定；负责县群众工作领导小组办公室日常事务。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12.负责全县关工委工作。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.完成县委交办的其他任务。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）人员概况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县委组织部总编制数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38</w:t>
      </w:r>
      <w:r>
        <w:rPr>
          <w:rFonts w:hint="eastAsia" w:ascii="仿宋_GB2312" w:hAnsi="仿宋_GB2312" w:eastAsia="仿宋_GB2312" w:cs="仿宋_GB2312"/>
          <w:sz w:val="32"/>
          <w:szCs w:val="32"/>
        </w:rPr>
        <w:t>个（其中行政编制1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个，参公编制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个，事业编制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个，工勤编制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个），在编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行政</w:t>
      </w:r>
      <w:r>
        <w:rPr>
          <w:rFonts w:hint="eastAsia" w:ascii="仿宋_GB2312" w:hAnsi="仿宋_GB2312" w:eastAsia="仿宋_GB2312" w:cs="仿宋_GB2312"/>
          <w:sz w:val="32"/>
          <w:szCs w:val="32"/>
        </w:rPr>
        <w:t>编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事业</w:t>
      </w:r>
      <w:r>
        <w:rPr>
          <w:rFonts w:hint="eastAsia" w:ascii="仿宋_GB2312" w:hAnsi="仿宋_GB2312" w:eastAsia="仿宋_GB2312" w:cs="仿宋_GB2312"/>
          <w:sz w:val="32"/>
          <w:szCs w:val="32"/>
        </w:rPr>
        <w:t>编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人）。在职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人，退休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人。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二、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部门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资金收支情况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收入情况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年度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部门财政资金总收入1544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79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,年初预算583.69万元，调整预算961.1万元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；其中当年财政拨款收入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1544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79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，占总收入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。决算报表收入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1544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79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支出情况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pStyle w:val="11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年度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部门财政资金总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1544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79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；其中当年财政拨款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1544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79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，占总收入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zh-CN"/>
        </w:rPr>
        <w:t>人员类经费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415.9万元，公用经费54.45万元，项目经费911.55万元。总支出与决算数相等。</w:t>
      </w:r>
    </w:p>
    <w:p>
      <w:pPr>
        <w:pStyle w:val="11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主要包括：一般公共服务支出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943.11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万元、教育支出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267.13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万元、社会保障和就业支出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80.18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万元、卫生健康支出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32.86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万元、农林水支出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178.8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万元、住房保障支出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42.71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万元。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leftChars="0" w:firstLine="642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szCs w:val="32"/>
        </w:rPr>
        <w:t>结余分配和结转结余情况</w:t>
      </w:r>
      <w:r>
        <w:rPr>
          <w:rFonts w:hint="eastAsia" w:ascii="Times New Roman" w:hAnsi="Times New Roman" w:eastAsia="楷体_GB2312" w:cs="Times New Roman"/>
          <w:b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200"/>
        <w:contextualSpacing/>
        <w:jc w:val="left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 w:cs="Times New Roman"/>
          <w:szCs w:val="32"/>
          <w:lang w:val="en-US" w:eastAsia="zh-CN"/>
        </w:rPr>
        <w:t>2023年</w:t>
      </w:r>
      <w:r>
        <w:rPr>
          <w:rFonts w:hint="eastAsia" w:ascii="Times New Roman" w:hAnsi="Times New Roman" w:cs="Times New Roman"/>
          <w:szCs w:val="32"/>
          <w:lang w:val="en-US" w:eastAsia="zh-CN"/>
        </w:rPr>
        <w:t>决算报表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结转结余</w:t>
      </w:r>
      <w:r>
        <w:rPr>
          <w:rFonts w:hint="eastAsia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为0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kern w:val="0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三、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部门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预算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绩效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分析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部门预算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总体绩效分析。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楷体_GB2312" w:hAnsi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履职效能。组织部按照职能和职责完成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2023年各项工作任务，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一是人才专项工作职能高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质量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举办全县培训班</w:t>
      </w:r>
      <w:r>
        <w:rPr>
          <w:rFonts w:hint="eastAsia" w:eastAsia="方正仿宋_GBK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23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期培训</w:t>
      </w:r>
      <w:r>
        <w:rPr>
          <w:rFonts w:hint="eastAsia" w:eastAsia="方正仿宋_GBK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18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00余人次，其中，年轻优秀干部参加各类提能培训班21期700余人次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，培训效率高，满意度高，支出培训费175万元；县配套人才专项经费80万元，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发挥省内对口支援和东西部协作帮扶“传帮带”作用，引进各类援助人才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143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名，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招录公务员20名，招录事业人员20名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大力实施“硕博进阿坝”行动，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完成3名引进人才报到工作，并落实人才公寓和发放一次性安家补助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，人才效益发挥好，招录率完成98%；二是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完成老干部及关工委管理工作职能，投入144.41万元，慰问1146名老干部春节慰问等慰问工作及日常活动管理，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开展“金秋助学”“暖冬行动·爱心陪伴”“老少牵手·温暖童心”主题活动</w:t>
      </w:r>
      <w:r>
        <w:rPr>
          <w:rFonts w:hint="eastAsia" w:eastAsia="方正仿宋_GBK" w:cs="Times New Roman"/>
          <w:color w:val="auto"/>
          <w:kern w:val="2"/>
          <w:sz w:val="32"/>
          <w:szCs w:val="32"/>
          <w:lang w:val="en-US" w:eastAsia="zh-CN" w:bidi="ar-SA"/>
        </w:rPr>
        <w:t>4次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，为困难家庭学生送去100份学习大礼包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为</w:t>
      </w:r>
      <w:r>
        <w:rPr>
          <w:rFonts w:hint="eastAsia" w:eastAsia="方正仿宋_GBK" w:cs="Times New Roman"/>
          <w:color w:val="auto"/>
          <w:kern w:val="2"/>
          <w:sz w:val="32"/>
          <w:szCs w:val="32"/>
          <w:lang w:val="en-US" w:eastAsia="zh-CN" w:bidi="ar-SA"/>
        </w:rPr>
        <w:t>200余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名特殊困难学生发放慰问金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；三是党建工作职能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发放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全县各级党组织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208名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农村困难“三老”人员、离任村干部、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困难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党员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eastAsia" w:eastAsia="方正仿宋_GBK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生活补助及体检费5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6.76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万元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，满意度极高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eastAsia" w:eastAsia="方正仿宋_GBK" w:cs="Times New Roman"/>
          <w:color w:val="auto"/>
          <w:kern w:val="2"/>
          <w:sz w:val="32"/>
          <w:szCs w:val="32"/>
          <w:lang w:val="en-US" w:eastAsia="zh-CN" w:bidi="ar-SA"/>
        </w:rPr>
        <w:t>开展主题教育工作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组织各级党组织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开展“三会一课”240次，主题党日活动141次，开展理论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学习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中心组学习37次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，支出10万元；驻村工作经费落实1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89名驻村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干部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驻村补贴125.38万元，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举办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驻村第一书记和工作队员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能力提升培训班</w:t>
      </w:r>
      <w:r>
        <w:rPr>
          <w:rFonts w:hint="eastAsia" w:eastAsia="方正仿宋_GBK" w:cs="Times New Roman"/>
          <w:color w:val="auto"/>
          <w:sz w:val="32"/>
          <w:szCs w:val="32"/>
          <w:lang w:val="en-US" w:eastAsia="zh-CN"/>
        </w:rPr>
        <w:t>1次11.64万元，购买驻村物资31.3万元，完成驻村任务率100%，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夯实党在基层执政基础</w:t>
      </w:r>
      <w:r>
        <w:rPr>
          <w:rFonts w:hint="eastAsia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；四是保工资、保运转支出职能，按时足额发放和缴纳职工工资和保险。结合实际支付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自评得分：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15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分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hint="default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预算管理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。一是预算编制质量：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部门预算编制目标制定清晰，部门整体绩效目标编制完整、合理部门整体绩效目标能完整、合理反映部门年度职责履行情况，项目绩效目标编制明确，并通过了预算草案审查，审查后未提出确需修改的问题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，自评得分8分；二是单位收入统筹：单位全年收入均属财政拨款收入，纳入预算管理，结息收入按规定上缴财政，自评得分4分；三是支出执行进度：我部门大多资金属于年底补助性资金，年底集中支付率高，年中执行进度较慢，自评得分4分，扣2分。四是预算年终结余：年末结余为零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收支平衡，自评得分2分；五是严控一般性支出：</w:t>
      </w:r>
      <w:r>
        <w:rPr>
          <w:rFonts w:hint="eastAsia"/>
          <w:lang w:val="en-US" w:eastAsia="zh-CN"/>
        </w:rPr>
        <w:t>2023年部门厉行节约，一般性支出办公费、会议费、差旅费、培训费、</w:t>
      </w:r>
      <w:r>
        <w:rPr>
          <w:rFonts w:hint="default"/>
          <w:lang w:eastAsia="zh-CN"/>
        </w:rPr>
        <w:t>“三公”经费</w:t>
      </w:r>
      <w:r>
        <w:rPr>
          <w:rFonts w:hint="eastAsia"/>
          <w:lang w:val="en-US" w:eastAsia="zh-CN"/>
        </w:rPr>
        <w:t>等支出决算数均低于2022年度决算数，自评得分5分。预算管理总体自评得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分：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23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财务管理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一是财务管理制度：组织部严格规范内控制度，按照财务管理制度执行各项资金支付，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zh-CN" w:eastAsia="zh-CN" w:bidi="ar-SA"/>
        </w:rPr>
        <w:t>自评得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4分；二是财务岗位设置：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财务岗位设置明确，会计出纳分设，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zh-CN" w:eastAsia="zh-CN" w:bidi="ar-SA"/>
        </w:rPr>
        <w:t>自评得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2分；三是资金使用规范：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财政资金使用明确资金支付审核流程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zh-CN" w:eastAsia="zh-CN" w:bidi="ar-SA"/>
        </w:rPr>
        <w:t>，按照内控制度严格拨付，做到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规范有效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zh-CN" w:eastAsia="zh-CN" w:bidi="ar-SA"/>
        </w:rPr>
        <w:t>，自评</w:t>
      </w:r>
      <w:r>
        <w:rPr>
          <w:rFonts w:hint="eastAsia" w:ascii="仿宋_GB2312" w:hAnsi="仿宋_GB2312" w:cs="仿宋_GB2312"/>
          <w:color w:val="auto"/>
          <w:kern w:val="2"/>
          <w:sz w:val="32"/>
          <w:szCs w:val="32"/>
          <w:lang w:val="en-US" w:eastAsia="zh-CN" w:bidi="ar-SA"/>
        </w:rPr>
        <w:t>4分。财务管理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自评得分：10分。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default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资产管理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一是人均资产变化率：严格按照资产管理制度执行，购买物资达到规定金额做入账登记，人均资产变化率低，自评得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3分；二是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资产利用率高，使用率达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100%，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人均资产利用率较高，因历史遗留问题，年末资产盘点卡片信息不全，下账处理困难，自评得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1分，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扣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2分。三是资产管理：部门无闲置资产，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自评得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3分。资产管理总体得分：7分。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hint="default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采购管理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2023年组织部无政府采购，未达到政府采购的标准项目均按照组织部政府采购内控制度执行，均在中小企业采购，采购执行率100%。自评得分：6分。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（二）部门预算项目绩效分析。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常年项目绩效分析。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 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911.55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阶段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一次性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）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项目绩效分析。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before="105" w:beforeAutospacing="0" w:after="105" w:afterAutospacing="0" w:line="560" w:lineRule="exact"/>
        <w:ind w:left="0" w:right="0" w:firstLine="739" w:firstLineChars="231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项目决策。一是决算程序：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根据部门实际需要编制预算，经过单位集体决策，项目绩效目标编制明确，并通过了预算草案审查，审查后未提出确需修改的问题，自评得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4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分。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二是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 w:bidi="ar-SA"/>
        </w:rPr>
        <w:t>目标设置：一是党建工作经费项目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279.93万元，设立发放198名驻村干部补贴发放、业务培训及保险、物资购置等工作，表彰优秀驻村工作干部1次，完成全县主题教育工作、123名三老人员生活补助发放及体检工作，27名村干部学历提升，保障全县72个点位党员远程教育邮电费，提高自身组工业务能力，开展会议30余次；二是老干部及关工委工作经费165.34万元，开展24次老干部活动，惠及3000人次，全县春节慰问1116名老干部，落实4名离休干部护理费，发放28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退休干部困难补助，积极保障离退休干部日常管理有序。三是全县干部人才专项466.28万元，保障全县21名援藏干部艰边津贴及生活物资，开展2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3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期人才干部培训，惠及人数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1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800人次，落实19名选调生到村任职工作补助经费，落实专技12人外派生活补助共41.5万元，申请保护冰川研究补助30万元，完成全县160余名副县级干部体检工作及全县1800余名干部职工档案数字化加工，3名硕博进阿坝引进人才安家补助30万元，完成137名援藏干部和236名高层次人才春节慰问工作，有序完成全县干部考察、招录等工作。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目标设置科学合理、规范完整、量化细化、预算匹配。自评得4分；三是项目入库：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各项目按照预期目标完整、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经济活动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真实入库管理。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在规定时间内完成项目入库，自评得4分。项目决策总体得12分。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2.项目执行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ascii="仿宋_GB2312" w:hAnsi="仿宋_GB2312" w:cs="仿宋_GB2312"/>
          <w:color w:val="auto"/>
          <w:sz w:val="32"/>
          <w:szCs w:val="32"/>
          <w:lang w:val="zh-CN" w:eastAsia="zh-CN"/>
        </w:rPr>
        <w:t>一是执行同向：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2023年度我部门实际列支项目与绩效预算阶段项目相符，预算节约率小于10%，得4分；二是项目调整：项目执行进度有序推进，完成绩效目标100%，无应采取未采取收回预算、年末根据资金使用进度调整结余资金为其他项目报财政审核后执行，得4分；三是执行结果：预算执行完成各项目标，</w:t>
      </w:r>
      <w:r>
        <w:rPr>
          <w:rFonts w:hint="eastAsia"/>
          <w:lang w:val="en-US" w:eastAsia="zh-CN"/>
        </w:rPr>
        <w:t>但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部门项目多涉及人员补助类项目，导致资金支付进度上半年支付进度慢，下半年集中支付率较高，故扣2分，得2分。四是目标完成：目标设立清晰，完成率为100%，得4分。项目执行总体自评得分10分。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before="105" w:beforeAutospacing="0" w:after="105" w:afterAutospacing="0" w:line="560" w:lineRule="exact"/>
        <w:ind w:left="0" w:right="0" w:firstLine="420"/>
        <w:rPr>
          <w:rFonts w:hint="eastAsia" w:ascii="楷体_GB2312" w:hAnsi="楷体_GB2312" w:eastAsia="仿宋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目标实现。一是目标偏离：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预算项目绩效目标与实际有偏差，如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2023年驻村工作队表彰预算表彰经费800元/人，实际支付500元/人。其余项目均按目标完成无偏差，故扣1分。二是项目实现效果好，补助对象满意、项目执行好评率高、目标完成率高。3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个项目指标实际完成均达到预期指标，目标实现总体自评得分：10分。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60" w:lineRule="exact"/>
        <w:ind w:firstLine="642" w:firstLineChars="200"/>
        <w:textAlignment w:val="auto"/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  <w:r>
        <w:rPr>
          <w:rFonts w:hint="default" w:ascii="Times New Roman" w:hAnsi="Times New Roman" w:eastAsia="楷体_GB2312" w:cs="Times New Roman"/>
          <w:b/>
          <w:bCs/>
          <w:szCs w:val="32"/>
          <w:lang w:val="zh-CN"/>
        </w:rPr>
        <w:t>绩效结果应用情况</w:t>
      </w:r>
      <w:r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1.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围绕内部应用情况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：通过绩效目标的制定和评定，逐步完善部门的内控制度。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信息公开情况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：信息公开完整真实，均按照财政要求及时公开预决算等信息。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/>
          <w:bCs w:val="0"/>
          <w:szCs w:val="32"/>
          <w:lang w:val="en-US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整改反馈情况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进行分析：我单位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2023无巡视审计，但在自查工作中发现报销问题及时整改，严格规范内控。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四、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评价结论及建议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（一）评价结论。</w:t>
      </w:r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2023年我部门在人大监督、巡视巡察、审计监督中未出现相关问题。在检查中积极配合对被评价部门。本部门在2023年度自评得分：93分。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before="105" w:beforeAutospacing="0" w:after="105" w:afterAutospacing="0" w:line="560" w:lineRule="exact"/>
        <w:ind w:left="0" w:right="0" w:firstLine="420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（二）存在问题。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一是预算编制准确度有待提高，存在中期追加、期末追减情况；二是固定资产卡片有未及时更新情况，管理有待完善；三是预算执行进度有待提高。</w:t>
      </w:r>
    </w:p>
    <w:p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before="105" w:beforeAutospacing="0" w:after="105" w:afterAutospacing="0" w:line="560" w:lineRule="exact"/>
        <w:ind w:left="0" w:leftChars="0" w:right="0" w:firstLine="642" w:firstLineChars="200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改进建议。</w:t>
      </w:r>
      <w:bookmarkStart w:id="0" w:name="_Hlk110546638"/>
    </w:p>
    <w:p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leftChars="0" w:right="0" w:rightChars="0" w:firstLine="640" w:firstLineChars="200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一是加强每月预算执行监控，及时督促相关科室推进项目执行。二是通过近年预决算数据对比，科学编制预算，未雨绸缪尽量做好年度规划，降低经费追加减比例。三是及时更新固定资产卡片，提高单位成本费用准确度。四是财政加大对绩效工作培训力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" w:eastAsia="zh-CN" w:bidi="ar-SA"/>
        </w:rPr>
      </w:pP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zh-CN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contextualSpacing/>
        <w:textAlignment w:val="auto"/>
        <w:outlineLvl w:val="9"/>
        <w:rPr>
          <w:rFonts w:hint="default" w:ascii="Times New Roman" w:hAnsi="Times New Roman" w:eastAsia="黑体" w:cs="Times New Roman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部门整体支出绩效目标完成情况自评表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br w:type="page"/>
      </w:r>
      <w:r>
        <w:rPr>
          <w:rFonts w:hint="eastAsia" w:ascii="黑体" w:hAnsi="黑体" w:eastAsia="黑体" w:cs="黑体"/>
          <w:kern w:val="2"/>
          <w:sz w:val="32"/>
          <w:szCs w:val="24"/>
          <w:highlight w:val="none"/>
          <w:lang w:val="en-US" w:eastAsia="zh-CN" w:bidi="ar-SA"/>
        </w:rPr>
        <w:t>附表</w:t>
      </w:r>
    </w:p>
    <w:tbl>
      <w:tblPr>
        <w:tblStyle w:val="13"/>
        <w:tblW w:w="105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9"/>
        <w:gridCol w:w="1347"/>
        <w:gridCol w:w="663"/>
        <w:gridCol w:w="1710"/>
        <w:gridCol w:w="1143"/>
        <w:gridCol w:w="1291"/>
        <w:gridCol w:w="1058"/>
        <w:gridCol w:w="926"/>
        <w:gridCol w:w="11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2" w:hRule="exact"/>
          <w:jc w:val="center"/>
        </w:trPr>
        <w:tc>
          <w:tcPr>
            <w:tcW w:w="10560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部门整体支出绩效目标完成情况自评表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560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（2023年度）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560" w:type="dxa"/>
            <w:gridSpan w:val="9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righ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中共黑水县委组织部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年度部门整体支出预算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资金总额</w:t>
            </w:r>
          </w:p>
        </w:tc>
        <w:tc>
          <w:tcPr>
            <w:tcW w:w="2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财政拨款</w:t>
            </w:r>
          </w:p>
        </w:tc>
        <w:tc>
          <w:tcPr>
            <w:tcW w:w="43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1544.79</w:t>
            </w:r>
          </w:p>
        </w:tc>
        <w:tc>
          <w:tcPr>
            <w:tcW w:w="2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1544.79</w:t>
            </w:r>
          </w:p>
        </w:tc>
        <w:tc>
          <w:tcPr>
            <w:tcW w:w="43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年度总体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</w:t>
            </w:r>
          </w:p>
        </w:tc>
        <w:tc>
          <w:tcPr>
            <w:tcW w:w="925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负责全县党组织体系、组织制度建设、基层党组织建设，全县领导干部队伍建设的管理，全县公务员工作，干部教育，人才培训选拔，组织系统干部监督工作，全县老干部工作，管理县委机构编制委员会办公室，全县关工委工作等职能，2023年重点：一是开展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主题</w:t>
            </w:r>
            <w:r>
              <w:rPr>
                <w:rFonts w:ascii="宋体" w:hAnsi="宋体" w:eastAsia="宋体" w:cs="宋体"/>
                <w:sz w:val="24"/>
                <w:szCs w:val="24"/>
              </w:rPr>
              <w:t>教育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工作</w:t>
            </w:r>
            <w:r>
              <w:rPr>
                <w:rFonts w:ascii="宋体" w:hAnsi="宋体" w:eastAsia="宋体" w:cs="宋体"/>
                <w:sz w:val="24"/>
                <w:szCs w:val="24"/>
              </w:rPr>
              <w:t>；二是开展党员教育活动，三是完成换届后的调研等；四是围绕生态建设抓党建工作；五是抓实党建引领基层治理工作；六是持续深化驻村工作和两联一进开展；七是加强干部人才队伍建设，做实乡村振兴人才振兴和组织振兴工作；八是完成组织部日常运转及上级交办的其他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年度主要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任务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任务名称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单位“三保支出”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  <w:t>保人员工资、保险及运转等基本支出。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党建工作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  <w:t>落实</w:t>
            </w:r>
            <w:r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140余名三老人员生活补助及体检费，开展主题教育工作及理论学习中心组学习、管理和落实189名驻村队员乡镇补贴、物资及业务培训、完成29名村干部学历提升，72个点位党员远程教育等引领基层党建促乡村振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人才干部专项工作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  <w:t>完成组织</w:t>
            </w:r>
            <w:r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23期培训1800人次，落实招录硕博人才3名安家补助，保障援藏干部生活物资和艰边津贴发放，落实19名选调生到村任职工作补助，保障外派12名专技人员生活补助，完成全县副县级干部体检工作，全县干部档案管理、人才考察及慰问等干部管理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老干部及关工委工作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  <w:t>开展离退休老干部活动，落实</w:t>
            </w:r>
            <w:r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1146名退休干部春节和重阳节等慰问和补助。开展关心关爱下一代活动4次。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年度绩效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性质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绩效指标值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绩效度量单位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人员、公用经费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1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0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全县退休干部</w:t>
            </w: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1146人慰问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1146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关心关爱下一代活动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次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三老人员</w:t>
            </w: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140人生活补助及体检和村干部学历提升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干部培训次数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期</w:t>
            </w: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党员远程教育点位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=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个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全县副县级干部体检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驻村干部乡镇补助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189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人才补助（援藏干部艰边、选调生工作补助、高层次人才慰问、硕博引进及外派专技生活补助）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428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人次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政策落实覆盖率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培训效果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资金支付和使用率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社会好评率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补助对象合理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定性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合理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合理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服务及补助对象满意度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100%</w:t>
            </w:r>
          </w:p>
        </w:tc>
      </w:tr>
    </w:tbl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ind w:right="451" w:rightChars="141"/>
                            <w:jc w:val="right"/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ind w:right="451" w:rightChars="141"/>
                      <w:jc w:val="right"/>
                      <w:rPr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3FE8E"/>
    <w:multiLevelType w:val="singleLevel"/>
    <w:tmpl w:val="1593FE8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174"/>
    <w:rsid w:val="00006E4D"/>
    <w:rsid w:val="00021652"/>
    <w:rsid w:val="00030311"/>
    <w:rsid w:val="00030782"/>
    <w:rsid w:val="00030B66"/>
    <w:rsid w:val="0006102A"/>
    <w:rsid w:val="00065B0F"/>
    <w:rsid w:val="00065E7E"/>
    <w:rsid w:val="000820BB"/>
    <w:rsid w:val="0008241B"/>
    <w:rsid w:val="00092280"/>
    <w:rsid w:val="00097FAE"/>
    <w:rsid w:val="000A3233"/>
    <w:rsid w:val="000A7CE3"/>
    <w:rsid w:val="000B04D6"/>
    <w:rsid w:val="000B15CE"/>
    <w:rsid w:val="000C40C6"/>
    <w:rsid w:val="000C79C1"/>
    <w:rsid w:val="000D208A"/>
    <w:rsid w:val="000E037E"/>
    <w:rsid w:val="000F659A"/>
    <w:rsid w:val="000F77B0"/>
    <w:rsid w:val="0010235D"/>
    <w:rsid w:val="00103A47"/>
    <w:rsid w:val="00106D4D"/>
    <w:rsid w:val="001119A2"/>
    <w:rsid w:val="001221D6"/>
    <w:rsid w:val="0012510A"/>
    <w:rsid w:val="00125F67"/>
    <w:rsid w:val="001261AE"/>
    <w:rsid w:val="001348A4"/>
    <w:rsid w:val="0014117C"/>
    <w:rsid w:val="00146FE8"/>
    <w:rsid w:val="0014767B"/>
    <w:rsid w:val="00147AED"/>
    <w:rsid w:val="00177AAF"/>
    <w:rsid w:val="00183850"/>
    <w:rsid w:val="00184D9F"/>
    <w:rsid w:val="001A4749"/>
    <w:rsid w:val="001A4842"/>
    <w:rsid w:val="001A5833"/>
    <w:rsid w:val="001C2158"/>
    <w:rsid w:val="001C51F2"/>
    <w:rsid w:val="001C73AB"/>
    <w:rsid w:val="001D2EA4"/>
    <w:rsid w:val="001F47CE"/>
    <w:rsid w:val="001F5776"/>
    <w:rsid w:val="0020620D"/>
    <w:rsid w:val="002069BC"/>
    <w:rsid w:val="002069EB"/>
    <w:rsid w:val="002201B0"/>
    <w:rsid w:val="00220900"/>
    <w:rsid w:val="0022307E"/>
    <w:rsid w:val="00224D05"/>
    <w:rsid w:val="002323A3"/>
    <w:rsid w:val="00236EF7"/>
    <w:rsid w:val="0024058A"/>
    <w:rsid w:val="002410C0"/>
    <w:rsid w:val="00252894"/>
    <w:rsid w:val="00253FA6"/>
    <w:rsid w:val="00254728"/>
    <w:rsid w:val="002550E7"/>
    <w:rsid w:val="002558D4"/>
    <w:rsid w:val="002560E2"/>
    <w:rsid w:val="00264CFA"/>
    <w:rsid w:val="00270DD7"/>
    <w:rsid w:val="00276F4A"/>
    <w:rsid w:val="00280BFB"/>
    <w:rsid w:val="00280C88"/>
    <w:rsid w:val="002973A4"/>
    <w:rsid w:val="002A0195"/>
    <w:rsid w:val="002B5B34"/>
    <w:rsid w:val="002B6906"/>
    <w:rsid w:val="002B7215"/>
    <w:rsid w:val="002C0AFD"/>
    <w:rsid w:val="002C59D0"/>
    <w:rsid w:val="002D1A18"/>
    <w:rsid w:val="002D6C79"/>
    <w:rsid w:val="002E1104"/>
    <w:rsid w:val="002E3FDD"/>
    <w:rsid w:val="00300EF4"/>
    <w:rsid w:val="00301353"/>
    <w:rsid w:val="00305FF6"/>
    <w:rsid w:val="00307568"/>
    <w:rsid w:val="00311506"/>
    <w:rsid w:val="00316ADB"/>
    <w:rsid w:val="00317623"/>
    <w:rsid w:val="00335F67"/>
    <w:rsid w:val="003361E9"/>
    <w:rsid w:val="00350A65"/>
    <w:rsid w:val="00361C85"/>
    <w:rsid w:val="00371352"/>
    <w:rsid w:val="00376753"/>
    <w:rsid w:val="0038541D"/>
    <w:rsid w:val="00387818"/>
    <w:rsid w:val="00391A13"/>
    <w:rsid w:val="00391FD0"/>
    <w:rsid w:val="003A44FC"/>
    <w:rsid w:val="003B3299"/>
    <w:rsid w:val="003D10A2"/>
    <w:rsid w:val="003D33B8"/>
    <w:rsid w:val="003D624D"/>
    <w:rsid w:val="003D719A"/>
    <w:rsid w:val="003F5EB7"/>
    <w:rsid w:val="003F7FE2"/>
    <w:rsid w:val="004004E7"/>
    <w:rsid w:val="00416E1A"/>
    <w:rsid w:val="00426A3F"/>
    <w:rsid w:val="004277D4"/>
    <w:rsid w:val="00461638"/>
    <w:rsid w:val="004706FA"/>
    <w:rsid w:val="00474D8D"/>
    <w:rsid w:val="00475CCD"/>
    <w:rsid w:val="00477266"/>
    <w:rsid w:val="004811BC"/>
    <w:rsid w:val="004838F2"/>
    <w:rsid w:val="00486492"/>
    <w:rsid w:val="00492CF6"/>
    <w:rsid w:val="004A4C9D"/>
    <w:rsid w:val="004C2078"/>
    <w:rsid w:val="004C228F"/>
    <w:rsid w:val="004E752F"/>
    <w:rsid w:val="004F1E37"/>
    <w:rsid w:val="004F7244"/>
    <w:rsid w:val="00515198"/>
    <w:rsid w:val="00521C44"/>
    <w:rsid w:val="005274E1"/>
    <w:rsid w:val="00531DDF"/>
    <w:rsid w:val="00535FA6"/>
    <w:rsid w:val="00542AB7"/>
    <w:rsid w:val="0055358D"/>
    <w:rsid w:val="005540C8"/>
    <w:rsid w:val="00555809"/>
    <w:rsid w:val="00562165"/>
    <w:rsid w:val="005756AF"/>
    <w:rsid w:val="00575A4A"/>
    <w:rsid w:val="00591B6F"/>
    <w:rsid w:val="005A1DAF"/>
    <w:rsid w:val="005C17C8"/>
    <w:rsid w:val="005C2098"/>
    <w:rsid w:val="005C2E6C"/>
    <w:rsid w:val="005D0CCF"/>
    <w:rsid w:val="005D1C01"/>
    <w:rsid w:val="005E297D"/>
    <w:rsid w:val="005E3F12"/>
    <w:rsid w:val="005F627E"/>
    <w:rsid w:val="0061652E"/>
    <w:rsid w:val="006205E9"/>
    <w:rsid w:val="00622D0B"/>
    <w:rsid w:val="006270DA"/>
    <w:rsid w:val="00630B75"/>
    <w:rsid w:val="00634DFF"/>
    <w:rsid w:val="00635337"/>
    <w:rsid w:val="0064265B"/>
    <w:rsid w:val="0064519C"/>
    <w:rsid w:val="0065082E"/>
    <w:rsid w:val="006512D0"/>
    <w:rsid w:val="006560A3"/>
    <w:rsid w:val="00656301"/>
    <w:rsid w:val="006600C9"/>
    <w:rsid w:val="006701CC"/>
    <w:rsid w:val="00671F58"/>
    <w:rsid w:val="006762A4"/>
    <w:rsid w:val="006900E7"/>
    <w:rsid w:val="006A00A8"/>
    <w:rsid w:val="006A482D"/>
    <w:rsid w:val="006B11E0"/>
    <w:rsid w:val="006B386A"/>
    <w:rsid w:val="006B7CB4"/>
    <w:rsid w:val="006C24D3"/>
    <w:rsid w:val="006C7917"/>
    <w:rsid w:val="006E51AE"/>
    <w:rsid w:val="0070081F"/>
    <w:rsid w:val="007018F5"/>
    <w:rsid w:val="00710897"/>
    <w:rsid w:val="00712F45"/>
    <w:rsid w:val="00734305"/>
    <w:rsid w:val="007370E1"/>
    <w:rsid w:val="007732A1"/>
    <w:rsid w:val="00774C4A"/>
    <w:rsid w:val="00782BBB"/>
    <w:rsid w:val="007A0690"/>
    <w:rsid w:val="007A078F"/>
    <w:rsid w:val="007B34D4"/>
    <w:rsid w:val="007C0633"/>
    <w:rsid w:val="007D086C"/>
    <w:rsid w:val="007F1BE1"/>
    <w:rsid w:val="007F707F"/>
    <w:rsid w:val="007F794C"/>
    <w:rsid w:val="007F7AC9"/>
    <w:rsid w:val="00803B42"/>
    <w:rsid w:val="008073EF"/>
    <w:rsid w:val="0081095C"/>
    <w:rsid w:val="00810C41"/>
    <w:rsid w:val="008212FF"/>
    <w:rsid w:val="0082593B"/>
    <w:rsid w:val="00827537"/>
    <w:rsid w:val="008468EA"/>
    <w:rsid w:val="00867140"/>
    <w:rsid w:val="00881134"/>
    <w:rsid w:val="008904F0"/>
    <w:rsid w:val="008B2F27"/>
    <w:rsid w:val="008B4A72"/>
    <w:rsid w:val="008B585E"/>
    <w:rsid w:val="008E6C0C"/>
    <w:rsid w:val="008F1E63"/>
    <w:rsid w:val="008F3052"/>
    <w:rsid w:val="00901E19"/>
    <w:rsid w:val="009214F7"/>
    <w:rsid w:val="00921CD7"/>
    <w:rsid w:val="00940EB6"/>
    <w:rsid w:val="00944771"/>
    <w:rsid w:val="009601FC"/>
    <w:rsid w:val="00965426"/>
    <w:rsid w:val="0096654A"/>
    <w:rsid w:val="009711E4"/>
    <w:rsid w:val="00971572"/>
    <w:rsid w:val="00981E55"/>
    <w:rsid w:val="00986CEF"/>
    <w:rsid w:val="00987212"/>
    <w:rsid w:val="009A0E5F"/>
    <w:rsid w:val="009F1AF3"/>
    <w:rsid w:val="009F233E"/>
    <w:rsid w:val="00A024AB"/>
    <w:rsid w:val="00A050A5"/>
    <w:rsid w:val="00A05B8B"/>
    <w:rsid w:val="00A1372F"/>
    <w:rsid w:val="00A170EC"/>
    <w:rsid w:val="00A217B3"/>
    <w:rsid w:val="00A23D04"/>
    <w:rsid w:val="00A277D9"/>
    <w:rsid w:val="00A30CEB"/>
    <w:rsid w:val="00A31318"/>
    <w:rsid w:val="00A42765"/>
    <w:rsid w:val="00A5432A"/>
    <w:rsid w:val="00A55F8A"/>
    <w:rsid w:val="00A9670E"/>
    <w:rsid w:val="00AA1423"/>
    <w:rsid w:val="00AB7996"/>
    <w:rsid w:val="00AC43C3"/>
    <w:rsid w:val="00AE2EAD"/>
    <w:rsid w:val="00AF77BE"/>
    <w:rsid w:val="00B11CEE"/>
    <w:rsid w:val="00B23428"/>
    <w:rsid w:val="00B264BF"/>
    <w:rsid w:val="00B42E74"/>
    <w:rsid w:val="00B46874"/>
    <w:rsid w:val="00B50E8F"/>
    <w:rsid w:val="00B51151"/>
    <w:rsid w:val="00B523E4"/>
    <w:rsid w:val="00B52B4F"/>
    <w:rsid w:val="00B6108C"/>
    <w:rsid w:val="00B649AD"/>
    <w:rsid w:val="00B64B9C"/>
    <w:rsid w:val="00B67A3E"/>
    <w:rsid w:val="00B735CC"/>
    <w:rsid w:val="00B82C95"/>
    <w:rsid w:val="00B83F87"/>
    <w:rsid w:val="00B84DFD"/>
    <w:rsid w:val="00BB4E38"/>
    <w:rsid w:val="00BC3879"/>
    <w:rsid w:val="00BD0E0D"/>
    <w:rsid w:val="00BD41BC"/>
    <w:rsid w:val="00BD55AD"/>
    <w:rsid w:val="00BE0305"/>
    <w:rsid w:val="00BF15F0"/>
    <w:rsid w:val="00BF7DF9"/>
    <w:rsid w:val="00C03559"/>
    <w:rsid w:val="00C05395"/>
    <w:rsid w:val="00C22AD7"/>
    <w:rsid w:val="00C272C1"/>
    <w:rsid w:val="00C32A68"/>
    <w:rsid w:val="00C34282"/>
    <w:rsid w:val="00C35350"/>
    <w:rsid w:val="00C3564B"/>
    <w:rsid w:val="00C53721"/>
    <w:rsid w:val="00C64D2E"/>
    <w:rsid w:val="00C70F97"/>
    <w:rsid w:val="00C7497C"/>
    <w:rsid w:val="00C757A2"/>
    <w:rsid w:val="00C75966"/>
    <w:rsid w:val="00C76577"/>
    <w:rsid w:val="00C80225"/>
    <w:rsid w:val="00C81349"/>
    <w:rsid w:val="00C93139"/>
    <w:rsid w:val="00CA08A0"/>
    <w:rsid w:val="00CA32D2"/>
    <w:rsid w:val="00CA4E07"/>
    <w:rsid w:val="00CA737D"/>
    <w:rsid w:val="00CB1EF5"/>
    <w:rsid w:val="00CC05D4"/>
    <w:rsid w:val="00CC7166"/>
    <w:rsid w:val="00CF5275"/>
    <w:rsid w:val="00CF6136"/>
    <w:rsid w:val="00D0023D"/>
    <w:rsid w:val="00D006C6"/>
    <w:rsid w:val="00D14A65"/>
    <w:rsid w:val="00D162B9"/>
    <w:rsid w:val="00D251E2"/>
    <w:rsid w:val="00D254F4"/>
    <w:rsid w:val="00D263A7"/>
    <w:rsid w:val="00D26B5D"/>
    <w:rsid w:val="00D33159"/>
    <w:rsid w:val="00D33A19"/>
    <w:rsid w:val="00D355B5"/>
    <w:rsid w:val="00D43DC3"/>
    <w:rsid w:val="00D51791"/>
    <w:rsid w:val="00D5281E"/>
    <w:rsid w:val="00D6531B"/>
    <w:rsid w:val="00D6612D"/>
    <w:rsid w:val="00D71AD9"/>
    <w:rsid w:val="00D73C02"/>
    <w:rsid w:val="00D872ED"/>
    <w:rsid w:val="00D913C6"/>
    <w:rsid w:val="00DA0236"/>
    <w:rsid w:val="00DA5D51"/>
    <w:rsid w:val="00DA5E29"/>
    <w:rsid w:val="00DA61CA"/>
    <w:rsid w:val="00DB66BB"/>
    <w:rsid w:val="00DB73AF"/>
    <w:rsid w:val="00DC2865"/>
    <w:rsid w:val="00DD0894"/>
    <w:rsid w:val="00DE1888"/>
    <w:rsid w:val="00DF1250"/>
    <w:rsid w:val="00DF6EF7"/>
    <w:rsid w:val="00E05454"/>
    <w:rsid w:val="00E074C3"/>
    <w:rsid w:val="00E23329"/>
    <w:rsid w:val="00E24D6D"/>
    <w:rsid w:val="00E341B2"/>
    <w:rsid w:val="00E42633"/>
    <w:rsid w:val="00E5699E"/>
    <w:rsid w:val="00E570E1"/>
    <w:rsid w:val="00E72773"/>
    <w:rsid w:val="00E76739"/>
    <w:rsid w:val="00E81946"/>
    <w:rsid w:val="00E82BB7"/>
    <w:rsid w:val="00E86D13"/>
    <w:rsid w:val="00E936C2"/>
    <w:rsid w:val="00E95346"/>
    <w:rsid w:val="00EA0CEF"/>
    <w:rsid w:val="00EA2E2A"/>
    <w:rsid w:val="00EB79D2"/>
    <w:rsid w:val="00EC0174"/>
    <w:rsid w:val="00ED3EEB"/>
    <w:rsid w:val="00ED5749"/>
    <w:rsid w:val="00ED5FA3"/>
    <w:rsid w:val="00ED68C4"/>
    <w:rsid w:val="00ED6A4E"/>
    <w:rsid w:val="00ED72EA"/>
    <w:rsid w:val="00EE3A4F"/>
    <w:rsid w:val="00EF10C3"/>
    <w:rsid w:val="00EF3BD2"/>
    <w:rsid w:val="00F16BCE"/>
    <w:rsid w:val="00F45DA1"/>
    <w:rsid w:val="00F5267B"/>
    <w:rsid w:val="00F53E8B"/>
    <w:rsid w:val="00F663FD"/>
    <w:rsid w:val="00F743B0"/>
    <w:rsid w:val="00F82409"/>
    <w:rsid w:val="00F8264F"/>
    <w:rsid w:val="00F833E9"/>
    <w:rsid w:val="00F84580"/>
    <w:rsid w:val="00F873DA"/>
    <w:rsid w:val="00F95982"/>
    <w:rsid w:val="00FA006C"/>
    <w:rsid w:val="00FA190E"/>
    <w:rsid w:val="00FA288B"/>
    <w:rsid w:val="00FA2997"/>
    <w:rsid w:val="00FA2C71"/>
    <w:rsid w:val="00FB3345"/>
    <w:rsid w:val="00FD0228"/>
    <w:rsid w:val="00FD3BB7"/>
    <w:rsid w:val="00FE0D93"/>
    <w:rsid w:val="00FF2572"/>
    <w:rsid w:val="00FF32AD"/>
    <w:rsid w:val="025238F2"/>
    <w:rsid w:val="02824861"/>
    <w:rsid w:val="04047163"/>
    <w:rsid w:val="04400654"/>
    <w:rsid w:val="049910AA"/>
    <w:rsid w:val="08811B77"/>
    <w:rsid w:val="08915B60"/>
    <w:rsid w:val="08E0592A"/>
    <w:rsid w:val="0A0C4EE9"/>
    <w:rsid w:val="0A10078A"/>
    <w:rsid w:val="0C067727"/>
    <w:rsid w:val="0DC31556"/>
    <w:rsid w:val="0EAC37A5"/>
    <w:rsid w:val="0F7374E5"/>
    <w:rsid w:val="0FBE17F2"/>
    <w:rsid w:val="105F2BFF"/>
    <w:rsid w:val="12AF7066"/>
    <w:rsid w:val="133E22AC"/>
    <w:rsid w:val="13A41C4E"/>
    <w:rsid w:val="13B25F81"/>
    <w:rsid w:val="14523F75"/>
    <w:rsid w:val="15B8666D"/>
    <w:rsid w:val="16211014"/>
    <w:rsid w:val="16764A03"/>
    <w:rsid w:val="17171A04"/>
    <w:rsid w:val="181F37CF"/>
    <w:rsid w:val="18D976CA"/>
    <w:rsid w:val="19150E43"/>
    <w:rsid w:val="1A3D6143"/>
    <w:rsid w:val="1A4F1B36"/>
    <w:rsid w:val="1BFC2956"/>
    <w:rsid w:val="1C013801"/>
    <w:rsid w:val="1CE21F11"/>
    <w:rsid w:val="1DA64578"/>
    <w:rsid w:val="1DFD8D3B"/>
    <w:rsid w:val="1FB79DC9"/>
    <w:rsid w:val="1FBFC3F2"/>
    <w:rsid w:val="1FFFE033"/>
    <w:rsid w:val="214D413B"/>
    <w:rsid w:val="24EC2F49"/>
    <w:rsid w:val="253A55D0"/>
    <w:rsid w:val="2596030D"/>
    <w:rsid w:val="271C17D2"/>
    <w:rsid w:val="27806B60"/>
    <w:rsid w:val="27F352A6"/>
    <w:rsid w:val="2994678D"/>
    <w:rsid w:val="2B7E20D4"/>
    <w:rsid w:val="2D442026"/>
    <w:rsid w:val="2D527252"/>
    <w:rsid w:val="2DB40C9B"/>
    <w:rsid w:val="2DDC1740"/>
    <w:rsid w:val="2DFA6884"/>
    <w:rsid w:val="2E3A51DD"/>
    <w:rsid w:val="2EAE55F2"/>
    <w:rsid w:val="2EDF4302"/>
    <w:rsid w:val="2EFE1A04"/>
    <w:rsid w:val="302E5D71"/>
    <w:rsid w:val="3293524A"/>
    <w:rsid w:val="32A43B4D"/>
    <w:rsid w:val="33826FE4"/>
    <w:rsid w:val="35BBF80F"/>
    <w:rsid w:val="39FC087B"/>
    <w:rsid w:val="3B736F08"/>
    <w:rsid w:val="3BE3D531"/>
    <w:rsid w:val="3D3D7FEE"/>
    <w:rsid w:val="3D431A40"/>
    <w:rsid w:val="3EFF42CA"/>
    <w:rsid w:val="3F6FCA38"/>
    <w:rsid w:val="3FD5AF3D"/>
    <w:rsid w:val="3FFED8BE"/>
    <w:rsid w:val="3FFF43BB"/>
    <w:rsid w:val="40322FE1"/>
    <w:rsid w:val="41B16A3A"/>
    <w:rsid w:val="433DCF8E"/>
    <w:rsid w:val="45FF973D"/>
    <w:rsid w:val="47550EBA"/>
    <w:rsid w:val="476600AD"/>
    <w:rsid w:val="48562D1F"/>
    <w:rsid w:val="4A37292E"/>
    <w:rsid w:val="4ACB6FFE"/>
    <w:rsid w:val="4B88175E"/>
    <w:rsid w:val="4BF7E09D"/>
    <w:rsid w:val="4CCD6B36"/>
    <w:rsid w:val="4E1E0C5F"/>
    <w:rsid w:val="4FFFFC3E"/>
    <w:rsid w:val="505D56F4"/>
    <w:rsid w:val="505F4A1C"/>
    <w:rsid w:val="51E01C50"/>
    <w:rsid w:val="51FF28DD"/>
    <w:rsid w:val="52530821"/>
    <w:rsid w:val="53BB74FC"/>
    <w:rsid w:val="53F61B0B"/>
    <w:rsid w:val="55871EC9"/>
    <w:rsid w:val="55AF03EA"/>
    <w:rsid w:val="55FDDF92"/>
    <w:rsid w:val="55FFBC03"/>
    <w:rsid w:val="56CDA72E"/>
    <w:rsid w:val="576F5916"/>
    <w:rsid w:val="577FDAE2"/>
    <w:rsid w:val="57FBE2C7"/>
    <w:rsid w:val="59277080"/>
    <w:rsid w:val="597F306F"/>
    <w:rsid w:val="59E0414A"/>
    <w:rsid w:val="5B001B8A"/>
    <w:rsid w:val="5B335734"/>
    <w:rsid w:val="5B7F322F"/>
    <w:rsid w:val="5BCAB023"/>
    <w:rsid w:val="5D1E4CE0"/>
    <w:rsid w:val="5D9C774D"/>
    <w:rsid w:val="5DDA9B94"/>
    <w:rsid w:val="5E873AA5"/>
    <w:rsid w:val="5EAB810D"/>
    <w:rsid w:val="5EFF9DA6"/>
    <w:rsid w:val="5F15285B"/>
    <w:rsid w:val="5F3A2DEC"/>
    <w:rsid w:val="5F7751B9"/>
    <w:rsid w:val="5F9F7232"/>
    <w:rsid w:val="5F9F9588"/>
    <w:rsid w:val="5FBD32D2"/>
    <w:rsid w:val="5FD450B0"/>
    <w:rsid w:val="5FEF60CD"/>
    <w:rsid w:val="5FFB203D"/>
    <w:rsid w:val="5FFB8CF9"/>
    <w:rsid w:val="608568E6"/>
    <w:rsid w:val="61BC61FA"/>
    <w:rsid w:val="62225737"/>
    <w:rsid w:val="63DBAF21"/>
    <w:rsid w:val="64580917"/>
    <w:rsid w:val="6636451A"/>
    <w:rsid w:val="676D0DD4"/>
    <w:rsid w:val="67DE80AA"/>
    <w:rsid w:val="697E3B47"/>
    <w:rsid w:val="69BF132E"/>
    <w:rsid w:val="6BE06674"/>
    <w:rsid w:val="6BFEE5F3"/>
    <w:rsid w:val="6CAFF34E"/>
    <w:rsid w:val="6CFF7F32"/>
    <w:rsid w:val="6CFFCF4F"/>
    <w:rsid w:val="6D8577E5"/>
    <w:rsid w:val="6DFFF8B6"/>
    <w:rsid w:val="6E9FE641"/>
    <w:rsid w:val="6EEDE807"/>
    <w:rsid w:val="6EEE4BE4"/>
    <w:rsid w:val="6EF65E9C"/>
    <w:rsid w:val="6F3D9197"/>
    <w:rsid w:val="6FAB3EC4"/>
    <w:rsid w:val="6FB6AF41"/>
    <w:rsid w:val="6FD894C8"/>
    <w:rsid w:val="6FE36A9E"/>
    <w:rsid w:val="6FE44C3A"/>
    <w:rsid w:val="6FEFB2D1"/>
    <w:rsid w:val="6FFF97E6"/>
    <w:rsid w:val="701F00C7"/>
    <w:rsid w:val="702F20B5"/>
    <w:rsid w:val="704E6106"/>
    <w:rsid w:val="71397E03"/>
    <w:rsid w:val="71FB5B08"/>
    <w:rsid w:val="71FC4AD4"/>
    <w:rsid w:val="727B5BEB"/>
    <w:rsid w:val="7340412B"/>
    <w:rsid w:val="73D42250"/>
    <w:rsid w:val="73FB87D9"/>
    <w:rsid w:val="75EF0FBA"/>
    <w:rsid w:val="7607C293"/>
    <w:rsid w:val="76DFA4E8"/>
    <w:rsid w:val="778720BD"/>
    <w:rsid w:val="77A7D615"/>
    <w:rsid w:val="77FF366A"/>
    <w:rsid w:val="77FF8C96"/>
    <w:rsid w:val="77FFA8F9"/>
    <w:rsid w:val="78E4121A"/>
    <w:rsid w:val="795A269F"/>
    <w:rsid w:val="7976604B"/>
    <w:rsid w:val="79F3BC78"/>
    <w:rsid w:val="7A5B6CAA"/>
    <w:rsid w:val="7A7A6DB6"/>
    <w:rsid w:val="7A9314AC"/>
    <w:rsid w:val="7B3971E0"/>
    <w:rsid w:val="7B4F6850"/>
    <w:rsid w:val="7BABD5C4"/>
    <w:rsid w:val="7BB12055"/>
    <w:rsid w:val="7BBFADBA"/>
    <w:rsid w:val="7BFF492D"/>
    <w:rsid w:val="7C631402"/>
    <w:rsid w:val="7C978C63"/>
    <w:rsid w:val="7CA35AD0"/>
    <w:rsid w:val="7CAD1B75"/>
    <w:rsid w:val="7CDF8BC3"/>
    <w:rsid w:val="7CE814AD"/>
    <w:rsid w:val="7CEB72A5"/>
    <w:rsid w:val="7D18750B"/>
    <w:rsid w:val="7DB86B5D"/>
    <w:rsid w:val="7DDFDC39"/>
    <w:rsid w:val="7E140770"/>
    <w:rsid w:val="7E5D92FB"/>
    <w:rsid w:val="7E5E6928"/>
    <w:rsid w:val="7EF51D64"/>
    <w:rsid w:val="7EFFF488"/>
    <w:rsid w:val="7F3564C6"/>
    <w:rsid w:val="7F574612"/>
    <w:rsid w:val="7F7F4920"/>
    <w:rsid w:val="7FB7C299"/>
    <w:rsid w:val="7FBFFB92"/>
    <w:rsid w:val="7FD76ACB"/>
    <w:rsid w:val="7FD89DA2"/>
    <w:rsid w:val="7FDBD805"/>
    <w:rsid w:val="7FDEC14D"/>
    <w:rsid w:val="7FDF8B76"/>
    <w:rsid w:val="7FDFE693"/>
    <w:rsid w:val="7FEFB5DD"/>
    <w:rsid w:val="7FEFBBD9"/>
    <w:rsid w:val="7FFD6A57"/>
    <w:rsid w:val="7FFDA7EC"/>
    <w:rsid w:val="7FFDEA1E"/>
    <w:rsid w:val="7FFEC1F6"/>
    <w:rsid w:val="7FFF2F52"/>
    <w:rsid w:val="8F7B4EC8"/>
    <w:rsid w:val="8FBD4480"/>
    <w:rsid w:val="8FF7AE96"/>
    <w:rsid w:val="955F5184"/>
    <w:rsid w:val="9F6311D7"/>
    <w:rsid w:val="9FF54399"/>
    <w:rsid w:val="A46D76C1"/>
    <w:rsid w:val="A7FF43C2"/>
    <w:rsid w:val="ABF66286"/>
    <w:rsid w:val="AD9E3F04"/>
    <w:rsid w:val="ADA70464"/>
    <w:rsid w:val="AFE97CD3"/>
    <w:rsid w:val="B1BF5C63"/>
    <w:rsid w:val="B1FF3A18"/>
    <w:rsid w:val="B3CDF284"/>
    <w:rsid w:val="B3E8107B"/>
    <w:rsid w:val="B5F66F24"/>
    <w:rsid w:val="B7F5200A"/>
    <w:rsid w:val="BABDA1AA"/>
    <w:rsid w:val="BB1B4BF1"/>
    <w:rsid w:val="BBE5FE68"/>
    <w:rsid w:val="BBFEB9C1"/>
    <w:rsid w:val="BDF7406A"/>
    <w:rsid w:val="BE6FD8DB"/>
    <w:rsid w:val="BEEF57C2"/>
    <w:rsid w:val="BF6D5596"/>
    <w:rsid w:val="BFBEBB2C"/>
    <w:rsid w:val="BFC68935"/>
    <w:rsid w:val="BFDD0F1D"/>
    <w:rsid w:val="BFDDD096"/>
    <w:rsid w:val="C5B3F496"/>
    <w:rsid w:val="C96F3E49"/>
    <w:rsid w:val="CBBF14F3"/>
    <w:rsid w:val="CBE5DCF2"/>
    <w:rsid w:val="CCFCC735"/>
    <w:rsid w:val="CEEB8A74"/>
    <w:rsid w:val="D37FB642"/>
    <w:rsid w:val="D7F99798"/>
    <w:rsid w:val="D7FF400C"/>
    <w:rsid w:val="DBED1CD4"/>
    <w:rsid w:val="DBFBB328"/>
    <w:rsid w:val="DDD7453A"/>
    <w:rsid w:val="DE3E1FD7"/>
    <w:rsid w:val="DFBE1B79"/>
    <w:rsid w:val="DFCF1FEC"/>
    <w:rsid w:val="DFCFE6EC"/>
    <w:rsid w:val="DFE75A3D"/>
    <w:rsid w:val="DFED2117"/>
    <w:rsid w:val="DFEF594B"/>
    <w:rsid w:val="DFF3F960"/>
    <w:rsid w:val="DFFE0D61"/>
    <w:rsid w:val="E35C4B3C"/>
    <w:rsid w:val="E3A781CA"/>
    <w:rsid w:val="E5DFAB50"/>
    <w:rsid w:val="E6FC647F"/>
    <w:rsid w:val="EBFBC8F1"/>
    <w:rsid w:val="EBFDF757"/>
    <w:rsid w:val="ED758B5D"/>
    <w:rsid w:val="ED76A08D"/>
    <w:rsid w:val="EDBDD81F"/>
    <w:rsid w:val="EDFDB542"/>
    <w:rsid w:val="EF0FCF96"/>
    <w:rsid w:val="EF95E20F"/>
    <w:rsid w:val="EFAF7DFF"/>
    <w:rsid w:val="EFAFB283"/>
    <w:rsid w:val="EFBDA38B"/>
    <w:rsid w:val="EFEE9A76"/>
    <w:rsid w:val="F1BF6FBC"/>
    <w:rsid w:val="F1F9A9B5"/>
    <w:rsid w:val="F3779FC2"/>
    <w:rsid w:val="F3D5C239"/>
    <w:rsid w:val="F3F37DF4"/>
    <w:rsid w:val="F3F96DE6"/>
    <w:rsid w:val="F3FBC54A"/>
    <w:rsid w:val="F47BB68A"/>
    <w:rsid w:val="F47F523E"/>
    <w:rsid w:val="F69FD6B0"/>
    <w:rsid w:val="F7E7F921"/>
    <w:rsid w:val="F7F7AC6A"/>
    <w:rsid w:val="F7FD93B9"/>
    <w:rsid w:val="F8FDC560"/>
    <w:rsid w:val="FABF64A5"/>
    <w:rsid w:val="FABF7411"/>
    <w:rsid w:val="FBA53981"/>
    <w:rsid w:val="FBE4457E"/>
    <w:rsid w:val="FBFC558A"/>
    <w:rsid w:val="FBFF71AC"/>
    <w:rsid w:val="FBFFEA2B"/>
    <w:rsid w:val="FCCB27AA"/>
    <w:rsid w:val="FCFF8F4B"/>
    <w:rsid w:val="FD9595AD"/>
    <w:rsid w:val="FDE67C9C"/>
    <w:rsid w:val="FDF9DD9A"/>
    <w:rsid w:val="FDFF2821"/>
    <w:rsid w:val="FDFFA696"/>
    <w:rsid w:val="FE7FB02B"/>
    <w:rsid w:val="FEBD0232"/>
    <w:rsid w:val="FED5A77F"/>
    <w:rsid w:val="FEDFD193"/>
    <w:rsid w:val="FEE7097E"/>
    <w:rsid w:val="FEEF8230"/>
    <w:rsid w:val="FEF1F1BE"/>
    <w:rsid w:val="FEF99316"/>
    <w:rsid w:val="FEFB20CB"/>
    <w:rsid w:val="FEFD95B3"/>
    <w:rsid w:val="FEFE4E93"/>
    <w:rsid w:val="FEFFA483"/>
    <w:rsid w:val="FF29B32D"/>
    <w:rsid w:val="FF2E6944"/>
    <w:rsid w:val="FF5F9D52"/>
    <w:rsid w:val="FF7A0B6A"/>
    <w:rsid w:val="FF7B6DC2"/>
    <w:rsid w:val="FF7FFF75"/>
    <w:rsid w:val="FF921F59"/>
    <w:rsid w:val="FFBB1E09"/>
    <w:rsid w:val="FFBB6A0C"/>
    <w:rsid w:val="FFBD894B"/>
    <w:rsid w:val="FFBF33B3"/>
    <w:rsid w:val="FFD09362"/>
    <w:rsid w:val="FFD1DA08"/>
    <w:rsid w:val="FFD7DEDD"/>
    <w:rsid w:val="FFDE369F"/>
    <w:rsid w:val="FFEF98C9"/>
    <w:rsid w:val="FFEFCE62"/>
    <w:rsid w:val="FFF973B0"/>
    <w:rsid w:val="FFFB4F05"/>
    <w:rsid w:val="FFFEC8F5"/>
    <w:rsid w:val="FFFEF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3">
    <w:name w:val="Normal Indent"/>
    <w:basedOn w:val="1"/>
    <w:next w:val="1"/>
    <w:qFormat/>
    <w:uiPriority w:val="0"/>
    <w:pPr>
      <w:spacing w:before="156" w:beforeLines="50" w:line="360" w:lineRule="auto"/>
      <w:ind w:firstLine="480" w:firstLineChars="200"/>
    </w:pPr>
    <w:rPr>
      <w:rFonts w:eastAsia="仿宋"/>
      <w:sz w:val="24"/>
      <w:szCs w:val="23"/>
      <w:lang w:eastAsia="ar-SA"/>
    </w:rPr>
  </w:style>
  <w:style w:type="paragraph" w:styleId="4">
    <w:name w:val="Document Map"/>
    <w:basedOn w:val="1"/>
    <w:link w:val="19"/>
    <w:qFormat/>
    <w:uiPriority w:val="0"/>
    <w:rPr>
      <w:rFonts w:ascii="宋体" w:eastAsia="宋体"/>
      <w:sz w:val="18"/>
      <w:szCs w:val="18"/>
    </w:r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12">
    <w:name w:val="Body Text First Indent 2"/>
    <w:basedOn w:val="6"/>
    <w:unhideWhenUsed/>
    <w:qFormat/>
    <w:uiPriority w:val="99"/>
    <w:pPr>
      <w:ind w:firstLine="420" w:firstLineChars="20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paragraph" w:customStyle="1" w:styleId="17">
    <w:name w:val="四号正文"/>
    <w:basedOn w:val="1"/>
    <w:link w:val="18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character" w:customStyle="1" w:styleId="18">
    <w:name w:val="四号正文 Char"/>
    <w:basedOn w:val="15"/>
    <w:link w:val="17"/>
    <w:qFormat/>
    <w:uiPriority w:val="0"/>
    <w:rPr>
      <w:rFonts w:ascii="??" w:hAnsi="??" w:eastAsia="宋体" w:cs="宋体"/>
      <w:color w:val="000000"/>
      <w:sz w:val="28"/>
      <w:szCs w:val="21"/>
      <w:lang w:val="en-US" w:eastAsia="zh-CN" w:bidi="ar-SA"/>
    </w:rPr>
  </w:style>
  <w:style w:type="character" w:customStyle="1" w:styleId="19">
    <w:name w:val="文档结构图 Char"/>
    <w:basedOn w:val="15"/>
    <w:link w:val="4"/>
    <w:qFormat/>
    <w:uiPriority w:val="0"/>
    <w:rPr>
      <w:rFonts w:ascii="宋体"/>
      <w:kern w:val="2"/>
      <w:sz w:val="18"/>
      <w:szCs w:val="18"/>
    </w:rPr>
  </w:style>
  <w:style w:type="paragraph" w:customStyle="1" w:styleId="20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1">
    <w:name w:val="页脚 Char"/>
    <w:basedOn w:val="15"/>
    <w:link w:val="8"/>
    <w:qFormat/>
    <w:uiPriority w:val="99"/>
    <w:rPr>
      <w:kern w:val="2"/>
      <w:sz w:val="18"/>
      <w:szCs w:val="18"/>
    </w:rPr>
  </w:style>
  <w:style w:type="character" w:customStyle="1" w:styleId="22">
    <w:name w:val="font3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51"/>
    <w:basedOn w:val="15"/>
    <w:qFormat/>
    <w:uiPriority w:val="0"/>
    <w:rPr>
      <w:rFonts w:hint="default"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4">
    <w:name w:val="font01"/>
    <w:basedOn w:val="15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5">
    <w:name w:val="font41"/>
    <w:basedOn w:val="15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PSZX</Company>
  <Pages>2</Pages>
  <Words>56</Words>
  <Characters>323</Characters>
  <Lines>2</Lines>
  <Paragraphs>1</Paragraphs>
  <TotalTime>34</TotalTime>
  <ScaleCrop>false</ScaleCrop>
  <LinksUpToDate>false</LinksUpToDate>
  <CharactersWithSpaces>378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2019-05-29T11:06:00Z</dcterms:created>
  <dc:creator>陈萍</dc:creator>
  <cp:lastModifiedBy>user</cp:lastModifiedBy>
  <cp:lastPrinted>2024-07-26T00:37:00Z</cp:lastPrinted>
  <dcterms:modified xsi:type="dcterms:W3CDTF">2025-04-09T16:55:31Z</dcterms:modified>
  <dc:title>区域性就业培训基地建设项目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A51A36801428E9B041879466C62AECE8</vt:lpwstr>
  </property>
</Properties>
</file>