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keepNext w:val="0"/>
        <w:keepLines w:val="0"/>
        <w:pageBreakBefore w:val="0"/>
        <w:widowControl w:val="0"/>
        <w:kinsoku/>
        <w:wordWrap/>
        <w:overflowPunct/>
        <w:topLinePunct w:val="0"/>
        <w:autoSpaceDE/>
        <w:autoSpaceDN/>
        <w:bidi w:val="0"/>
        <w:spacing w:line="578" w:lineRule="exact"/>
        <w:ind w:left="0"/>
        <w:jc w:val="both"/>
        <w:textAlignment w:val="auto"/>
        <w:rPr>
          <w:rFonts w:hint="eastAsia" w:asci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78" w:lineRule="exact"/>
        <w:ind w:left="0"/>
        <w:jc w:val="center"/>
        <w:textAlignment w:val="auto"/>
        <w:rPr>
          <w:rFonts w:hint="eastAsia" w:ascii="方正小标宋简体" w:eastAsia="方正小标宋简体" w:cs="方正小标宋简体"/>
          <w:color w:val="auto"/>
          <w:kern w:val="2"/>
          <w:sz w:val="44"/>
          <w:szCs w:val="44"/>
          <w:highlight w:val="none"/>
          <w:lang w:val="en-US" w:eastAsia="zh-CN"/>
        </w:rPr>
      </w:pPr>
      <w:r>
        <w:rPr>
          <w:rFonts w:hint="eastAsia" w:ascii="方正小标宋简体" w:eastAsia="方正小标宋简体" w:cs="方正小标宋简体"/>
          <w:color w:val="auto"/>
          <w:kern w:val="2"/>
          <w:sz w:val="44"/>
          <w:szCs w:val="44"/>
          <w:highlight w:val="none"/>
          <w:lang w:val="en-US" w:eastAsia="zh-CN"/>
        </w:rPr>
        <w:t>全县人才培训、培养培育专项工作绩效评价</w:t>
      </w:r>
    </w:p>
    <w:p>
      <w:pPr>
        <w:pStyle w:val="14"/>
        <w:keepNext w:val="0"/>
        <w:keepLines w:val="0"/>
        <w:pageBreakBefore w:val="0"/>
        <w:widowControl w:val="0"/>
        <w:kinsoku/>
        <w:wordWrap/>
        <w:overflowPunct/>
        <w:topLinePunct w:val="0"/>
        <w:autoSpaceDE/>
        <w:autoSpaceDN/>
        <w:bidi w:val="0"/>
        <w:spacing w:line="578" w:lineRule="exact"/>
        <w:ind w:left="0" w:firstLine="640"/>
        <w:jc w:val="center"/>
        <w:textAlignment w:val="auto"/>
        <w:rPr>
          <w:rFonts w:asci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eastAsia="黑体"/>
          <w:highlight w:val="none"/>
          <w:lang w:val="zh-CN"/>
        </w:rPr>
      </w:pPr>
      <w:r>
        <w:rPr>
          <w:rFonts w:hint="eastAsia" w:ascii="黑体" w:eastAsia="黑体"/>
          <w:highlight w:val="none"/>
        </w:rPr>
        <w:t>一、</w:t>
      </w:r>
      <w:r>
        <w:rPr>
          <w:rFonts w:hint="eastAsia" w:ascii="黑体" w:eastAsia="黑体"/>
          <w:highlight w:val="none"/>
          <w:lang w:val="zh-CN"/>
        </w:rPr>
        <w:t>项目概况</w:t>
      </w:r>
    </w:p>
    <w:p>
      <w:pPr>
        <w:adjustRightInd w:val="0"/>
        <w:snapToGrid w:val="0"/>
        <w:spacing w:line="560" w:lineRule="exact"/>
        <w:ind w:firstLine="642" w:firstLineChars="200"/>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（一）设立背景及基本情况。</w:t>
      </w:r>
    </w:p>
    <w:p>
      <w:pPr>
        <w:keepNext w:val="0"/>
        <w:keepLines w:val="0"/>
        <w:pageBreakBefore w:val="0"/>
        <w:widowControl w:val="0"/>
        <w:tabs>
          <w:tab w:val="left" w:pos="0"/>
        </w:tabs>
        <w:kinsoku/>
        <w:wordWrap/>
        <w:overflowPunct/>
        <w:topLinePunct w:val="0"/>
        <w:autoSpaceDE/>
        <w:autoSpaceDN/>
        <w:bidi w:val="0"/>
        <w:adjustRightInd w:val="0"/>
        <w:snapToGrid w:val="0"/>
        <w:spacing w:line="560" w:lineRule="exact"/>
        <w:ind w:left="0" w:firstLine="640" w:firstLineChars="200"/>
        <w:textAlignment w:val="auto"/>
        <w:rPr>
          <w:rFonts w:hint="eastAsia" w:ascii="仿宋_GB2312" w:eastAsia="仿宋_GB2312" w:cs="仿宋_GB2312"/>
          <w:sz w:val="32"/>
          <w:szCs w:val="32"/>
          <w:lang w:eastAsia="zh-CN"/>
        </w:rPr>
      </w:pPr>
      <w:r>
        <w:rPr>
          <w:rFonts w:hint="eastAsia" w:ascii="仿宋_GB2312" w:eastAsia="仿宋_GB2312" w:cs="仿宋_GB2312"/>
          <w:sz w:val="32"/>
          <w:szCs w:val="32"/>
          <w:lang w:eastAsia="zh-CN"/>
        </w:rPr>
        <w:t>根据中共中央</w:t>
      </w:r>
      <w:r>
        <w:rPr>
          <w:rFonts w:hint="eastAsia" w:ascii="仿宋_GB2312" w:eastAsia="仿宋_GB2312" w:cs="仿宋_GB2312"/>
          <w:sz w:val="32"/>
          <w:szCs w:val="32"/>
        </w:rPr>
        <w:t>《</w:t>
      </w:r>
      <w:r>
        <w:rPr>
          <w:rFonts w:hint="eastAsia" w:ascii="仿宋_GB2312" w:eastAsia="仿宋_GB2312" w:cs="仿宋_GB2312"/>
          <w:sz w:val="32"/>
          <w:szCs w:val="32"/>
          <w:lang w:eastAsia="zh-CN"/>
        </w:rPr>
        <w:t>干部教育培训工作条例</w:t>
      </w:r>
      <w:r>
        <w:rPr>
          <w:rFonts w:hint="eastAsia" w:ascii="仿宋_GB2312" w:eastAsia="仿宋_GB2312" w:cs="仿宋_GB2312"/>
          <w:sz w:val="32"/>
          <w:szCs w:val="32"/>
        </w:rPr>
        <w:t>》精神，</w:t>
      </w:r>
      <w:r>
        <w:rPr>
          <w:rFonts w:hint="eastAsia" w:ascii="仿宋_GB2312" w:eastAsia="仿宋_GB2312" w:cs="仿宋_GB2312"/>
          <w:sz w:val="32"/>
          <w:szCs w:val="32"/>
          <w:lang w:eastAsia="zh-CN"/>
        </w:rPr>
        <w:t>推动干部教育培训工作科学化、制度化、规范化，培养适应高素质干部队伍。党员干部及干部人才工作是建设高素质干部队伍的先导性、基础性、战略性工</w:t>
      </w:r>
      <w:bookmarkStart w:id="1" w:name="_GoBack"/>
      <w:bookmarkEnd w:id="1"/>
      <w:r>
        <w:rPr>
          <w:rFonts w:hint="eastAsia" w:ascii="仿宋_GB2312" w:eastAsia="仿宋_GB2312" w:cs="仿宋_GB2312"/>
          <w:sz w:val="32"/>
          <w:szCs w:val="32"/>
          <w:lang w:eastAsia="zh-CN"/>
        </w:rPr>
        <w:t>程，在推进中国特色社会主义伟大事业和党的建设新的伟大工程中具有不可替代的重要作用。</w:t>
      </w:r>
    </w:p>
    <w:p>
      <w:pPr>
        <w:keepNext w:val="0"/>
        <w:keepLines w:val="0"/>
        <w:pageBreakBefore w:val="0"/>
        <w:widowControl w:val="0"/>
        <w:numPr>
          <w:ilvl w:val="0"/>
          <w:numId w:val="1"/>
        </w:numPr>
        <w:kinsoku/>
        <w:wordWrap/>
        <w:overflowPunct/>
        <w:topLinePunct w:val="0"/>
        <w:autoSpaceDE/>
        <w:autoSpaceDN/>
        <w:bidi w:val="0"/>
        <w:adjustRightInd w:val="0"/>
        <w:snapToGrid w:val="0"/>
        <w:spacing w:line="578" w:lineRule="exact"/>
        <w:ind w:left="0" w:firstLine="642" w:firstLineChars="200"/>
        <w:textAlignment w:val="auto"/>
        <w:rPr>
          <w:rFonts w:hint="eastAsia" w:ascii="楷体_GB2312" w:eastAsia="楷体_GB2312" w:cs="Times New Roman"/>
          <w:b/>
          <w:color w:val="auto"/>
          <w:sz w:val="32"/>
          <w:szCs w:val="32"/>
          <w:highlight w:val="none"/>
          <w:u w:val="none"/>
          <w:lang w:val="en-US" w:eastAsia="zh-CN"/>
        </w:rPr>
      </w:pPr>
      <w:r>
        <w:rPr>
          <w:rFonts w:ascii="楷体_GB2312" w:eastAsia="楷体_GB2312" w:cs="Times New Roman"/>
          <w:b/>
          <w:color w:val="auto"/>
          <w:sz w:val="32"/>
          <w:szCs w:val="32"/>
          <w:highlight w:val="none"/>
          <w:u w:val="none"/>
          <w:lang w:val="en-US" w:eastAsia="zh-CN"/>
        </w:rPr>
        <w:t>实施目的及支持方向</w:t>
      </w:r>
      <w:r>
        <w:rPr>
          <w:rFonts w:hint="eastAsia" w:ascii="楷体_GB2312" w:eastAsia="楷体_GB2312" w:cs="Times New Roman"/>
          <w:b/>
          <w:color w:val="auto"/>
          <w:sz w:val="32"/>
          <w:szCs w:val="32"/>
          <w:highlight w:val="none"/>
          <w:u w:val="none"/>
          <w:lang w:val="en-US" w:eastAsia="zh-CN"/>
        </w:rPr>
        <w:t>。</w:t>
      </w:r>
    </w:p>
    <w:p>
      <w:pPr>
        <w:keepNext w:val="0"/>
        <w:keepLines w:val="0"/>
        <w:pageBreakBefore w:val="0"/>
        <w:widowControl w:val="0"/>
        <w:tabs>
          <w:tab w:val="left" w:pos="0"/>
        </w:tabs>
        <w:kinsoku/>
        <w:wordWrap/>
        <w:overflowPunct/>
        <w:topLinePunct w:val="0"/>
        <w:autoSpaceDE/>
        <w:autoSpaceDN/>
        <w:bidi w:val="0"/>
        <w:adjustRightInd w:val="0"/>
        <w:snapToGrid w:val="0"/>
        <w:spacing w:line="560" w:lineRule="exact"/>
        <w:ind w:left="0" w:firstLine="640" w:firstLineChars="200"/>
        <w:textAlignment w:val="auto"/>
        <w:rPr>
          <w:rFonts w:hint="eastAsia" w:ascii="仿宋_GB2312" w:eastAsia="仿宋_GB2312" w:cs="仿宋_GB2312"/>
          <w:sz w:val="32"/>
          <w:szCs w:val="32"/>
          <w:lang w:val="zh-CN" w:eastAsia="zh-CN"/>
        </w:rPr>
      </w:pPr>
      <w:r>
        <w:rPr>
          <w:rFonts w:hint="eastAsia" w:ascii="仿宋_GB2312" w:eastAsia="仿宋_GB2312" w:cs="仿宋_GB2312"/>
          <w:sz w:val="32"/>
          <w:szCs w:val="32"/>
          <w:lang w:val="en-US" w:eastAsia="zh-CN"/>
        </w:rPr>
        <w:t>项目资金用于一是全县干部人才培训工作。二是</w:t>
      </w:r>
      <w:r>
        <w:rPr>
          <w:rFonts w:hint="eastAsia" w:ascii="仿宋_GB2312" w:cs="仿宋_GB2312"/>
          <w:sz w:val="32"/>
          <w:szCs w:val="32"/>
          <w:lang w:val="en-US" w:eastAsia="zh-CN"/>
        </w:rPr>
        <w:t>人才</w:t>
      </w:r>
      <w:r>
        <w:rPr>
          <w:rFonts w:hint="eastAsia" w:ascii="仿宋_GB2312" w:eastAsia="仿宋_GB2312" w:cs="仿宋_GB2312"/>
          <w:sz w:val="32"/>
          <w:szCs w:val="32"/>
          <w:lang w:val="en-US" w:eastAsia="zh-CN"/>
        </w:rPr>
        <w:t>培养培育</w:t>
      </w:r>
      <w:r>
        <w:rPr>
          <w:rFonts w:hint="eastAsia" w:ascii="仿宋_GB2312" w:cs="仿宋_GB2312"/>
          <w:sz w:val="32"/>
          <w:szCs w:val="32"/>
          <w:lang w:val="en-US" w:eastAsia="zh-CN"/>
        </w:rPr>
        <w:t>，</w:t>
      </w:r>
      <w:r>
        <w:rPr>
          <w:rFonts w:hint="eastAsia" w:ascii="仿宋_GB2312" w:eastAsia="仿宋_GB2312" w:cs="仿宋_GB2312"/>
          <w:sz w:val="32"/>
          <w:szCs w:val="32"/>
          <w:lang w:val="en-US" w:eastAsia="zh-CN"/>
        </w:rPr>
        <w:t>落实干部人才政策性补助。</w:t>
      </w:r>
      <w:r>
        <w:rPr>
          <w:rFonts w:hint="eastAsia" w:ascii="仿宋_GB2312" w:cs="仿宋_GB2312"/>
          <w:sz w:val="32"/>
          <w:szCs w:val="32"/>
          <w:lang w:val="en-US" w:eastAsia="zh-CN"/>
        </w:rPr>
        <w:t>三是</w:t>
      </w:r>
      <w:r>
        <w:rPr>
          <w:rFonts w:ascii="仿宋_GB2312" w:cs="仿宋_GB2312"/>
          <w:sz w:val="32"/>
          <w:szCs w:val="32"/>
          <w:lang w:val="en-US" w:eastAsia="zh-CN"/>
        </w:rPr>
        <w:t>达古冰川</w:t>
      </w:r>
      <w:r>
        <w:rPr>
          <w:rFonts w:hint="eastAsia" w:ascii="仿宋_GB2312" w:cs="仿宋_GB2312"/>
          <w:sz w:val="32"/>
          <w:szCs w:val="32"/>
          <w:lang w:val="en-US" w:eastAsia="zh-CN"/>
        </w:rPr>
        <w:t>人才港基地建设项目。</w:t>
      </w:r>
    </w:p>
    <w:p>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left="0" w:firstLine="642" w:firstLineChars="200"/>
        <w:contextualSpacing/>
        <w:jc w:val="left"/>
        <w:textAlignment w:val="auto"/>
        <w:rPr>
          <w:rFonts w:hint="eastAsia" w:ascii="楷体_GB2312" w:eastAsia="楷体_GB2312" w:cs="Times New Roman"/>
          <w:b/>
          <w:color w:val="auto"/>
          <w:sz w:val="32"/>
          <w:szCs w:val="32"/>
          <w:highlight w:val="none"/>
          <w:u w:val="none"/>
          <w:lang w:val="zh-CN" w:eastAsia="zh-CN"/>
        </w:rPr>
      </w:pPr>
      <w:r>
        <w:rPr>
          <w:rFonts w:ascii="楷体_GB2312" w:eastAsia="楷体_GB2312" w:cs="Times New Roman"/>
          <w:b/>
          <w:color w:val="auto"/>
          <w:sz w:val="32"/>
          <w:szCs w:val="32"/>
          <w:highlight w:val="none"/>
          <w:u w:val="none"/>
          <w:lang w:val="en-US" w:eastAsia="zh-CN"/>
        </w:rPr>
        <w:t>预算安排及分配管理</w:t>
      </w:r>
      <w:r>
        <w:rPr>
          <w:rFonts w:hint="eastAsia" w:ascii="楷体_GB2312"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textAlignment w:val="auto"/>
        <w:rPr>
          <w:rFonts w:hint="eastAsia" w:ascii="仿宋_GB2312" w:cs="仿宋_GB2312"/>
          <w:kern w:val="0"/>
          <w:sz w:val="32"/>
          <w:szCs w:val="32"/>
          <w:lang w:val="en-US" w:eastAsia="zh-CN"/>
        </w:rPr>
      </w:pPr>
      <w:r>
        <w:rPr>
          <w:rFonts w:hint="eastAsia" w:ascii="仿宋_GB2312" w:cs="仿宋_GB2312"/>
          <w:kern w:val="0"/>
          <w:sz w:val="32"/>
          <w:szCs w:val="32"/>
          <w:lang w:val="en-US" w:eastAsia="zh-CN"/>
        </w:rPr>
        <w:t>一是202</w:t>
      </w:r>
      <w:r>
        <w:rPr>
          <w:rFonts w:ascii="仿宋_GB2312" w:cs="仿宋_GB2312"/>
          <w:kern w:val="0"/>
          <w:sz w:val="32"/>
          <w:szCs w:val="32"/>
          <w:lang w:val="en-US" w:eastAsia="zh-CN"/>
        </w:rPr>
        <w:t>4</w:t>
      </w:r>
      <w:r>
        <w:rPr>
          <w:rFonts w:hint="eastAsia" w:ascii="仿宋_GB2312" w:cs="仿宋_GB2312"/>
          <w:kern w:val="0"/>
          <w:sz w:val="32"/>
          <w:szCs w:val="32"/>
          <w:lang w:val="en-US" w:eastAsia="zh-CN"/>
        </w:rPr>
        <w:t>年我部门收到人才专项资金共计</w:t>
      </w:r>
      <w:r>
        <w:rPr>
          <w:rFonts w:ascii="仿宋_GB2312" w:cs="仿宋_GB2312"/>
          <w:kern w:val="0"/>
          <w:sz w:val="32"/>
          <w:szCs w:val="32"/>
          <w:lang w:val="en-US" w:eastAsia="zh-CN"/>
        </w:rPr>
        <w:t>75.9</w:t>
      </w:r>
      <w:r>
        <w:rPr>
          <w:rFonts w:hint="eastAsia" w:ascii="仿宋_GB2312" w:cs="仿宋_GB2312"/>
          <w:kern w:val="0"/>
          <w:sz w:val="32"/>
          <w:szCs w:val="32"/>
          <w:lang w:val="en-US" w:eastAsia="zh-CN"/>
        </w:rPr>
        <w:t>万元（</w:t>
      </w:r>
      <w:r>
        <w:rPr>
          <w:rFonts w:ascii="仿宋_GB2312" w:cs="仿宋_GB2312"/>
          <w:kern w:val="0"/>
          <w:sz w:val="32"/>
          <w:szCs w:val="32"/>
          <w:lang w:val="en-US" w:eastAsia="zh-CN"/>
        </w:rPr>
        <w:t>人才陆惠根州级激励资金3</w:t>
      </w:r>
      <w:r>
        <w:rPr>
          <w:rFonts w:hint="eastAsia" w:ascii="仿宋_GB2312" w:cs="仿宋_GB2312"/>
          <w:kern w:val="0"/>
          <w:sz w:val="32"/>
          <w:szCs w:val="32"/>
          <w:lang w:val="en-US" w:eastAsia="zh-CN"/>
        </w:rPr>
        <w:t>万元、天府英才工程硕博进阿坝省级补助</w:t>
      </w:r>
      <w:r>
        <w:rPr>
          <w:rFonts w:ascii="仿宋_GB2312" w:cs="仿宋_GB2312"/>
          <w:kern w:val="0"/>
          <w:sz w:val="32"/>
          <w:szCs w:val="32"/>
          <w:lang w:val="en-US" w:eastAsia="zh-CN"/>
        </w:rPr>
        <w:t>15</w:t>
      </w:r>
      <w:r>
        <w:rPr>
          <w:rFonts w:hint="eastAsia" w:ascii="仿宋_GB2312" w:cs="仿宋_GB2312"/>
          <w:kern w:val="0"/>
          <w:sz w:val="32"/>
          <w:szCs w:val="32"/>
          <w:lang w:val="en-US" w:eastAsia="zh-CN"/>
        </w:rPr>
        <w:t>万元、选调生到村任职专项工作补助</w:t>
      </w:r>
      <w:r>
        <w:rPr>
          <w:rFonts w:ascii="仿宋_GB2312" w:cs="仿宋_GB2312"/>
          <w:kern w:val="0"/>
          <w:sz w:val="32"/>
          <w:szCs w:val="32"/>
          <w:lang w:val="en-US" w:eastAsia="zh-CN"/>
        </w:rPr>
        <w:t>41</w:t>
      </w:r>
      <w:r>
        <w:rPr>
          <w:rFonts w:hint="eastAsia" w:ascii="仿宋_GB2312" w:cs="仿宋_GB2312"/>
          <w:kern w:val="0"/>
          <w:sz w:val="32"/>
          <w:szCs w:val="32"/>
          <w:lang w:val="en-US" w:eastAsia="zh-CN"/>
        </w:rPr>
        <w:t>.9万元，千名紧缺专业人才顶岗培养计划生活补助1</w:t>
      </w:r>
      <w:r>
        <w:rPr>
          <w:rFonts w:ascii="仿宋_GB2312" w:cs="仿宋_GB2312"/>
          <w:kern w:val="0"/>
          <w:sz w:val="32"/>
          <w:szCs w:val="32"/>
          <w:lang w:val="en-US" w:eastAsia="zh-CN"/>
        </w:rPr>
        <w:t>5</w:t>
      </w:r>
      <w:r>
        <w:rPr>
          <w:rFonts w:hint="eastAsia" w:ascii="仿宋_GB2312" w:cs="仿宋_GB2312"/>
          <w:kern w:val="0"/>
          <w:sz w:val="32"/>
          <w:szCs w:val="32"/>
          <w:lang w:val="en-US" w:eastAsia="zh-CN"/>
        </w:rPr>
        <w:t>万元</w:t>
      </w:r>
      <w:r>
        <w:rPr>
          <w:rFonts w:ascii="仿宋_GB2312" w:cs="仿宋_GB2312"/>
          <w:kern w:val="0"/>
          <w:sz w:val="32"/>
          <w:szCs w:val="32"/>
          <w:lang w:val="en-US" w:eastAsia="zh-CN"/>
        </w:rPr>
        <w:t>，驻村干部风险金1万元</w:t>
      </w:r>
      <w:r>
        <w:rPr>
          <w:rFonts w:hint="eastAsia" w:ascii="仿宋_GB2312" w:cs="仿宋_GB2312"/>
          <w:kern w:val="0"/>
          <w:sz w:val="32"/>
          <w:szCs w:val="32"/>
          <w:lang w:val="en-US" w:eastAsia="zh-CN"/>
        </w:rPr>
        <w:t>）。二是浙江援建资金培训资金</w:t>
      </w:r>
      <w:r>
        <w:rPr>
          <w:rFonts w:ascii="仿宋_GB2312" w:cs="仿宋_GB2312"/>
          <w:kern w:val="0"/>
          <w:sz w:val="32"/>
          <w:szCs w:val="32"/>
          <w:lang w:val="en-US" w:eastAsia="zh-CN"/>
        </w:rPr>
        <w:t>黑水县人才智力支援项目</w:t>
      </w:r>
      <w:r>
        <w:rPr>
          <w:rFonts w:hint="eastAsia" w:ascii="仿宋_GB2312" w:cs="仿宋_GB2312"/>
          <w:kern w:val="0"/>
          <w:sz w:val="32"/>
          <w:szCs w:val="32"/>
          <w:lang w:val="en-US" w:eastAsia="zh-CN"/>
        </w:rPr>
        <w:t>175万元，</w:t>
      </w:r>
      <w:r>
        <w:rPr>
          <w:rFonts w:ascii="仿宋_GB2312" w:cs="仿宋_GB2312"/>
          <w:kern w:val="0"/>
          <w:sz w:val="32"/>
          <w:szCs w:val="32"/>
          <w:lang w:val="en-US" w:eastAsia="zh-CN"/>
        </w:rPr>
        <w:t>黑水县赴浙江</w:t>
      </w:r>
      <w:r>
        <w:rPr>
          <w:rFonts w:hint="eastAsia" w:ascii="仿宋_GB2312" w:cs="仿宋_GB2312"/>
          <w:kern w:val="0"/>
          <w:sz w:val="32"/>
          <w:szCs w:val="32"/>
          <w:lang w:val="en-US" w:eastAsia="zh-CN"/>
        </w:rPr>
        <w:t>交往交流交融</w:t>
      </w:r>
      <w:r>
        <w:rPr>
          <w:rFonts w:ascii="仿宋_GB2312" w:cs="仿宋_GB2312"/>
          <w:kern w:val="0"/>
          <w:sz w:val="32"/>
          <w:szCs w:val="32"/>
          <w:lang w:val="en-US" w:eastAsia="zh-CN"/>
        </w:rPr>
        <w:t>项目50万元，</w:t>
      </w:r>
      <w:r>
        <w:rPr>
          <w:rFonts w:hint="eastAsia" w:ascii="仿宋_GB2312" w:cs="仿宋_GB2312"/>
          <w:kern w:val="0"/>
          <w:sz w:val="32"/>
          <w:szCs w:val="32"/>
          <w:lang w:val="en-US" w:eastAsia="zh-CN"/>
        </w:rPr>
        <w:t>彭州援建培训资金30万元。三是</w:t>
      </w:r>
      <w:r>
        <w:rPr>
          <w:rFonts w:ascii="仿宋_GB2312" w:cs="仿宋_GB2312"/>
          <w:kern w:val="0"/>
          <w:sz w:val="32"/>
          <w:szCs w:val="32"/>
          <w:lang w:val="en-US" w:eastAsia="zh-CN"/>
        </w:rPr>
        <w:t>达古冰川</w:t>
      </w:r>
      <w:r>
        <w:rPr>
          <w:rFonts w:hint="eastAsia" w:ascii="仿宋_GB2312" w:cs="仿宋_GB2312"/>
          <w:kern w:val="0"/>
          <w:sz w:val="32"/>
          <w:szCs w:val="32"/>
          <w:lang w:val="en-US" w:eastAsia="zh-CN"/>
        </w:rPr>
        <w:t>人才港建设专项用于冰川保护人才港建设30万元。</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2" w:firstLineChars="200"/>
        <w:textAlignment w:val="auto"/>
        <w:rPr>
          <w:rFonts w:hint="eastAsia" w:ascii="楷体_GB2312" w:eastAsia="楷体_GB2312" w:cs="Times New Roman"/>
          <w:b/>
          <w:color w:val="auto"/>
          <w:sz w:val="32"/>
          <w:szCs w:val="32"/>
          <w:highlight w:val="none"/>
          <w:u w:val="none"/>
          <w:lang w:val="zh-CN" w:eastAsia="zh-CN"/>
        </w:rPr>
      </w:pPr>
      <w:r>
        <w:rPr>
          <w:rFonts w:hint="eastAsia" w:ascii="楷体_GB2312" w:eastAsia="楷体_GB2312" w:cs="Times New Roman"/>
          <w:b/>
          <w:color w:val="auto"/>
          <w:sz w:val="32"/>
          <w:szCs w:val="32"/>
          <w:highlight w:val="none"/>
          <w:u w:val="none"/>
          <w:lang w:val="zh-CN" w:eastAsia="zh-CN"/>
        </w:rPr>
        <w:t>（四）项目绩效目标设置。</w:t>
      </w:r>
    </w:p>
    <w:p>
      <w:pPr>
        <w:keepNext w:val="0"/>
        <w:keepLines w:val="0"/>
        <w:pageBreakBefore w:val="0"/>
        <w:widowControl w:val="0"/>
        <w:kinsoku/>
        <w:wordWrap/>
        <w:overflowPunct/>
        <w:topLinePunct w:val="0"/>
        <w:autoSpaceDE/>
        <w:autoSpaceDN/>
        <w:adjustRightInd w:val="0"/>
        <w:snapToGrid w:val="0"/>
        <w:spacing w:line="578" w:lineRule="exact"/>
        <w:ind w:left="0" w:firstLine="640" w:firstLineChars="200"/>
        <w:rPr>
          <w:rFonts w:ascii="仿宋_GB2312" w:cs="仿宋_GB2312"/>
          <w:kern w:val="0"/>
        </w:rPr>
      </w:pPr>
      <w:r>
        <w:rPr>
          <w:rFonts w:hint="eastAsia" w:ascii="仿宋_GB2312" w:eastAsia="仿宋_GB2312" w:cs="仿宋_GB2312"/>
          <w:kern w:val="0"/>
          <w:sz w:val="32"/>
          <w:szCs w:val="32"/>
          <w:lang w:val="zh-CN" w:eastAsia="zh-CN"/>
        </w:rPr>
        <w:t>根据项目实际开展情况，我部门设立数量指标为</w:t>
      </w:r>
      <w:r>
        <w:rPr>
          <w:rFonts w:hint="eastAsia" w:ascii="仿宋_GB2312" w:cs="仿宋_GB2312"/>
          <w:kern w:val="0"/>
          <w:sz w:val="32"/>
          <w:szCs w:val="32"/>
          <w:lang w:val="zh-CN" w:eastAsia="zh-CN"/>
        </w:rPr>
        <w:t>人才补助人数不低于</w:t>
      </w:r>
      <w:r>
        <w:rPr>
          <w:rFonts w:ascii="仿宋_GB2312" w:cs="仿宋_GB2312"/>
          <w:kern w:val="0"/>
          <w:sz w:val="32"/>
          <w:szCs w:val="32"/>
          <w:lang w:val="en-US" w:eastAsia="zh-CN"/>
        </w:rPr>
        <w:t>2</w:t>
      </w:r>
      <w:r>
        <w:rPr>
          <w:rFonts w:hint="eastAsia" w:ascii="仿宋_GB2312" w:cs="仿宋_GB2312"/>
          <w:kern w:val="0"/>
          <w:sz w:val="32"/>
          <w:szCs w:val="32"/>
          <w:lang w:val="en-US" w:eastAsia="zh-CN"/>
        </w:rPr>
        <w:t>0人，干训期数不低于</w:t>
      </w:r>
      <w:r>
        <w:rPr>
          <w:rFonts w:ascii="仿宋_GB2312" w:cs="仿宋_GB2312"/>
          <w:kern w:val="0"/>
          <w:sz w:val="32"/>
          <w:szCs w:val="32"/>
          <w:lang w:val="en-US" w:eastAsia="zh-CN"/>
        </w:rPr>
        <w:t>32</w:t>
      </w:r>
      <w:r>
        <w:rPr>
          <w:rFonts w:hint="eastAsia" w:ascii="仿宋_GB2312" w:cs="仿宋_GB2312"/>
          <w:kern w:val="0"/>
          <w:sz w:val="32"/>
          <w:szCs w:val="32"/>
          <w:lang w:val="en-US" w:eastAsia="zh-CN"/>
        </w:rPr>
        <w:t>期，干训惠及不少于</w:t>
      </w:r>
      <w:r>
        <w:rPr>
          <w:rFonts w:ascii="仿宋_GB2312" w:cs="仿宋_GB2312"/>
          <w:kern w:val="0"/>
          <w:sz w:val="32"/>
          <w:szCs w:val="32"/>
          <w:lang w:val="en-US" w:eastAsia="zh-CN"/>
        </w:rPr>
        <w:t>2</w:t>
      </w:r>
      <w:r>
        <w:rPr>
          <w:rFonts w:hint="eastAsia" w:ascii="仿宋_GB2312" w:cs="仿宋_GB2312"/>
          <w:kern w:val="0"/>
          <w:sz w:val="32"/>
          <w:szCs w:val="32"/>
          <w:lang w:val="en-US" w:eastAsia="zh-CN"/>
        </w:rPr>
        <w:t>800人次，</w:t>
      </w:r>
      <w:r>
        <w:rPr>
          <w:rFonts w:ascii="仿宋_GB2312" w:cs="仿宋_GB2312"/>
          <w:kern w:val="0"/>
          <w:sz w:val="32"/>
          <w:szCs w:val="32"/>
          <w:lang w:val="en-US" w:eastAsia="zh-CN"/>
        </w:rPr>
        <w:t>派出90名左右干部到浙江交流学习考察，</w:t>
      </w:r>
      <w:r>
        <w:rPr>
          <w:rFonts w:hint="eastAsia" w:ascii="仿宋_GB2312" w:cs="仿宋_GB2312"/>
          <w:kern w:val="0"/>
          <w:sz w:val="32"/>
          <w:szCs w:val="32"/>
          <w:lang w:val="en-US" w:eastAsia="zh-CN"/>
        </w:rPr>
        <w:t>人才港建设补助基地1个；质量</w:t>
      </w:r>
      <w:r>
        <w:rPr>
          <w:rFonts w:hint="eastAsia" w:ascii="仿宋_GB2312" w:eastAsia="仿宋_GB2312" w:cs="仿宋_GB2312"/>
          <w:kern w:val="0"/>
          <w:sz w:val="32"/>
          <w:szCs w:val="32"/>
          <w:lang w:val="en-US" w:eastAsia="zh-CN"/>
        </w:rPr>
        <w:t>指标为</w:t>
      </w:r>
      <w:r>
        <w:rPr>
          <w:rFonts w:hint="eastAsia" w:ascii="仿宋_GB2312" w:cs="仿宋_GB2312"/>
          <w:kern w:val="0"/>
          <w:sz w:val="32"/>
          <w:szCs w:val="32"/>
          <w:lang w:val="en-US" w:eastAsia="zh-CN"/>
        </w:rPr>
        <w:t>培训好频率大于98%、组织培养的人才促进地方人才经济发发展收获支持率大于9</w:t>
      </w:r>
      <w:r>
        <w:rPr>
          <w:rFonts w:ascii="仿宋_GB2312" w:cs="仿宋_GB2312"/>
          <w:kern w:val="0"/>
          <w:sz w:val="32"/>
          <w:szCs w:val="32"/>
          <w:lang w:val="en-US" w:eastAsia="zh-CN"/>
        </w:rPr>
        <w:t>8</w:t>
      </w:r>
      <w:r>
        <w:rPr>
          <w:rFonts w:hint="eastAsia" w:ascii="仿宋_GB2312" w:cs="仿宋_GB2312"/>
          <w:kern w:val="0"/>
          <w:sz w:val="32"/>
          <w:szCs w:val="32"/>
          <w:lang w:val="en-US" w:eastAsia="zh-CN"/>
        </w:rPr>
        <w:t>%、带动基层发展受好评率</w:t>
      </w:r>
      <w:r>
        <w:rPr>
          <w:rFonts w:ascii="仿宋_GB2312" w:cs="仿宋_GB2312"/>
          <w:kern w:val="0"/>
          <w:sz w:val="32"/>
          <w:szCs w:val="32"/>
          <w:lang w:val="en-US" w:eastAsia="zh-CN"/>
        </w:rPr>
        <w:t>98</w:t>
      </w:r>
      <w:r>
        <w:rPr>
          <w:rFonts w:hint="eastAsia" w:ascii="仿宋_GB2312" w:cs="仿宋_GB2312"/>
          <w:kern w:val="0"/>
          <w:sz w:val="32"/>
          <w:szCs w:val="32"/>
          <w:lang w:val="en-US" w:eastAsia="zh-CN"/>
        </w:rPr>
        <w:t>%；社会效益指标为培训活动成功率和好评率100%；满意度指标为服务对象满意度达100%；时效指标为12月前支付完毕；经济指标为补助标准（硕博进阿坝省级安家费5万元/人，县级10万元/人、专业人才顶岗培养生活补助5000元/月、选调生工作补助4.1万/人，人才港基地保护1个补助30万元）。</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eastAsia="黑体"/>
          <w:highlight w:val="none"/>
          <w:lang w:eastAsia="zh-CN"/>
        </w:rPr>
      </w:pPr>
      <w:r>
        <w:rPr>
          <w:rFonts w:hint="eastAsia" w:ascii="黑体" w:eastAsia="黑体"/>
          <w:highlight w:val="none"/>
        </w:rPr>
        <w:t>二、</w:t>
      </w:r>
      <w:r>
        <w:rPr>
          <w:rFonts w:hint="eastAsia" w:ascii="黑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eastAsia="仿宋_GB2312" w:cs="Times New Roman"/>
          <w:szCs w:val="32"/>
        </w:rPr>
      </w:pPr>
      <w:r>
        <w:rPr>
          <w:rFonts w:eastAsia="仿宋_GB2312" w:cs="Times New Roman"/>
          <w:szCs w:val="32"/>
        </w:rPr>
        <w:t>通过</w:t>
      </w:r>
      <w:r>
        <w:rPr>
          <w:rFonts w:hint="eastAsia" w:cs="Times New Roman"/>
          <w:szCs w:val="32"/>
          <w:lang w:eastAsia="zh-CN"/>
        </w:rPr>
        <w:t>项目</w:t>
      </w:r>
      <w:r>
        <w:rPr>
          <w:rFonts w:hint="eastAsia" w:eastAsia="仿宋_GB2312" w:cs="Times New Roman"/>
          <w:szCs w:val="32"/>
        </w:rPr>
        <w:t>绩效</w:t>
      </w:r>
      <w:r>
        <w:rPr>
          <w:rFonts w:hint="eastAsia" w:cs="Times New Roman"/>
          <w:szCs w:val="32"/>
          <w:lang w:eastAsia="zh-CN"/>
        </w:rPr>
        <w:t>自评检查资金投入合理性和项目效益是否达到预期效果</w:t>
      </w:r>
      <w:r>
        <w:rPr>
          <w:rFonts w:cs="Times New Roman"/>
          <w:szCs w:val="32"/>
          <w:lang w:eastAsia="zh-CN"/>
        </w:rPr>
        <w:t>，资金是否安全使用</w:t>
      </w:r>
      <w:r>
        <w:rPr>
          <w:rFonts w:hint="eastAsia" w:cs="Times New Roman"/>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firstLine="642" w:firstLineChars="20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textAlignment w:val="auto"/>
        <w:rPr>
          <w:rFonts w:hint="eastAsia" w:ascii="仿宋_GB2312" w:cs="仿宋_GB2312"/>
          <w:kern w:val="0"/>
          <w:sz w:val="32"/>
          <w:szCs w:val="32"/>
          <w:lang w:val="en-US" w:eastAsia="zh-CN"/>
        </w:rPr>
      </w:pPr>
      <w:r>
        <w:rPr>
          <w:rFonts w:hint="eastAsia" w:ascii="仿宋_GB2312" w:cs="仿宋_GB2312"/>
          <w:kern w:val="0"/>
          <w:sz w:val="32"/>
          <w:szCs w:val="32"/>
          <w:lang w:val="en-US" w:eastAsia="zh-CN"/>
        </w:rPr>
        <w:t>项目按照上级相关政策性文件合理规划和决策，资金拨付按照标准和实际需要符合财务规定和资金管理要求。重点评价资金是否按照规定用途、适用范围进行拨付，项目是否完成预期目标。</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2" w:firstLineChars="20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textAlignment w:val="auto"/>
        <w:outlineLvl w:val="9"/>
        <w:rPr>
          <w:rFonts w:hint="eastAsia" w:cs="Times New Roman"/>
          <w:szCs w:val="32"/>
          <w:lang w:val="zh-CN" w:eastAsia="zh-CN"/>
        </w:rPr>
      </w:pPr>
      <w:r>
        <w:rPr>
          <w:rFonts w:hint="eastAsia" w:cs="Times New Roman"/>
          <w:szCs w:val="32"/>
          <w:lang w:val="zh-CN" w:eastAsia="zh-CN"/>
        </w:rPr>
        <w:t>按照指标体系通过对人员补助经费情况自查进行自评，</w:t>
      </w:r>
      <w:r>
        <w:rPr>
          <w:rFonts w:cs="Times New Roman"/>
          <w:szCs w:val="32"/>
          <w:lang w:val="zh-CN" w:eastAsia="zh-CN"/>
        </w:rPr>
        <w:t>部财务室</w:t>
      </w:r>
      <w:r>
        <w:rPr>
          <w:rFonts w:hint="eastAsia" w:cs="Times New Roman"/>
          <w:szCs w:val="32"/>
          <w:lang w:val="zh-CN" w:eastAsia="zh-CN"/>
        </w:rPr>
        <w:t>对干训资金支出培训情况进行</w:t>
      </w:r>
      <w:r>
        <w:rPr>
          <w:rFonts w:cs="Times New Roman"/>
          <w:szCs w:val="32"/>
          <w:lang w:val="zh-CN" w:eastAsia="zh-CN"/>
        </w:rPr>
        <w:t>复核自查</w:t>
      </w:r>
      <w:r>
        <w:rPr>
          <w:rFonts w:hint="eastAsia" w:cs="Times New Roman"/>
          <w:szCs w:val="32"/>
          <w:lang w:val="zh-CN" w:eastAsia="zh-CN"/>
        </w:rPr>
        <w:t>评价。</w:t>
      </w:r>
    </w:p>
    <w:p>
      <w:pPr>
        <w:keepNext w:val="0"/>
        <w:keepLines w:val="0"/>
        <w:pageBreakBefore w:val="0"/>
        <w:widowControl w:val="0"/>
        <w:numPr>
          <w:ilvl w:val="0"/>
          <w:numId w:val="2"/>
        </w:numPr>
        <w:kinsoku/>
        <w:wordWrap/>
        <w:overflowPunct/>
        <w:topLinePunct w:val="0"/>
        <w:autoSpaceDE/>
        <w:autoSpaceDN/>
        <w:bidi w:val="0"/>
        <w:spacing w:line="578" w:lineRule="exact"/>
        <w:ind w:left="0" w:firstLine="642" w:firstLineChars="200"/>
        <w:textAlignment w:val="auto"/>
        <w:outlineLvl w:val="9"/>
        <w:rPr>
          <w:rFonts w:hint="eastAsia" w:cs="Times New Roman"/>
          <w:szCs w:val="32"/>
          <w:lang w:eastAsia="zh-CN"/>
        </w:rPr>
      </w:pPr>
      <w:r>
        <w:rPr>
          <w:rFonts w:hint="eastAsia" w:ascii="楷体_GB2312" w:eastAsia="楷体_GB2312"/>
          <w:b/>
          <w:color w:val="auto"/>
          <w:sz w:val="32"/>
          <w:szCs w:val="32"/>
          <w:highlight w:val="none"/>
          <w:u w:val="none"/>
          <w:lang w:val="zh-CN"/>
        </w:rPr>
        <w:t>评价方法。</w:t>
      </w:r>
    </w:p>
    <w:p>
      <w:pPr>
        <w:keepNext w:val="0"/>
        <w:keepLines w:val="0"/>
        <w:pageBreakBefore w:val="0"/>
        <w:widowControl w:val="0"/>
        <w:kinsoku/>
        <w:wordWrap/>
        <w:overflowPunct/>
        <w:topLinePunct w:val="0"/>
        <w:autoSpaceDE/>
        <w:autoSpaceDN/>
        <w:bidi w:val="0"/>
        <w:spacing w:line="240" w:lineRule="auto"/>
        <w:ind w:left="0" w:firstLine="640" w:firstLineChars="200"/>
        <w:textAlignment w:val="auto"/>
        <w:outlineLvl w:val="9"/>
        <w:rPr>
          <w:rFonts w:hint="eastAsia" w:cs="Times New Roman"/>
          <w:szCs w:val="32"/>
          <w:lang w:eastAsia="zh-CN"/>
        </w:rPr>
      </w:pPr>
      <w:r>
        <w:rPr>
          <w:rFonts w:eastAsia="仿宋_GB2312" w:cs="Times New Roman"/>
          <w:szCs w:val="32"/>
        </w:rPr>
        <w:t>根据项目情况和评价重点，</w:t>
      </w:r>
      <w:r>
        <w:rPr>
          <w:rFonts w:hint="eastAsia" w:cs="Times New Roman"/>
          <w:szCs w:val="32"/>
          <w:lang w:eastAsia="zh-CN"/>
        </w:rPr>
        <w:t>我单位</w:t>
      </w:r>
      <w:r>
        <w:rPr>
          <w:rFonts w:eastAsia="仿宋_GB2312" w:cs="Times New Roman"/>
          <w:szCs w:val="32"/>
        </w:rPr>
        <w:t>采用单位自评法</w:t>
      </w:r>
      <w:r>
        <w:rPr>
          <w:rFonts w:hint="eastAsia" w:cs="Times New Roman"/>
          <w:szCs w:val="32"/>
          <w:lang w:eastAsia="zh-CN"/>
        </w:rPr>
        <w:t>进行自评，通过翻阅相关凭证和政策落实文件及花名册进行核实</w:t>
      </w:r>
      <w:r>
        <w:rPr>
          <w:rFonts w:cs="Times New Roman"/>
          <w:szCs w:val="32"/>
          <w:lang w:eastAsia="zh-CN"/>
        </w:rPr>
        <w:t>，财务室复核资料</w:t>
      </w:r>
      <w:r>
        <w:rPr>
          <w:rFonts w:hint="eastAsia" w:cs="Times New Roman"/>
          <w:szCs w:val="32"/>
          <w:lang w:eastAsia="zh-CN"/>
        </w:rPr>
        <w:t>进行自评。</w:t>
      </w:r>
    </w:p>
    <w:p>
      <w:pPr>
        <w:keepNext w:val="0"/>
        <w:keepLines w:val="0"/>
        <w:pageBreakBefore w:val="0"/>
        <w:widowControl w:val="0"/>
        <w:numPr>
          <w:ilvl w:val="0"/>
          <w:numId w:val="2"/>
        </w:numPr>
        <w:kinsoku/>
        <w:wordWrap/>
        <w:overflowPunct/>
        <w:topLinePunct w:val="0"/>
        <w:autoSpaceDE/>
        <w:autoSpaceDN/>
        <w:bidi w:val="0"/>
        <w:spacing w:line="240" w:lineRule="auto"/>
        <w:ind w:left="0" w:firstLine="642" w:firstLineChars="20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评价组织。</w:t>
      </w:r>
    </w:p>
    <w:p>
      <w:pPr>
        <w:keepNext w:val="0"/>
        <w:keepLines w:val="0"/>
        <w:pageBreakBefore w:val="0"/>
        <w:widowControl w:val="0"/>
        <w:kinsoku/>
        <w:wordWrap/>
        <w:overflowPunct/>
        <w:topLinePunct w:val="0"/>
        <w:autoSpaceDE/>
        <w:autoSpaceDN/>
        <w:bidi w:val="0"/>
        <w:spacing w:line="240" w:lineRule="auto"/>
        <w:ind w:left="0" w:firstLine="640" w:firstLineChars="200"/>
        <w:textAlignment w:val="auto"/>
        <w:outlineLvl w:val="9"/>
        <w:rPr>
          <w:rFonts w:hint="eastAsia" w:eastAsia="仿宋_GB2312" w:cs="Times New Roman"/>
          <w:bCs/>
          <w:lang w:eastAsia="zh-CN"/>
        </w:rPr>
      </w:pPr>
      <w:r>
        <w:rPr>
          <w:rFonts w:eastAsia="仿宋_GB2312" w:cs="Times New Roman"/>
          <w:szCs w:val="32"/>
        </w:rPr>
        <w:t>评价组人员</w:t>
      </w:r>
      <w:r>
        <w:rPr>
          <w:rFonts w:hint="eastAsia" w:cs="Times New Roman"/>
          <w:szCs w:val="32"/>
          <w:lang w:eastAsia="zh-CN"/>
        </w:rPr>
        <w:t>由办公室牵头，各股室配合。项目股室提供项目资料，财务室自查报销凭证，办公室人员进行评价。</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仿宋_GB2312"/>
          <w:color w:val="auto"/>
          <w:sz w:val="32"/>
          <w:szCs w:val="32"/>
          <w:highlight w:val="none"/>
          <w:u w:val="none"/>
          <w:lang w:val="zh-CN"/>
        </w:rPr>
      </w:pPr>
      <w:r>
        <w:rPr>
          <w:rFonts w:hint="eastAsia" w:ascii="黑体" w:eastAsia="黑体"/>
          <w:color w:val="auto"/>
          <w:sz w:val="32"/>
          <w:szCs w:val="32"/>
          <w:highlight w:val="none"/>
          <w:u w:val="none"/>
        </w:rPr>
        <w:t>三、</w:t>
      </w:r>
      <w:r>
        <w:rPr>
          <w:rFonts w:hint="eastAsia" w:ascii="黑体" w:eastAsia="黑体"/>
          <w:color w:val="auto"/>
          <w:sz w:val="32"/>
          <w:szCs w:val="32"/>
          <w:highlight w:val="none"/>
          <w:u w:val="none"/>
          <w:lang w:eastAsia="zh-CN"/>
        </w:rPr>
        <w:t>绩效分析</w:t>
      </w:r>
      <w:r>
        <w:rPr>
          <w:rFonts w:hint="eastAsia" w:ascii="仿宋_GB2312"/>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eastAsia="楷体_GB2312" w:cs="Times New Roman"/>
          <w:b/>
          <w:color w:val="auto"/>
          <w:sz w:val="32"/>
          <w:szCs w:val="32"/>
          <w:highlight w:val="none"/>
          <w:u w:val="none"/>
          <w:lang w:val="en-US" w:eastAsia="zh-CN"/>
        </w:rPr>
      </w:pPr>
      <w:r>
        <w:rPr>
          <w:rFonts w:hint="eastAsia" w:ascii="楷体_GB2312" w:eastAsia="楷体_GB2312" w:cs="Times New Roman"/>
          <w:b/>
          <w:color w:val="auto"/>
          <w:sz w:val="32"/>
          <w:szCs w:val="32"/>
          <w:highlight w:val="none"/>
          <w:u w:val="none"/>
          <w:lang w:val="zh-CN"/>
        </w:rPr>
        <w:t>（一）</w:t>
      </w:r>
      <w:r>
        <w:rPr>
          <w:rFonts w:hint="eastAsia" w:ascii="楷体_GB2312" w:eastAsia="楷体_GB2312" w:cs="Times New Roman"/>
          <w:b/>
          <w:color w:val="auto"/>
          <w:sz w:val="32"/>
          <w:szCs w:val="32"/>
          <w:highlight w:val="none"/>
          <w:u w:val="none"/>
          <w:lang w:val="en-US" w:eastAsia="zh-CN"/>
        </w:rPr>
        <w:t>通用指标</w:t>
      </w:r>
      <w:r>
        <w:rPr>
          <w:rFonts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eastAsia="楷体_GB2312" w:cs="楷体_GB2312"/>
          <w:color w:val="auto"/>
          <w:szCs w:val="32"/>
          <w:lang w:eastAsia="zh-CN"/>
        </w:rPr>
      </w:pPr>
      <w:r>
        <w:rPr>
          <w:rFonts w:hint="eastAsia" w:ascii="楷体_GB2312" w:eastAsia="楷体_GB2312" w:cs="楷体_GB2312"/>
          <w:color w:val="auto"/>
          <w:szCs w:val="32"/>
          <w:lang w:val="en-US" w:eastAsia="zh-CN"/>
        </w:rPr>
        <w:t>1.</w:t>
      </w:r>
      <w:r>
        <w:rPr>
          <w:rFonts w:hint="eastAsia" w:ascii="楷体_GB2312" w:eastAsia="楷体_GB2312" w:cs="楷体_GB2312"/>
          <w:color w:val="auto"/>
          <w:szCs w:val="32"/>
          <w:lang w:eastAsia="zh-CN"/>
        </w:rPr>
        <w:t>项目决策。</w:t>
      </w:r>
    </w:p>
    <w:p>
      <w:pPr>
        <w:keepNext w:val="0"/>
        <w:keepLines w:val="0"/>
        <w:pageBreakBefore w:val="0"/>
        <w:widowControl w:val="0"/>
        <w:kinsoku/>
        <w:wordWrap/>
        <w:overflowPunct/>
        <w:topLinePunct w:val="0"/>
        <w:autoSpaceDE/>
        <w:autoSpaceDN/>
        <w:bidi w:val="0"/>
        <w:spacing w:line="240" w:lineRule="auto"/>
        <w:ind w:left="0" w:firstLine="640" w:firstLineChars="200"/>
        <w:textAlignment w:val="auto"/>
        <w:outlineLvl w:val="9"/>
        <w:rPr>
          <w:rFonts w:hint="eastAsia" w:ascii="Times New Roman" w:hAnsi="Times New Roman" w:eastAsia="仿宋_GB2312" w:cs="Times New Roman"/>
          <w:szCs w:val="32"/>
          <w:lang w:val="en-US" w:eastAsia="zh-CN"/>
        </w:rPr>
      </w:pPr>
      <w:r>
        <w:rPr>
          <w:rFonts w:hint="eastAsia" w:cs="Times New Roman"/>
          <w:szCs w:val="32"/>
          <w:lang w:val="zh-CN" w:eastAsia="zh-CN"/>
        </w:rPr>
        <w:t>一是决策程序：根据县委县政府的工作部署安排和实际需要进行项目决策，决策程序严密，经集体研究和按照上级资金文件用途有严格落实，得</w:t>
      </w:r>
      <w:r>
        <w:rPr>
          <w:rFonts w:hint="eastAsia" w:cs="Times New Roman"/>
          <w:szCs w:val="32"/>
          <w:lang w:val="en-US" w:eastAsia="zh-CN"/>
        </w:rPr>
        <w:t>6分；二是规划论证：符合</w:t>
      </w:r>
      <w:r>
        <w:rPr>
          <w:rFonts w:hint="eastAsia" w:cs="Times New Roman"/>
          <w:szCs w:val="32"/>
          <w:lang w:val="zh-CN" w:eastAsia="zh-CN"/>
        </w:rPr>
        <w:t>上级资金文件用途，项目目标设置清晰，科学合理，得</w:t>
      </w:r>
      <w:r>
        <w:rPr>
          <w:rFonts w:hint="eastAsia" w:cs="Times New Roman"/>
          <w:szCs w:val="32"/>
          <w:lang w:val="en-US" w:eastAsia="zh-CN"/>
        </w:rPr>
        <w:t>6分；三是资金投向：资金符合项目总体规划和方案，得6分。项目决策总体</w:t>
      </w:r>
      <w:r>
        <w:rPr>
          <w:rFonts w:hint="eastAsia" w:ascii="Times New Roman" w:hAnsi="Times New Roman" w:eastAsia="仿宋_GB2312" w:cs="Times New Roman"/>
          <w:szCs w:val="32"/>
          <w:lang w:val="zh-CN" w:eastAsia="zh-CN"/>
        </w:rPr>
        <w:t>自评得分：</w:t>
      </w:r>
      <w:r>
        <w:rPr>
          <w:rFonts w:hint="eastAsia" w:ascii="Times New Roman" w:hAnsi="Times New Roman" w:eastAsia="仿宋_GB2312" w:cs="Times New Roman"/>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eastAsia="zh-CN"/>
        </w:rPr>
      </w:pPr>
      <w:r>
        <w:rPr>
          <w:rFonts w:hint="eastAsia" w:ascii="楷体_GB2312" w:eastAsia="楷体_GB2312" w:cs="楷体_GB2312"/>
          <w:color w:val="auto"/>
          <w:szCs w:val="32"/>
          <w:lang w:val="en-US" w:eastAsia="zh-CN"/>
        </w:rPr>
        <w:t>2.</w:t>
      </w:r>
      <w:r>
        <w:rPr>
          <w:rFonts w:hint="eastAsia" w:ascii="楷体_GB2312" w:eastAsia="楷体_GB2312" w:cs="楷体_GB2312"/>
          <w:color w:val="auto"/>
          <w:szCs w:val="32"/>
          <w:lang w:eastAsia="zh-CN"/>
        </w:rPr>
        <w:t>项目管理。一是制度办法：</w:t>
      </w:r>
      <w:r>
        <w:rPr>
          <w:rFonts w:hint="eastAsia" w:cs="Times New Roman"/>
          <w:color w:val="auto"/>
          <w:szCs w:val="32"/>
          <w:lang w:eastAsia="zh-CN"/>
        </w:rPr>
        <w:t>项目制度体系健全，均按照文件相关标准和人员数落实经费，培训</w:t>
      </w:r>
      <w:r>
        <w:rPr>
          <w:rFonts w:cs="Times New Roman"/>
          <w:color w:val="auto"/>
          <w:szCs w:val="32"/>
          <w:lang w:eastAsia="zh-CN"/>
        </w:rPr>
        <w:t>参</w:t>
      </w:r>
      <w:r>
        <w:rPr>
          <w:rFonts w:hint="eastAsia" w:cs="Times New Roman"/>
          <w:color w:val="auto"/>
          <w:szCs w:val="32"/>
          <w:lang w:eastAsia="zh-CN"/>
        </w:rPr>
        <w:t>照</w:t>
      </w:r>
      <w:r>
        <w:rPr>
          <w:rFonts w:cs="Times New Roman"/>
          <w:color w:val="auto"/>
          <w:szCs w:val="32"/>
          <w:lang w:eastAsia="zh-CN"/>
        </w:rPr>
        <w:t>省直机关</w:t>
      </w:r>
      <w:r>
        <w:rPr>
          <w:rFonts w:hint="eastAsia" w:cs="Times New Roman"/>
          <w:color w:val="auto"/>
          <w:szCs w:val="32"/>
          <w:lang w:eastAsia="zh-CN"/>
        </w:rPr>
        <w:t>《四川省培训费管理办法》执行，人员补助按照政策标准落实，得</w:t>
      </w:r>
      <w:r>
        <w:rPr>
          <w:rFonts w:hint="eastAsia" w:cs="Times New Roman"/>
          <w:color w:val="auto"/>
          <w:szCs w:val="32"/>
          <w:lang w:val="en-US" w:eastAsia="zh-CN"/>
        </w:rPr>
        <w:t>2分；二是分配管理：</w:t>
      </w:r>
      <w:r>
        <w:rPr>
          <w:rFonts w:hint="eastAsia" w:cs="Times New Roman"/>
          <w:color w:val="auto"/>
          <w:szCs w:val="32"/>
          <w:lang w:eastAsia="zh-CN"/>
        </w:rPr>
        <w:t>管理有序，拨付时间节点稳定，按照文件标准和花名册合理分配，帮扶和服务对象满意度高，得</w:t>
      </w:r>
      <w:r>
        <w:rPr>
          <w:rFonts w:hint="eastAsia" w:cs="Times New Roman"/>
          <w:color w:val="auto"/>
          <w:szCs w:val="32"/>
          <w:lang w:val="en-US" w:eastAsia="zh-CN"/>
        </w:rPr>
        <w:t>10分；三是绩效监管：项目绩效目标及时设置，资金拨付受财政监管，资金有明确绩效监管，得6分</w:t>
      </w:r>
      <w:r>
        <w:rPr>
          <w:rFonts w:hint="eastAsia" w:cs="Times New Roman"/>
          <w:color w:val="auto"/>
          <w:szCs w:val="32"/>
          <w:lang w:eastAsia="zh-CN"/>
        </w:rPr>
        <w:t>。项目管理总体</w:t>
      </w:r>
      <w:r>
        <w:rPr>
          <w:rFonts w:hint="eastAsia"/>
          <w:spacing w:val="15"/>
          <w:kern w:val="0"/>
          <w:sz w:val="32"/>
          <w:szCs w:val="32"/>
          <w:lang w:eastAsia="zh-CN"/>
        </w:rPr>
        <w:t>自评得分：</w:t>
      </w:r>
      <w:r>
        <w:rPr>
          <w:rFonts w:hint="eastAsia"/>
          <w:spacing w:val="15"/>
          <w:kern w:val="0"/>
          <w:sz w:val="32"/>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outlineLvl w:val="9"/>
        <w:rPr>
          <w:rFonts w:hint="eastAsia" w:cs="Times New Roman"/>
          <w:color w:val="auto"/>
          <w:szCs w:val="32"/>
          <w:lang w:val="en-US" w:eastAsia="zh-CN"/>
        </w:rPr>
      </w:pPr>
      <w:r>
        <w:rPr>
          <w:rFonts w:hint="eastAsia" w:ascii="楷体_GB2312" w:eastAsia="楷体_GB2312" w:cs="楷体_GB2312"/>
          <w:color w:val="auto"/>
          <w:szCs w:val="32"/>
          <w:lang w:val="en-US" w:eastAsia="zh-CN"/>
        </w:rPr>
        <w:t>3.项目实施。一是预算执行：</w:t>
      </w:r>
      <w:r>
        <w:rPr>
          <w:rFonts w:hint="eastAsia" w:cs="Times New Roman"/>
          <w:color w:val="auto"/>
          <w:szCs w:val="32"/>
          <w:lang w:eastAsia="zh-CN"/>
        </w:rPr>
        <w:t>资金拨付进度受汛期等影响，又因涉及人员补助，拨付时间在年底集中拨付，上半年预算执行较差，故扣</w:t>
      </w:r>
      <w:r>
        <w:rPr>
          <w:rFonts w:hint="eastAsia" w:cs="Times New Roman"/>
          <w:color w:val="auto"/>
          <w:szCs w:val="32"/>
          <w:lang w:val="en-US" w:eastAsia="zh-CN"/>
        </w:rPr>
        <w:t>2分，得4分。二是资金使用：</w:t>
      </w:r>
      <w:r>
        <w:rPr>
          <w:rFonts w:hint="eastAsia" w:cs="Times New Roman"/>
          <w:color w:val="auto"/>
          <w:szCs w:val="32"/>
          <w:lang w:eastAsia="zh-CN"/>
        </w:rPr>
        <w:t>资金使用按照财政审核流程规定拨付，标准按照文件规定执行得</w:t>
      </w:r>
      <w:r>
        <w:rPr>
          <w:rFonts w:hint="eastAsia" w:cs="Times New Roman"/>
          <w:color w:val="auto"/>
          <w:szCs w:val="32"/>
          <w:lang w:val="en-US" w:eastAsia="zh-CN"/>
        </w:rPr>
        <w:t>3分</w:t>
      </w:r>
      <w:r>
        <w:rPr>
          <w:rFonts w:hint="eastAsia" w:cs="Times New Roman"/>
          <w:color w:val="auto"/>
          <w:szCs w:val="32"/>
          <w:lang w:eastAsia="zh-CN"/>
        </w:rPr>
        <w:t>。项目实施总体</w:t>
      </w:r>
      <w:r>
        <w:rPr>
          <w:rFonts w:hint="eastAsia"/>
          <w:spacing w:val="15"/>
          <w:kern w:val="0"/>
          <w:sz w:val="32"/>
          <w:szCs w:val="32"/>
          <w:lang w:eastAsia="zh-CN"/>
        </w:rPr>
        <w:t>自评得分：</w:t>
      </w:r>
      <w:r>
        <w:rPr>
          <w:rFonts w:hint="eastAsia"/>
          <w:spacing w:val="15"/>
          <w:kern w:val="0"/>
          <w:sz w:val="32"/>
          <w:szCs w:val="32"/>
          <w:lang w:val="en-US" w:eastAsia="zh-CN"/>
        </w:rPr>
        <w:t>7分。</w:t>
      </w:r>
    </w:p>
    <w:p>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outlineLvl w:val="9"/>
        <w:rPr>
          <w:rFonts w:hint="eastAsia" w:ascii="Times New Roman" w:hAnsi="Times New Roman" w:cs="Times New Roman"/>
          <w:color w:val="auto"/>
          <w:szCs w:val="32"/>
          <w:lang w:val="en-US" w:eastAsia="zh-CN"/>
        </w:rPr>
      </w:pPr>
      <w:r>
        <w:rPr>
          <w:rFonts w:hint="eastAsia" w:ascii="楷体_GB2312" w:eastAsia="楷体_GB2312" w:cs="楷体_GB2312"/>
          <w:color w:val="auto"/>
          <w:szCs w:val="32"/>
          <w:lang w:val="en-US" w:eastAsia="zh-CN"/>
        </w:rPr>
        <w:t>4.项目结果。一是目标完成：</w:t>
      </w:r>
      <w:r>
        <w:rPr>
          <w:rFonts w:hint="eastAsia" w:ascii="Times New Roman" w:hAnsi="Times New Roman" w:cs="Times New Roman"/>
          <w:color w:val="auto"/>
          <w:szCs w:val="32"/>
          <w:lang w:val="en-US" w:eastAsia="zh-CN"/>
        </w:rPr>
        <w:t>项目每年12月之前完成，完成预期目标，均超过预期目标。但由于</w:t>
      </w:r>
      <w:r>
        <w:rPr>
          <w:rFonts w:hint="eastAsia" w:cs="Times New Roman"/>
          <w:color w:val="auto"/>
          <w:szCs w:val="32"/>
          <w:lang w:val="en-US" w:eastAsia="zh-CN"/>
        </w:rPr>
        <w:t>招录</w:t>
      </w:r>
      <w:r>
        <w:rPr>
          <w:rFonts w:hint="eastAsia" w:ascii="Times New Roman" w:hAnsi="Times New Roman" w:cs="Times New Roman"/>
          <w:color w:val="auto"/>
          <w:szCs w:val="32"/>
          <w:lang w:val="en-US" w:eastAsia="zh-CN"/>
        </w:rPr>
        <w:t>人数是</w:t>
      </w:r>
      <w:r>
        <w:rPr>
          <w:rFonts w:hint="eastAsia" w:cs="Times New Roman"/>
          <w:color w:val="auto"/>
          <w:szCs w:val="32"/>
          <w:lang w:val="en-US" w:eastAsia="zh-CN"/>
        </w:rPr>
        <w:t>不确定数</w:t>
      </w:r>
      <w:r>
        <w:rPr>
          <w:rFonts w:hint="eastAsia" w:ascii="Times New Roman" w:hAnsi="Times New Roman" w:cs="Times New Roman"/>
          <w:color w:val="auto"/>
          <w:szCs w:val="32"/>
          <w:lang w:val="en-US" w:eastAsia="zh-CN"/>
        </w:rPr>
        <w:t>，导致预算金额与实际支出有差距。故扣1分。</w:t>
      </w:r>
      <w:r>
        <w:rPr>
          <w:rFonts w:hint="eastAsia" w:cs="Times New Roman"/>
          <w:color w:val="auto"/>
          <w:szCs w:val="32"/>
          <w:lang w:val="en-US" w:eastAsia="zh-CN"/>
        </w:rPr>
        <w:t>二是完成时效：在12月15日之前完成项目，得3分。项目结果总体</w:t>
      </w:r>
      <w:r>
        <w:rPr>
          <w:rFonts w:hint="eastAsia" w:ascii="Times New Roman" w:hAnsi="Times New Roman" w:cs="Times New Roman"/>
          <w:color w:val="auto"/>
          <w:szCs w:val="32"/>
          <w:lang w:eastAsia="zh-CN"/>
        </w:rPr>
        <w:t>自评得分：</w:t>
      </w:r>
      <w:r>
        <w:rPr>
          <w:rFonts w:hint="eastAsia" w:ascii="Times New Roman" w:hAnsi="Times New Roman" w:cs="Times New Roman"/>
          <w:color w:val="auto"/>
          <w:szCs w:val="32"/>
          <w:lang w:val="en-US" w:eastAsia="zh-CN"/>
        </w:rPr>
        <w:t>8分。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eastAsia="楷体_GB2312" w:cs="楷体_GB2312"/>
          <w:color w:val="auto"/>
          <w:szCs w:val="32"/>
          <w:lang w:val="zh-CN" w:eastAsia="zh-CN"/>
        </w:rPr>
      </w:pPr>
      <w:r>
        <w:rPr>
          <w:rFonts w:hint="eastAsia" w:ascii="楷体_GB2312" w:eastAsia="楷体_GB2312" w:cs="Times New Roman"/>
          <w:b/>
          <w:color w:val="auto"/>
          <w:sz w:val="32"/>
          <w:szCs w:val="32"/>
          <w:highlight w:val="none"/>
          <w:u w:val="none"/>
          <w:lang w:val="zh-CN"/>
        </w:rPr>
        <w:t>（二）</w:t>
      </w:r>
      <w:r>
        <w:rPr>
          <w:rFonts w:hint="eastAsia" w:ascii="楷体_GB2312" w:eastAsia="楷体_GB2312" w:cs="Times New Roman"/>
          <w:b/>
          <w:color w:val="auto"/>
          <w:sz w:val="32"/>
          <w:szCs w:val="32"/>
          <w:highlight w:val="none"/>
          <w:u w:val="none"/>
          <w:lang w:val="en-US" w:eastAsia="zh-CN"/>
        </w:rPr>
        <w:t>专用指标</w:t>
      </w:r>
      <w:r>
        <w:rPr>
          <w:rFonts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cs="Times New Roman"/>
          <w:color w:val="auto"/>
          <w:szCs w:val="32"/>
          <w:lang w:eastAsia="zh-CN"/>
        </w:rPr>
      </w:pPr>
      <w:r>
        <w:rPr>
          <w:rFonts w:hint="eastAsia" w:ascii="楷体_GB2312" w:eastAsia="楷体_GB2312" w:cs="楷体_GB2312"/>
          <w:color w:val="auto"/>
          <w:szCs w:val="32"/>
          <w:lang w:val="en-US" w:eastAsia="zh-CN"/>
        </w:rPr>
        <w:t>1.产业发展。</w:t>
      </w:r>
      <w:r>
        <w:rPr>
          <w:rFonts w:hint="eastAsia" w:cs="Times New Roman"/>
          <w:color w:val="auto"/>
          <w:szCs w:val="32"/>
          <w:lang w:eastAsia="zh-CN"/>
        </w:rPr>
        <w:t>不涉及。</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楷体_GB2312" w:eastAsia="楷体_GB2312" w:cs="楷体_GB2312"/>
          <w:color w:val="auto"/>
          <w:szCs w:val="32"/>
          <w:lang w:val="zh-CN" w:eastAsia="zh-CN"/>
        </w:rPr>
      </w:pPr>
      <w:r>
        <w:rPr>
          <w:rFonts w:hint="eastAsia" w:ascii="楷体_GB2312" w:eastAsia="楷体_GB2312" w:cs="楷体_GB2312"/>
          <w:color w:val="auto"/>
          <w:szCs w:val="32"/>
          <w:lang w:val="en-US" w:eastAsia="zh-CN"/>
        </w:rPr>
        <w:t>2.</w:t>
      </w:r>
      <w:r>
        <w:rPr>
          <w:rFonts w:hint="eastAsia" w:ascii="楷体_GB2312" w:eastAsia="楷体_GB2312" w:cs="楷体_GB2312"/>
          <w:color w:val="auto"/>
          <w:szCs w:val="32"/>
          <w:lang w:val="zh-CN" w:eastAsia="zh-CN"/>
        </w:rPr>
        <w:t>民生保障。不涉及。</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cs="Times New Roman"/>
          <w:color w:val="auto"/>
          <w:szCs w:val="32"/>
          <w:lang w:eastAsia="zh-CN"/>
        </w:rPr>
      </w:pPr>
      <w:r>
        <w:rPr>
          <w:rFonts w:hint="eastAsia" w:ascii="楷体_GB2312" w:eastAsia="楷体_GB2312" w:cs="楷体_GB2312"/>
          <w:color w:val="auto"/>
          <w:szCs w:val="32"/>
          <w:lang w:val="en-US" w:eastAsia="zh-CN"/>
        </w:rPr>
        <w:t>3.基础设施。</w:t>
      </w:r>
      <w:r>
        <w:rPr>
          <w:rFonts w:hint="eastAsia" w:cs="Times New Roman"/>
          <w:color w:val="auto"/>
          <w:szCs w:val="32"/>
          <w:lang w:eastAsia="zh-CN"/>
        </w:rPr>
        <w:t>不涉及。</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cs="Times New Roman"/>
          <w:color w:val="auto"/>
          <w:szCs w:val="32"/>
          <w:lang w:val="en-US" w:eastAsia="zh-CN"/>
        </w:rPr>
      </w:pPr>
      <w:r>
        <w:rPr>
          <w:rFonts w:hint="eastAsia" w:ascii="楷体_GB2312" w:eastAsia="楷体_GB2312" w:cs="楷体_GB2312"/>
          <w:color w:val="auto"/>
          <w:szCs w:val="32"/>
          <w:lang w:val="en-US" w:eastAsia="zh-CN"/>
        </w:rPr>
        <w:t>4.</w:t>
      </w:r>
      <w:r>
        <w:rPr>
          <w:rFonts w:hint="eastAsia" w:ascii="楷体_GB2312" w:eastAsia="楷体_GB2312" w:cs="楷体_GB2312"/>
          <w:color w:val="auto"/>
          <w:szCs w:val="32"/>
          <w:lang w:val="zh-CN" w:eastAsia="zh-CN"/>
        </w:rPr>
        <w:t>行政运转。</w:t>
      </w:r>
      <w:r>
        <w:rPr>
          <w:rFonts w:hint="eastAsia" w:cs="Times New Roman"/>
          <w:color w:val="auto"/>
          <w:szCs w:val="32"/>
          <w:lang w:val="zh-CN" w:eastAsia="zh-CN"/>
        </w:rPr>
        <w:t>补助资金根据当年引进人员人数分类补助，选调生按照</w:t>
      </w:r>
      <w:r>
        <w:rPr>
          <w:rFonts w:hint="eastAsia" w:cs="Times New Roman"/>
          <w:color w:val="auto"/>
          <w:szCs w:val="32"/>
          <w:lang w:val="en-US" w:eastAsia="zh-CN"/>
        </w:rPr>
        <w:t>4.1万/人工作补助落实工作补助，硕博进阿坝按照15万元/人落实安家补助，外派专技人员按照每人每月5000元落实生活补助</w:t>
      </w:r>
      <w:r>
        <w:rPr>
          <w:rFonts w:cs="Times New Roman"/>
          <w:color w:val="auto"/>
          <w:szCs w:val="32"/>
          <w:lang w:val="en-US" w:eastAsia="zh-CN"/>
        </w:rPr>
        <w:t>；</w:t>
      </w:r>
      <w:r>
        <w:rPr>
          <w:rFonts w:hint="eastAsia" w:cs="Times New Roman"/>
          <w:color w:val="auto"/>
          <w:szCs w:val="32"/>
          <w:lang w:val="en-US" w:eastAsia="zh-CN"/>
        </w:rPr>
        <w:t>冰川人才港建设落实30万元补助。培训费按照年初培训计划报县委县政府审定后有序开展</w:t>
      </w:r>
      <w:r>
        <w:rPr>
          <w:rFonts w:cs="Times New Roman"/>
          <w:color w:val="auto"/>
          <w:szCs w:val="32"/>
          <w:lang w:val="en-US" w:eastAsia="zh-CN"/>
        </w:rPr>
        <w:t>32</w:t>
      </w:r>
      <w:r>
        <w:rPr>
          <w:rFonts w:hint="eastAsia" w:cs="Times New Roman"/>
          <w:color w:val="auto"/>
          <w:szCs w:val="32"/>
          <w:lang w:val="en-US" w:eastAsia="zh-CN"/>
        </w:rPr>
        <w:t>期，惠及</w:t>
      </w:r>
      <w:r>
        <w:rPr>
          <w:rFonts w:cs="Times New Roman"/>
          <w:color w:val="auto"/>
          <w:szCs w:val="32"/>
          <w:lang w:val="en-US" w:eastAsia="zh-CN"/>
        </w:rPr>
        <w:t>2</w:t>
      </w:r>
      <w:r>
        <w:rPr>
          <w:rFonts w:hint="eastAsia" w:cs="Times New Roman"/>
          <w:color w:val="auto"/>
          <w:szCs w:val="32"/>
          <w:lang w:val="en-US" w:eastAsia="zh-CN"/>
        </w:rPr>
        <w:t>800人次</w:t>
      </w:r>
      <w:r>
        <w:rPr>
          <w:rFonts w:cs="Times New Roman"/>
          <w:color w:val="auto"/>
          <w:szCs w:val="32"/>
          <w:lang w:val="en-US" w:eastAsia="zh-CN"/>
        </w:rPr>
        <w:t>；按照审定方案，派出约90名黑水县各类人才到浙江交流考察</w:t>
      </w:r>
      <w:r>
        <w:rPr>
          <w:rFonts w:hint="eastAsia" w:cs="Times New Roman"/>
          <w:color w:val="auto"/>
          <w:szCs w:val="32"/>
          <w:lang w:val="en-US" w:eastAsia="zh-CN"/>
        </w:rPr>
        <w:t>。</w:t>
      </w:r>
      <w:r>
        <w:rPr>
          <w:rFonts w:hint="eastAsia" w:cs="Times New Roman"/>
          <w:color w:val="auto"/>
          <w:szCs w:val="32"/>
          <w:lang w:val="zh-CN" w:eastAsia="zh-CN"/>
        </w:rPr>
        <w:t>一是用途合规性：财务按照规定用途和标准申报资金，分配和落实资金，得</w:t>
      </w:r>
      <w:r>
        <w:rPr>
          <w:rFonts w:hint="eastAsia" w:cs="Times New Roman"/>
          <w:color w:val="auto"/>
          <w:szCs w:val="32"/>
          <w:lang w:val="en-US" w:eastAsia="zh-CN"/>
        </w:rPr>
        <w:t>10分；二是程序合规性：资金管理程序符合专项资金管理要求。得10分；三是标准合规性：标准符合专项资金管理要求，得10分。</w:t>
      </w:r>
      <w:r>
        <w:rPr>
          <w:rFonts w:hint="eastAsia" w:cs="Times New Roman"/>
          <w:color w:val="auto"/>
          <w:szCs w:val="32"/>
          <w:lang w:val="zh-CN" w:eastAsia="zh-CN"/>
        </w:rPr>
        <w:t>专用指标自评得分：</w:t>
      </w:r>
      <w:r>
        <w:rPr>
          <w:rFonts w:hint="eastAsia" w:cs="Times New Roman"/>
          <w:color w:val="auto"/>
          <w:szCs w:val="32"/>
          <w:lang w:val="en-US" w:eastAsia="zh-CN"/>
        </w:rPr>
        <w:t>30分。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hint="eastAsia" w:ascii="楷体_GB2312" w:eastAsia="楷体_GB2312" w:cs="Times New Roman"/>
          <w:b/>
          <w:color w:val="auto"/>
          <w:sz w:val="32"/>
          <w:szCs w:val="32"/>
          <w:highlight w:val="none"/>
          <w:u w:val="none"/>
          <w:lang w:val="zh-CN"/>
        </w:rPr>
        <w:t>（三）</w:t>
      </w:r>
      <w:r>
        <w:rPr>
          <w:rFonts w:hint="eastAsia" w:ascii="楷体_GB2312" w:eastAsia="楷体_GB2312" w:cs="Times New Roman"/>
          <w:b/>
          <w:color w:val="auto"/>
          <w:sz w:val="32"/>
          <w:szCs w:val="32"/>
          <w:highlight w:val="none"/>
          <w:u w:val="none"/>
          <w:lang w:val="en-US" w:eastAsia="zh-CN"/>
        </w:rPr>
        <w:t>个性指标</w:t>
      </w:r>
      <w:r>
        <w:rPr>
          <w:rFonts w:ascii="Times New Roman" w:hAnsi="Times New Roman" w:eastAsia="楷体_GB2312" w:cs="Times New Roman"/>
          <w:b/>
          <w:bCs/>
          <w:color w:val="000000"/>
          <w:kern w:val="0"/>
          <w:szCs w:val="32"/>
          <w:highlight w:val="none"/>
          <w:shd w:val="clear" w:color="auto" w:fill="FFFFFF"/>
          <w:lang w:val="zh-CN"/>
        </w:rPr>
        <w:t>绩效分析。</w:t>
      </w:r>
    </w:p>
    <w:p>
      <w:pPr>
        <w:ind w:firstLine="640"/>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cs="仿宋_GB2312"/>
          <w:b w:val="0"/>
          <w:bCs w:val="0"/>
          <w:kern w:val="0"/>
          <w:position w:val="0"/>
          <w:sz w:val="32"/>
          <w:szCs w:val="32"/>
          <w:highlight w:val="none"/>
          <w:lang w:val="en-US" w:eastAsia="zh-CN" w:bidi="ar-SA"/>
        </w:rPr>
        <w:t>1.项目资料保存情况。</w:t>
      </w:r>
      <w:r>
        <w:rPr>
          <w:rFonts w:ascii="仿宋_GB2312" w:cs="仿宋_GB2312"/>
          <w:b w:val="0"/>
          <w:bCs w:val="0"/>
          <w:kern w:val="0"/>
          <w:position w:val="0"/>
          <w:sz w:val="32"/>
          <w:szCs w:val="32"/>
          <w:highlight w:val="none"/>
          <w:lang w:val="en-US" w:eastAsia="zh-CN" w:bidi="ar-SA"/>
        </w:rPr>
        <w:t>项目</w:t>
      </w:r>
      <w:r>
        <w:rPr>
          <w:rFonts w:hint="eastAsia" w:ascii="仿宋_GB2312" w:cs="仿宋_GB2312"/>
          <w:b w:val="0"/>
          <w:bCs w:val="0"/>
          <w:kern w:val="0"/>
          <w:position w:val="0"/>
          <w:sz w:val="32"/>
          <w:szCs w:val="32"/>
          <w:highlight w:val="none"/>
          <w:lang w:val="en-US" w:eastAsia="zh-CN" w:bidi="ar-SA"/>
        </w:rPr>
        <w:t>股室资料保存和归纳能力有待提高。</w:t>
      </w:r>
      <w:r>
        <w:rPr>
          <w:rFonts w:hint="eastAsia" w:ascii="仿宋_GB2312" w:eastAsia="仿宋_GB2312" w:cs="仿宋_GB2312"/>
          <w:b w:val="0"/>
          <w:bCs w:val="0"/>
          <w:kern w:val="0"/>
          <w:position w:val="0"/>
          <w:sz w:val="32"/>
          <w:szCs w:val="32"/>
          <w:highlight w:val="none"/>
          <w:lang w:val="en-US" w:eastAsia="zh-CN" w:bidi="ar-SA"/>
        </w:rPr>
        <w:t>扣2分</w:t>
      </w:r>
      <w:r>
        <w:rPr>
          <w:rFonts w:hint="eastAsia" w:ascii="仿宋_GB2312" w:cs="仿宋_GB2312"/>
          <w:b w:val="0"/>
          <w:bCs w:val="0"/>
          <w:kern w:val="0"/>
          <w:position w:val="0"/>
          <w:sz w:val="32"/>
          <w:szCs w:val="32"/>
          <w:highlight w:val="none"/>
          <w:lang w:val="en-US" w:eastAsia="zh-CN" w:bidi="ar-SA"/>
        </w:rPr>
        <w:t>，</w:t>
      </w:r>
      <w:r>
        <w:rPr>
          <w:rFonts w:hint="eastAsia" w:ascii="仿宋_GB2312" w:eastAsia="仿宋_GB2312" w:cs="仿宋_GB2312"/>
          <w:b w:val="0"/>
          <w:bCs w:val="0"/>
          <w:kern w:val="0"/>
          <w:position w:val="0"/>
          <w:sz w:val="32"/>
          <w:szCs w:val="32"/>
          <w:highlight w:val="none"/>
          <w:lang w:val="en-US" w:eastAsia="zh-CN" w:bidi="ar-SA"/>
        </w:rPr>
        <w:t>自评得分</w:t>
      </w:r>
      <w:r>
        <w:rPr>
          <w:rFonts w:hint="eastAsia" w:ascii="仿宋_GB2312" w:cs="仿宋_GB2312"/>
          <w:b w:val="0"/>
          <w:bCs w:val="0"/>
          <w:kern w:val="0"/>
          <w:position w:val="0"/>
          <w:sz w:val="32"/>
          <w:szCs w:val="32"/>
          <w:highlight w:val="none"/>
          <w:lang w:val="en-US" w:eastAsia="zh-CN" w:bidi="ar-SA"/>
        </w:rPr>
        <w:t>4</w:t>
      </w:r>
      <w:r>
        <w:rPr>
          <w:rFonts w:hint="eastAsia" w:ascii="仿宋_GB2312" w:eastAsia="仿宋_GB2312" w:cs="仿宋_GB2312"/>
          <w:b w:val="0"/>
          <w:bCs w:val="0"/>
          <w:kern w:val="0"/>
          <w:position w:val="0"/>
          <w:sz w:val="32"/>
          <w:szCs w:val="32"/>
          <w:highlight w:val="none"/>
          <w:lang w:val="en-US" w:eastAsia="zh-CN" w:bidi="ar-SA"/>
        </w:rPr>
        <w:t>分。</w:t>
      </w:r>
    </w:p>
    <w:p>
      <w:pPr>
        <w:pStyle w:val="15"/>
        <w:ind w:firstLine="640"/>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2.培训</w:t>
      </w:r>
      <w:r>
        <w:rPr>
          <w:rFonts w:ascii="仿宋_GB2312" w:eastAsia="仿宋_GB2312" w:cs="仿宋_GB2312"/>
          <w:b w:val="0"/>
          <w:bCs w:val="0"/>
          <w:kern w:val="0"/>
          <w:position w:val="0"/>
          <w:sz w:val="32"/>
          <w:szCs w:val="32"/>
          <w:highlight w:val="none"/>
          <w:lang w:val="en-US" w:eastAsia="zh-CN" w:bidi="ar-SA"/>
        </w:rPr>
        <w:t>资金执行力度不高，资金执行集中在下半年</w:t>
      </w:r>
      <w:r>
        <w:rPr>
          <w:rFonts w:hint="eastAsia" w:ascii="仿宋_GB2312" w:eastAsia="仿宋_GB2312" w:cs="仿宋_GB2312"/>
          <w:b w:val="0"/>
          <w:bCs w:val="0"/>
          <w:kern w:val="0"/>
          <w:position w:val="0"/>
          <w:sz w:val="32"/>
          <w:szCs w:val="32"/>
          <w:highlight w:val="none"/>
          <w:lang w:val="en-US" w:eastAsia="zh-CN" w:bidi="ar-SA"/>
        </w:rPr>
        <w:t>。扣2分</w:t>
      </w:r>
      <w:r>
        <w:rPr>
          <w:rFonts w:hint="eastAsia" w:ascii="仿宋_GB2312" w:hAnsi="仿宋_GB2312" w:cs="仿宋_GB2312"/>
          <w:b w:val="0"/>
          <w:bCs w:val="0"/>
          <w:kern w:val="0"/>
          <w:position w:val="0"/>
          <w:sz w:val="32"/>
          <w:szCs w:val="32"/>
          <w:highlight w:val="none"/>
          <w:lang w:val="en-US" w:eastAsia="zh-CN" w:bidi="ar-SA"/>
        </w:rPr>
        <w:t>，</w:t>
      </w:r>
      <w:r>
        <w:rPr>
          <w:rFonts w:hint="eastAsia" w:ascii="仿宋_GB2312" w:eastAsia="仿宋_GB2312" w:cs="仿宋_GB2312"/>
          <w:b w:val="0"/>
          <w:bCs w:val="0"/>
          <w:kern w:val="0"/>
          <w:position w:val="0"/>
          <w:sz w:val="32"/>
          <w:szCs w:val="32"/>
          <w:highlight w:val="none"/>
          <w:lang w:val="en-US" w:eastAsia="zh-CN" w:bidi="ar-SA"/>
        </w:rPr>
        <w:t>自评得分</w:t>
      </w:r>
      <w:r>
        <w:rPr>
          <w:rFonts w:hint="eastAsia" w:ascii="仿宋_GB2312" w:hAnsi="仿宋_GB2312" w:cs="仿宋_GB2312"/>
          <w:b w:val="0"/>
          <w:bCs w:val="0"/>
          <w:kern w:val="0"/>
          <w:position w:val="0"/>
          <w:sz w:val="32"/>
          <w:szCs w:val="32"/>
          <w:highlight w:val="none"/>
          <w:lang w:val="en-US" w:eastAsia="zh-CN" w:bidi="ar-SA"/>
        </w:rPr>
        <w:t>3</w:t>
      </w:r>
      <w:r>
        <w:rPr>
          <w:rFonts w:hint="eastAsia" w:ascii="仿宋_GB2312" w:eastAsia="仿宋_GB2312" w:cs="仿宋_GB2312"/>
          <w:b w:val="0"/>
          <w:bCs w:val="0"/>
          <w:kern w:val="0"/>
          <w:position w:val="0"/>
          <w:sz w:val="32"/>
          <w:szCs w:val="32"/>
          <w:highlight w:val="none"/>
          <w:lang w:val="en-US" w:eastAsia="zh-CN" w:bidi="ar-SA"/>
        </w:rPr>
        <w:t>分。</w:t>
      </w:r>
    </w:p>
    <w:p>
      <w:pPr>
        <w:pStyle w:val="15"/>
        <w:ind w:firstLine="640"/>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3.资金拨付</w:t>
      </w:r>
      <w:r>
        <w:rPr>
          <w:rFonts w:ascii="仿宋_GB2312" w:eastAsia="仿宋_GB2312" w:cs="仿宋_GB2312"/>
          <w:b w:val="0"/>
          <w:bCs w:val="0"/>
          <w:kern w:val="0"/>
          <w:position w:val="0"/>
          <w:sz w:val="32"/>
          <w:szCs w:val="32"/>
          <w:highlight w:val="none"/>
          <w:lang w:val="en-US" w:eastAsia="zh-CN" w:bidi="ar-SA"/>
        </w:rPr>
        <w:t>和资金使用率较低，如达古冰川人才岗保护资金和选调生到村任职专项补助资金</w:t>
      </w:r>
      <w:r>
        <w:rPr>
          <w:rFonts w:hint="eastAsia" w:ascii="仿宋_GB2312" w:eastAsia="仿宋_GB2312" w:cs="仿宋_GB2312"/>
          <w:b w:val="0"/>
          <w:bCs w:val="0"/>
          <w:kern w:val="0"/>
          <w:position w:val="0"/>
          <w:sz w:val="32"/>
          <w:szCs w:val="32"/>
          <w:highlight w:val="none"/>
          <w:lang w:val="en-US" w:eastAsia="zh-CN" w:bidi="ar-SA"/>
        </w:rPr>
        <w:t>。扣2分</w:t>
      </w:r>
      <w:r>
        <w:rPr>
          <w:rFonts w:hint="eastAsia" w:ascii="仿宋_GB2312" w:hAnsi="仿宋_GB2312" w:cs="仿宋_GB2312"/>
          <w:b w:val="0"/>
          <w:bCs w:val="0"/>
          <w:kern w:val="0"/>
          <w:position w:val="0"/>
          <w:sz w:val="32"/>
          <w:szCs w:val="32"/>
          <w:highlight w:val="none"/>
          <w:lang w:val="en-US" w:eastAsia="zh-CN" w:bidi="ar-SA"/>
        </w:rPr>
        <w:t>，</w:t>
      </w:r>
      <w:r>
        <w:rPr>
          <w:rFonts w:hint="eastAsia" w:ascii="仿宋_GB2312" w:eastAsia="仿宋_GB2312" w:cs="仿宋_GB2312"/>
          <w:b w:val="0"/>
          <w:bCs w:val="0"/>
          <w:kern w:val="0"/>
          <w:position w:val="0"/>
          <w:sz w:val="32"/>
          <w:szCs w:val="32"/>
          <w:highlight w:val="none"/>
          <w:lang w:val="en-US" w:eastAsia="zh-CN" w:bidi="ar-SA"/>
        </w:rPr>
        <w:t>自评得分</w:t>
      </w:r>
      <w:r>
        <w:rPr>
          <w:rFonts w:hint="eastAsia" w:ascii="仿宋_GB2312" w:hAnsi="仿宋_GB2312" w:cs="仿宋_GB2312"/>
          <w:b w:val="0"/>
          <w:bCs w:val="0"/>
          <w:kern w:val="0"/>
          <w:position w:val="0"/>
          <w:sz w:val="32"/>
          <w:szCs w:val="32"/>
          <w:highlight w:val="none"/>
          <w:lang w:val="en-US" w:eastAsia="zh-CN" w:bidi="ar-SA"/>
        </w:rPr>
        <w:t>3</w:t>
      </w:r>
      <w:r>
        <w:rPr>
          <w:rFonts w:hint="eastAsia" w:ascii="仿宋_GB2312" w:eastAsia="仿宋_GB2312" w:cs="仿宋_GB2312"/>
          <w:b w:val="0"/>
          <w:bCs w:val="0"/>
          <w:kern w:val="0"/>
          <w:position w:val="0"/>
          <w:sz w:val="32"/>
          <w:szCs w:val="32"/>
          <w:highlight w:val="none"/>
          <w:lang w:val="en-US" w:eastAsia="zh-CN" w:bidi="ar-SA"/>
        </w:rPr>
        <w:t>分。</w:t>
      </w:r>
    </w:p>
    <w:p>
      <w:pPr>
        <w:pStyle w:val="7"/>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eastAsia="黑体"/>
          <w:color w:val="auto"/>
          <w:sz w:val="32"/>
          <w:szCs w:val="32"/>
          <w:highlight w:val="none"/>
          <w:u w:val="none"/>
        </w:rPr>
      </w:pPr>
      <w:r>
        <w:rPr>
          <w:rFonts w:hint="eastAsia" w:ascii="黑体" w:eastAsia="黑体"/>
          <w:color w:val="auto"/>
          <w:sz w:val="32"/>
          <w:szCs w:val="32"/>
          <w:highlight w:val="none"/>
          <w:u w:val="none"/>
          <w:lang w:eastAsia="zh-CN"/>
        </w:rPr>
        <w:t>四</w:t>
      </w:r>
      <w:r>
        <w:rPr>
          <w:rFonts w:hint="eastAsia" w:ascii="黑体" w:eastAsia="黑体"/>
          <w:color w:val="auto"/>
          <w:sz w:val="32"/>
          <w:szCs w:val="32"/>
          <w:highlight w:val="none"/>
          <w:u w:val="none"/>
        </w:rPr>
        <w:t>、评价结论</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cs="仿宋_GB2312"/>
          <w:b w:val="0"/>
          <w:bCs w:val="0"/>
          <w:kern w:val="0"/>
          <w:position w:val="0"/>
          <w:sz w:val="32"/>
          <w:szCs w:val="32"/>
          <w:highlight w:val="none"/>
          <w:lang w:val="en-US" w:eastAsia="zh-CN" w:bidi="ar-SA"/>
        </w:rPr>
      </w:pPr>
      <w:r>
        <w:rPr>
          <w:rFonts w:hint="eastAsia" w:ascii="仿宋_GB2312" w:cs="仿宋_GB2312"/>
          <w:b w:val="0"/>
          <w:bCs w:val="0"/>
          <w:kern w:val="0"/>
          <w:position w:val="0"/>
          <w:sz w:val="32"/>
          <w:szCs w:val="32"/>
          <w:highlight w:val="none"/>
          <w:lang w:val="en-US" w:eastAsia="zh-CN" w:bidi="ar-SA"/>
        </w:rPr>
        <w:t>202</w:t>
      </w:r>
      <w:r>
        <w:rPr>
          <w:rFonts w:ascii="仿宋_GB2312" w:cs="仿宋_GB2312"/>
          <w:b w:val="0"/>
          <w:bCs w:val="0"/>
          <w:kern w:val="0"/>
          <w:position w:val="0"/>
          <w:sz w:val="32"/>
          <w:szCs w:val="32"/>
          <w:highlight w:val="none"/>
          <w:lang w:val="en-US" w:eastAsia="zh-CN" w:bidi="ar-SA"/>
        </w:rPr>
        <w:t>4</w:t>
      </w:r>
      <w:r>
        <w:rPr>
          <w:rFonts w:hint="eastAsia" w:ascii="仿宋_GB2312" w:cs="仿宋_GB2312"/>
          <w:b w:val="0"/>
          <w:bCs w:val="0"/>
          <w:kern w:val="0"/>
          <w:position w:val="0"/>
          <w:sz w:val="32"/>
          <w:szCs w:val="32"/>
          <w:highlight w:val="none"/>
          <w:lang w:val="en-US" w:eastAsia="zh-CN" w:bidi="ar-SA"/>
        </w:rPr>
        <w:t>年我部门该项目在人大监督、巡视巡查、审计监督中未出现相关问题，项目绩效符合预期目标。自评得分：9</w:t>
      </w:r>
      <w:r>
        <w:rPr>
          <w:rFonts w:ascii="仿宋_GB2312" w:cs="仿宋_GB2312"/>
          <w:b w:val="0"/>
          <w:bCs w:val="0"/>
          <w:kern w:val="0"/>
          <w:position w:val="0"/>
          <w:sz w:val="32"/>
          <w:szCs w:val="32"/>
          <w:highlight w:val="none"/>
          <w:lang w:val="en-US" w:eastAsia="zh-CN" w:bidi="ar-SA"/>
        </w:rPr>
        <w:t>1</w:t>
      </w:r>
      <w:r>
        <w:rPr>
          <w:rFonts w:hint="eastAsia" w:ascii="仿宋_GB2312" w:cs="仿宋_GB2312"/>
          <w:b w:val="0"/>
          <w:bCs w:val="0"/>
          <w:kern w:val="0"/>
          <w:position w:val="0"/>
          <w:sz w:val="32"/>
          <w:szCs w:val="32"/>
          <w:highlight w:val="none"/>
          <w:lang w:val="en-US" w:eastAsia="zh-CN" w:bidi="ar-SA"/>
        </w:rPr>
        <w:t>分。</w:t>
      </w:r>
    </w:p>
    <w:p>
      <w:pPr>
        <w:pStyle w:val="7"/>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eastAsia="黑体" w:cs="Times New Roman"/>
          <w:color w:val="auto"/>
          <w:sz w:val="32"/>
          <w:szCs w:val="32"/>
          <w:highlight w:val="none"/>
          <w:u w:val="none"/>
          <w:lang w:eastAsia="zh-CN"/>
        </w:rPr>
      </w:pPr>
      <w:r>
        <w:rPr>
          <w:rFonts w:hint="eastAsia" w:ascii="黑体" w:cs="Times New Roman"/>
          <w:color w:val="auto"/>
          <w:sz w:val="32"/>
          <w:szCs w:val="32"/>
          <w:highlight w:val="none"/>
          <w:u w:val="none"/>
          <w:lang w:eastAsia="zh-CN"/>
        </w:rPr>
        <w:t>五、</w:t>
      </w:r>
      <w:r>
        <w:rPr>
          <w:rFonts w:hint="eastAsia" w:ascii="黑体" w:eastAsia="黑体" w:cs="Times New Roman"/>
          <w:color w:val="auto"/>
          <w:sz w:val="32"/>
          <w:szCs w:val="32"/>
          <w:highlight w:val="none"/>
          <w:u w:val="none"/>
          <w:lang w:eastAsia="zh-CN"/>
        </w:rPr>
        <w:t>存在主要问题</w:t>
      </w:r>
    </w:p>
    <w:p>
      <w:pPr>
        <w:pStyle w:val="7"/>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仿宋_GB2312" w:eastAsia="仿宋_GB2312" w:cs="仿宋_GB2312"/>
          <w:b w:val="0"/>
          <w:bCs w:val="0"/>
          <w:kern w:val="0"/>
          <w:position w:val="0"/>
          <w:sz w:val="32"/>
          <w:szCs w:val="32"/>
          <w:highlight w:val="none"/>
          <w:lang w:val="en-US" w:eastAsia="zh-CN" w:bidi="ar-SA"/>
        </w:rPr>
      </w:pPr>
      <w:r>
        <w:rPr>
          <w:rFonts w:ascii="仿宋_GB2312" w:eastAsia="仿宋_GB2312" w:cs="仿宋_GB2312"/>
          <w:b w:val="0"/>
          <w:bCs w:val="0"/>
          <w:kern w:val="0"/>
          <w:position w:val="0"/>
          <w:sz w:val="32"/>
          <w:szCs w:val="32"/>
          <w:highlight w:val="none"/>
          <w:lang w:val="en-US" w:eastAsia="zh-CN" w:bidi="ar-SA"/>
        </w:rPr>
        <w:t>一是资金使用方案不够细致，达古冰川人才岗保护资金和选调生到村任职专项补助资金资金使用率较低。二是业务能力有待提高。</w:t>
      </w:r>
    </w:p>
    <w:p>
      <w:pPr>
        <w:pStyle w:val="7"/>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eastAsia="黑体" w:cs="Times New Roman"/>
          <w:color w:val="auto"/>
          <w:kern w:val="0"/>
          <w:position w:val="3"/>
          <w:sz w:val="32"/>
          <w:szCs w:val="32"/>
          <w:highlight w:val="none"/>
          <w:u w:val="none"/>
          <w:lang w:val="zh-CN" w:eastAsia="zh-CN" w:bidi="ar-SA"/>
        </w:rPr>
      </w:pPr>
      <w:r>
        <w:rPr>
          <w:rFonts w:hint="eastAsia" w:ascii="黑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eastAsia="仿宋_GB2312" w:cs="仿宋_GB2312"/>
          <w:b w:val="0"/>
          <w:bCs w:val="0"/>
          <w:kern w:val="0"/>
          <w:position w:val="0"/>
          <w:sz w:val="32"/>
          <w:szCs w:val="32"/>
          <w:highlight w:val="none"/>
          <w:lang w:eastAsia="zh-CN" w:bidi="ar-SA"/>
        </w:rPr>
      </w:pPr>
      <w:r>
        <w:rPr>
          <w:rFonts w:hint="eastAsia" w:asci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cs="仿宋_GB2312"/>
          <w:b w:val="0"/>
          <w:bCs w:val="0"/>
          <w:kern w:val="0"/>
          <w:position w:val="0"/>
          <w:sz w:val="32"/>
          <w:szCs w:val="32"/>
          <w:highlight w:val="none"/>
          <w:lang w:val="en-US" w:eastAsia="zh-CN" w:bidi="ar-SA"/>
        </w:rPr>
        <w:t xml:space="preserve">  </w:t>
      </w:r>
      <w:bookmarkStart w:id="0" w:name="_Hlk110546638"/>
      <w:r>
        <w:rPr>
          <w:rFonts w:hint="eastAsia" w:ascii="仿宋_GB2312" w:cs="仿宋_GB2312"/>
          <w:b w:val="0"/>
          <w:bCs w:val="0"/>
          <w:kern w:val="0"/>
          <w:position w:val="0"/>
          <w:sz w:val="32"/>
          <w:szCs w:val="32"/>
          <w:highlight w:val="none"/>
          <w:lang w:val="en-US" w:eastAsia="zh-CN" w:bidi="ar-SA"/>
        </w:rPr>
        <w:t>一是完善相关内控制度；三是提高工作细致度，完善资料归档。</w:t>
      </w:r>
      <w:r>
        <w:rPr>
          <w:rFonts w:ascii="仿宋_GB2312" w:cs="仿宋_GB2312"/>
          <w:b w:val="0"/>
          <w:bCs w:val="0"/>
          <w:kern w:val="0"/>
          <w:position w:val="0"/>
          <w:sz w:val="32"/>
          <w:szCs w:val="32"/>
          <w:highlight w:val="none"/>
          <w:lang w:val="en-US" w:eastAsia="zh-CN" w:bidi="ar-SA"/>
        </w:rPr>
        <w:t>四是合理制定专项资金使用方案并加强资金支出进度。</w:t>
      </w:r>
    </w:p>
    <w:bookmarkEnd w:id="0"/>
    <w:p>
      <w:pPr>
        <w:keepNext w:val="0"/>
        <w:keepLines w:val="0"/>
        <w:pageBreakBefore w:val="0"/>
        <w:widowControl w:val="0"/>
        <w:kinsoku/>
        <w:wordWrap/>
        <w:overflowPunct/>
        <w:topLinePunct w:val="0"/>
        <w:autoSpaceDE/>
        <w:autoSpaceDN/>
        <w:bidi w:val="0"/>
        <w:adjustRightInd/>
        <w:snapToGrid w:val="0"/>
        <w:spacing w:line="578" w:lineRule="exact"/>
        <w:ind w:left="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widowControl w:val="0"/>
        <w:kinsoku/>
        <w:wordWrap/>
        <w:overflowPunct/>
        <w:topLinePunct w:val="0"/>
        <w:autoSpaceDE/>
        <w:autoSpaceDN/>
        <w:adjustRightInd/>
        <w:snapToGrid w:val="0"/>
        <w:spacing w:line="578" w:lineRule="exact"/>
        <w:ind w:left="0" w:firstLine="640" w:firstLineChars="200"/>
        <w:rPr>
          <w:rFonts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附表：1.专项预算项目绩效目标完成情况自评表</w:t>
      </w:r>
    </w:p>
    <w:p>
      <w:pPr>
        <w:keepNext w:val="0"/>
        <w:keepLines w:val="0"/>
        <w:pageBreakBefore w:val="0"/>
        <w:widowControl w:val="0"/>
        <w:kinsoku/>
        <w:wordWrap/>
        <w:overflowPunct/>
        <w:topLinePunct w:val="0"/>
        <w:autoSpaceDE/>
        <w:autoSpaceDN/>
        <w:bidi w:val="0"/>
        <w:adjustRightInd/>
        <w:snapToGrid w:val="0"/>
        <w:spacing w:line="578" w:lineRule="exact"/>
        <w:ind w:left="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hint="eastAsia" w:ascii="黑体" w:eastAsia="黑体" w:cs="黑体"/>
          <w:b w:val="0"/>
          <w:bCs w:val="0"/>
          <w:color w:val="auto"/>
          <w:kern w:val="0"/>
          <w:sz w:val="32"/>
          <w:szCs w:val="32"/>
          <w:highlight w:val="none"/>
          <w:u w:val="none"/>
          <w:shd w:val="clear" w:color="auto" w:fill="FFFFFF"/>
          <w:lang w:val="zh-CN" w:eastAsia="zh-CN"/>
        </w:rPr>
      </w:pPr>
      <w:r>
        <w:rPr>
          <w:rFonts w:hint="eastAsia" w:ascii="黑体" w:eastAsia="黑体" w:cs="黑体"/>
          <w:b w:val="0"/>
          <w:bCs w:val="0"/>
          <w:color w:val="auto"/>
          <w:kern w:val="0"/>
          <w:sz w:val="32"/>
          <w:szCs w:val="32"/>
          <w:highlight w:val="none"/>
          <w:u w:val="none"/>
          <w:shd w:val="clear" w:color="auto" w:fill="FFFFFF"/>
          <w:lang w:val="zh-CN" w:eastAsia="zh-CN"/>
        </w:rPr>
        <w:t>附表</w:t>
      </w:r>
    </w:p>
    <w:tbl>
      <w:tblPr>
        <w:tblStyle w:val="1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27"/>
        <w:gridCol w:w="1105"/>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黑体" w:eastAsia="黑体" w:cs="黑体"/>
                <w:i w:val="0"/>
                <w:color w:val="000000"/>
                <w:sz w:val="30"/>
                <w:szCs w:val="30"/>
                <w:u w:val="none"/>
              </w:rPr>
            </w:pPr>
            <w:r>
              <w:rPr>
                <w:rFonts w:hint="eastAsia" w:ascii="方正小标宋简体" w:eastAsia="方正小标宋简体" w:cs="方正小标宋简体"/>
                <w:i w:val="0"/>
                <w:color w:val="000000"/>
                <w:kern w:val="0"/>
                <w:sz w:val="40"/>
                <w:szCs w:val="40"/>
                <w:u w:val="none"/>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人才专项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中共黑水县委组织部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行政运转类常年项目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干部人才培训、培养培育。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阿州财行</w:t>
            </w:r>
            <w:r>
              <w:rPr>
                <w:rFonts w:hint="eastAsia" w:ascii="宋体" w:eastAsia="宋体" w:cs="宋体"/>
                <w:i w:val="0"/>
                <w:color w:val="000000"/>
                <w:sz w:val="24"/>
                <w:szCs w:val="24"/>
                <w:u w:val="none"/>
                <w:lang w:val="en-US" w:eastAsia="zh-CN"/>
              </w:rPr>
              <w:t>[202</w:t>
            </w:r>
            <w:r>
              <w:rPr>
                <w:rFonts w:ascii="宋体" w:eastAsia="宋体" w:cs="宋体"/>
                <w:i w:val="0"/>
                <w:color w:val="000000"/>
                <w:sz w:val="24"/>
                <w:szCs w:val="24"/>
                <w:u w:val="none"/>
                <w:lang w:val="en-US" w:eastAsia="zh-CN"/>
              </w:rPr>
              <w:t>4</w:t>
            </w:r>
            <w:r>
              <w:rPr>
                <w:rFonts w:hint="eastAsia" w:ascii="宋体" w:eastAsia="宋体" w:cs="宋体"/>
                <w:i w:val="0"/>
                <w:color w:val="000000"/>
                <w:sz w:val="24"/>
                <w:szCs w:val="24"/>
                <w:u w:val="none"/>
                <w:lang w:val="en-US" w:eastAsia="zh-CN"/>
              </w:rPr>
              <w:t>]1</w:t>
            </w:r>
            <w:r>
              <w:rPr>
                <w:rFonts w:ascii="宋体" w:eastAsia="宋体" w:cs="宋体"/>
                <w:i w:val="0"/>
                <w:color w:val="000000"/>
                <w:sz w:val="24"/>
                <w:szCs w:val="24"/>
                <w:u w:val="none"/>
                <w:lang w:val="en-US" w:eastAsia="zh-CN"/>
              </w:rPr>
              <w:t>9</w:t>
            </w:r>
            <w:r>
              <w:rPr>
                <w:rFonts w:hint="eastAsia" w:ascii="宋体" w:eastAsia="宋体" w:cs="宋体"/>
                <w:i w:val="0"/>
                <w:color w:val="000000"/>
                <w:sz w:val="24"/>
                <w:szCs w:val="24"/>
                <w:u w:val="none"/>
                <w:lang w:val="en-US" w:eastAsia="zh-CN"/>
              </w:rPr>
              <w:t>/</w:t>
            </w:r>
            <w:r>
              <w:rPr>
                <w:rFonts w:ascii="宋体" w:eastAsia="宋体" w:cs="宋体"/>
                <w:i w:val="0"/>
                <w:color w:val="000000"/>
                <w:sz w:val="24"/>
                <w:szCs w:val="24"/>
                <w:u w:val="none"/>
                <w:lang w:val="en-US" w:eastAsia="zh-CN"/>
              </w:rPr>
              <w:t>2</w:t>
            </w:r>
            <w:r>
              <w:rPr>
                <w:rFonts w:hint="eastAsia" w:ascii="宋体" w:eastAsia="宋体" w:cs="宋体"/>
                <w:i w:val="0"/>
                <w:color w:val="000000"/>
                <w:sz w:val="24"/>
                <w:szCs w:val="24"/>
                <w:u w:val="none"/>
                <w:lang w:val="en-US" w:eastAsia="zh-CN"/>
              </w:rPr>
              <w:t>/</w:t>
            </w:r>
            <w:r>
              <w:rPr>
                <w:rFonts w:ascii="宋体" w:eastAsia="宋体" w:cs="宋体"/>
                <w:i w:val="0"/>
                <w:color w:val="000000"/>
                <w:sz w:val="24"/>
                <w:szCs w:val="24"/>
                <w:u w:val="none"/>
                <w:lang w:val="en-US" w:eastAsia="zh-CN"/>
              </w:rPr>
              <w:t>39</w:t>
            </w:r>
            <w:r>
              <w:rPr>
                <w:rFonts w:hint="eastAsia" w:ascii="宋体" w:eastAsia="宋体" w:cs="宋体"/>
                <w:i w:val="0"/>
                <w:color w:val="000000"/>
                <w:sz w:val="24"/>
                <w:szCs w:val="24"/>
                <w:u w:val="none"/>
                <w:lang w:val="en-US" w:eastAsia="zh-CN"/>
              </w:rPr>
              <w:t>/3/8</w:t>
            </w:r>
            <w:r>
              <w:rPr>
                <w:rFonts w:ascii="宋体" w:eastAsia="宋体" w:cs="宋体"/>
                <w:i w:val="0"/>
                <w:color w:val="000000"/>
                <w:sz w:val="24"/>
                <w:szCs w:val="24"/>
                <w:u w:val="none"/>
                <w:lang w:val="en-US" w:eastAsia="zh-CN"/>
              </w:rPr>
              <w:t>/55/1</w:t>
            </w:r>
            <w:r>
              <w:rPr>
                <w:rFonts w:hint="eastAsia" w:ascii="宋体" w:eastAsia="宋体" w:cs="宋体"/>
                <w:i w:val="0"/>
                <w:color w:val="000000"/>
                <w:sz w:val="24"/>
                <w:szCs w:val="24"/>
                <w:u w:val="none"/>
                <w:lang w:val="en-US" w:eastAsia="zh-CN"/>
              </w:rPr>
              <w:t>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按照资金文件立项。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黑水县干部人才。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202</w:t>
            </w:r>
            <w:r>
              <w:rPr>
                <w:rFonts w:ascii="宋体" w:eastAsia="宋体" w:cs="宋体"/>
                <w:i w:val="0"/>
                <w:color w:val="000000"/>
                <w:sz w:val="24"/>
                <w:szCs w:val="24"/>
                <w:u w:val="none"/>
                <w:lang w:val="en-US" w:eastAsia="zh-CN"/>
              </w:rPr>
              <w:t>4</w:t>
            </w:r>
            <w:r>
              <w:rPr>
                <w:rFonts w:hint="eastAsia" w:ascii="宋体" w:eastAsia="宋体" w:cs="宋体"/>
                <w:i w:val="0"/>
                <w:color w:val="000000"/>
                <w:sz w:val="24"/>
                <w:szCs w:val="24"/>
                <w:u w:val="none"/>
                <w:lang w:val="en-US" w:eastAsia="zh-CN"/>
              </w:rPr>
              <w:t>年1月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202</w:t>
            </w:r>
            <w:r>
              <w:rPr>
                <w:rFonts w:ascii="宋体" w:eastAsia="宋体" w:cs="宋体"/>
                <w:i w:val="0"/>
                <w:color w:val="000000"/>
                <w:sz w:val="24"/>
                <w:szCs w:val="24"/>
                <w:u w:val="none"/>
                <w:lang w:val="en-US" w:eastAsia="zh-CN"/>
              </w:rPr>
              <w:t>4</w:t>
            </w:r>
            <w:r>
              <w:rPr>
                <w:rFonts w:hint="eastAsia" w:ascii="宋体" w:eastAsia="宋体" w:cs="宋体"/>
                <w:i w:val="0"/>
                <w:color w:val="000000"/>
                <w:sz w:val="24"/>
                <w:szCs w:val="24"/>
                <w:u w:val="none"/>
                <w:lang w:val="en-US" w:eastAsia="zh-CN"/>
              </w:rPr>
              <w:t>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360.9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w:t>
            </w:r>
            <w:r>
              <w:rPr>
                <w:rFonts w:hint="eastAsia" w:ascii="宋体" w:eastAsia="宋体" w:cs="宋体"/>
                <w:i w:val="0"/>
                <w:color w:val="000000"/>
                <w:kern w:val="0"/>
                <w:sz w:val="24"/>
                <w:szCs w:val="24"/>
                <w:u w:val="none"/>
                <w:lang w:val="en-US" w:eastAsia="zh-CN"/>
              </w:rPr>
              <w:t xml:space="preserve"> </w:t>
            </w:r>
            <w:r>
              <w:rPr>
                <w:rFonts w:ascii="宋体" w:eastAsia="宋体" w:cs="宋体"/>
                <w:i w:val="0"/>
                <w:color w:val="000000"/>
                <w:kern w:val="0"/>
                <w:sz w:val="24"/>
                <w:szCs w:val="24"/>
                <w:u w:val="none"/>
                <w:lang w:val="en-US" w:eastAsia="zh-CN"/>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360.9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righ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完成全县人才干部培训、招录、考察、培养培育等工作。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指标性质</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指标值</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08"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val="en-US" w:eastAsia="zh-CN"/>
              </w:rPr>
            </w:pPr>
            <w:r>
              <w:rPr>
                <w:rFonts w:hint="eastAsia" w:ascii="宋体" w:eastAsia="宋体" w:cs="宋体"/>
                <w:i w:val="0"/>
                <w:color w:val="000000"/>
                <w:sz w:val="18"/>
                <w:szCs w:val="18"/>
                <w:u w:val="none"/>
                <w:lang w:val="en-US" w:eastAsia="zh-CN"/>
              </w:rPr>
              <w:t>人才补助人数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人数</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w:t>
            </w:r>
            <w:r>
              <w:rPr>
                <w:rFonts w:hint="eastAsia" w:ascii="宋体" w:eastAsia="宋体" w:cs="宋体"/>
                <w:i w:val="0"/>
                <w:color w:val="000000"/>
                <w:sz w:val="24"/>
                <w:szCs w:val="24"/>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培训受益人数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w:t>
            </w:r>
            <w:r>
              <w:rPr>
                <w:rFonts w:hint="eastAsia" w:ascii="宋体" w:eastAsia="宋体" w:cs="宋体"/>
                <w:i w:val="0"/>
                <w:color w:val="000000"/>
                <w:sz w:val="24"/>
                <w:szCs w:val="24"/>
                <w:u w:val="none"/>
                <w:lang w:val="en-US" w:eastAsia="zh-CN"/>
              </w:rPr>
              <w:t>800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w:t>
            </w:r>
            <w:r>
              <w:rPr>
                <w:rFonts w:hint="eastAsia" w:ascii="宋体" w:eastAsia="宋体" w:cs="宋体"/>
                <w:i w:val="0"/>
                <w:color w:val="000000"/>
                <w:sz w:val="24"/>
                <w:szCs w:val="24"/>
                <w:u w:val="none"/>
                <w:lang w:val="en-US" w:eastAsia="zh-CN"/>
              </w:rPr>
              <w: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培训期数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32</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期</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rPr>
                <w:rFonts w:ascii="宋体" w:eastAsia="宋体" w:cs="宋体"/>
                <w:i w:val="0"/>
                <w:color w:val="000000"/>
                <w:sz w:val="18"/>
                <w:szCs w:val="18"/>
                <w:u w:val="none"/>
                <w:lang w:eastAsia="zh-CN"/>
              </w:rPr>
            </w:pPr>
            <w:r>
              <w:rPr>
                <w:rFonts w:ascii="宋体" w:eastAsia="宋体" w:cs="宋体"/>
                <w:i w:val="0"/>
                <w:color w:val="000000"/>
                <w:sz w:val="18"/>
                <w:szCs w:val="18"/>
                <w:u w:val="none"/>
                <w:lang w:eastAsia="zh-CN"/>
              </w:rPr>
              <w:t>外派交流人数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sz w:val="24"/>
                <w:szCs w:val="24"/>
                <w:lang w:val="en-US" w:eastAsia="zh-CN"/>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80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i w:val="0"/>
                <w:color w:val="000000"/>
                <w:sz w:val="24"/>
                <w:szCs w:val="24"/>
                <w:u w:val="none"/>
                <w:lang w:eastAsia="zh-CN"/>
              </w:rPr>
            </w:pPr>
            <w:r>
              <w:rPr>
                <w:rFonts w:ascii="宋体" w:eastAsia="宋体" w:cs="宋体"/>
                <w:i w:val="0"/>
                <w:color w:val="000000"/>
                <w:sz w:val="24"/>
                <w:szCs w:val="24"/>
                <w:u w:val="none"/>
                <w:lang w:eastAsia="zh-CN"/>
              </w:rPr>
              <w:t>人数</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人才港建设基地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sz w:val="24"/>
                <w:szCs w:val="24"/>
                <w:lang w:eastAsia="zh-CN"/>
              </w:rPr>
            </w:pPr>
            <w:r>
              <w:rPr>
                <w:rFonts w:hint="eastAsia" w:ascii="宋体" w:eastAsia="宋体" w:cs="宋体"/>
                <w:sz w:val="24"/>
                <w:szCs w:val="24"/>
                <w:lang w:val="en-US" w:eastAsia="zh-CN"/>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培训好评率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98</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时效指标</w:t>
            </w:r>
          </w:p>
        </w:tc>
        <w:tc>
          <w:tcPr>
            <w:tcW w:w="1312"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支付时限</w:t>
            </w:r>
          </w:p>
        </w:tc>
        <w:tc>
          <w:tcPr>
            <w:tcW w:w="1127"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12</w:t>
            </w:r>
          </w:p>
        </w:tc>
        <w:tc>
          <w:tcPr>
            <w:tcW w:w="1105"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月</w:t>
            </w:r>
          </w:p>
        </w:tc>
        <w:tc>
          <w:tcPr>
            <w:tcW w:w="938"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组织培养的人才促进地方人才经济收货率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99</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hint="eastAsia" w:asci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eastAsia" w:ascii="宋体" w:eastAsia="宋体" w:cs="宋体"/>
                <w:i w:val="0"/>
                <w:color w:val="000000"/>
                <w:sz w:val="18"/>
                <w:szCs w:val="18"/>
                <w:u w:val="none"/>
                <w:lang w:eastAsia="zh-CN"/>
              </w:rPr>
            </w:pPr>
            <w:r>
              <w:rPr>
                <w:rFonts w:hint="eastAsia" w:ascii="宋体" w:eastAsia="宋体" w:cs="宋体"/>
                <w:i w:val="0"/>
                <w:color w:val="000000"/>
                <w:kern w:val="0"/>
                <w:sz w:val="24"/>
                <w:szCs w:val="24"/>
                <w:u w:val="none"/>
                <w:lang w:val="en-US" w:eastAsia="zh-CN"/>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员带动基层发展好评率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98</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w:t>
            </w:r>
          </w:p>
        </w:tc>
        <w:tc>
          <w:tcPr>
            <w:tcW w:w="125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eastAsia="zh-CN"/>
              </w:rPr>
            </w:pPr>
            <w:r>
              <w:rPr>
                <w:rFonts w:hint="eastAsia" w:ascii="宋体" w:eastAsia="宋体" w:cs="宋体"/>
                <w:i w:val="0"/>
                <w:color w:val="000000"/>
                <w:sz w:val="18"/>
                <w:szCs w:val="18"/>
                <w:u w:val="none"/>
                <w:lang w:eastAsia="zh-CN"/>
              </w:rPr>
              <w:t>服务对象满意度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sz w:val="24"/>
                <w:szCs w:val="24"/>
                <w:lang w:val="en-US" w:eastAsia="zh-CN"/>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98</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成本指标</w:t>
            </w:r>
          </w:p>
        </w:tc>
        <w:tc>
          <w:tcPr>
            <w:tcW w:w="1250"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eastAsia" w:ascii="宋体" w:eastAsia="宋体" w:cs="宋体"/>
                <w:i w:val="0"/>
                <w:color w:val="000000"/>
                <w:sz w:val="24"/>
                <w:szCs w:val="24"/>
                <w:u w:val="none"/>
              </w:rPr>
            </w:pP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硕博进阿坝安家补助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w:t>
            </w:r>
            <w:r>
              <w:rPr>
                <w:rFonts w:ascii="宋体" w:eastAsia="宋体" w:cs="宋体"/>
                <w:i w:val="0"/>
                <w:color w:val="000000"/>
                <w:sz w:val="24"/>
                <w:szCs w:val="24"/>
                <w:u w:val="none"/>
                <w:lang w:val="en-US" w:eastAsia="zh-CN"/>
              </w:rPr>
              <w:t>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万元</w:t>
            </w:r>
            <w:r>
              <w:rPr>
                <w:rFonts w:hint="eastAsia" w:asci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1</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10</w:t>
            </w:r>
            <w:r>
              <w:rPr>
                <w:rFonts w:hint="eastAsia" w:ascii="宋体" w:eastAsia="宋体" w:cs="宋体"/>
                <w:i w:val="0"/>
                <w:color w:val="000000"/>
                <w:sz w:val="24"/>
                <w:szCs w:val="24"/>
                <w:u w:val="none"/>
                <w:lang w:val="en-US" w:eastAsia="zh-CN"/>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nil"/>
              <w:left w:val="single" w:color="000000" w:sz="4" w:space="0"/>
              <w:bottom w:val="nil"/>
              <w:right w:val="single" w:color="000000" w:sz="4" w:space="0"/>
            </w:tcBorders>
            <w:shd w:val="clear" w:color="auto" w:fill="auto"/>
            <w:noWrap/>
            <w:vAlign w:val="center"/>
          </w:tcPr>
          <w:p/>
        </w:tc>
        <w:tc>
          <w:tcPr>
            <w:tcW w:w="1250" w:type="dxa"/>
            <w:vMerge w:val="continue"/>
            <w:tcBorders>
              <w:top w:val="nil"/>
              <w:left w:val="single" w:color="000000" w:sz="4" w:space="0"/>
              <w:bottom w:val="nil"/>
              <w:right w:val="single" w:color="000000" w:sz="4" w:space="0"/>
            </w:tcBorders>
            <w:shd w:val="clear" w:color="auto" w:fill="auto"/>
            <w:noWrap/>
            <w:vAlign w:val="center"/>
          </w:tcP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人才港补助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sz w:val="24"/>
                <w:szCs w:val="24"/>
                <w:lang w:val="en-US" w:eastAsia="zh-CN"/>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30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12.96</w:t>
            </w:r>
            <w:r>
              <w:rPr>
                <w:rFonts w:hint="eastAsia" w:ascii="宋体" w:eastAsia="宋体" w:cs="宋体"/>
                <w:i w:val="0"/>
                <w:color w:val="000000"/>
                <w:sz w:val="24"/>
                <w:szCs w:val="24"/>
                <w:u w:val="none"/>
                <w:lang w:val="en-US" w:eastAsia="zh-CN"/>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nil"/>
              <w:left w:val="single" w:color="000000" w:sz="4" w:space="0"/>
              <w:bottom w:val="nil"/>
              <w:right w:val="single" w:color="000000" w:sz="4" w:space="0"/>
            </w:tcBorders>
            <w:shd w:val="clear" w:color="auto" w:fill="auto"/>
            <w:noWrap/>
            <w:vAlign w:val="center"/>
          </w:tcPr>
          <w:p/>
        </w:tc>
        <w:tc>
          <w:tcPr>
            <w:tcW w:w="1250" w:type="dxa"/>
            <w:vMerge w:val="continue"/>
            <w:tcBorders>
              <w:top w:val="nil"/>
              <w:left w:val="single" w:color="000000" w:sz="4" w:space="0"/>
              <w:bottom w:val="nil"/>
              <w:right w:val="single" w:color="000000" w:sz="4" w:space="0"/>
            </w:tcBorders>
            <w:shd w:val="clear" w:color="auto" w:fill="auto"/>
            <w:noWrap/>
            <w:vAlign w:val="center"/>
          </w:tcP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选调生到村任职工作补助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4.1</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万</w:t>
            </w:r>
            <w:r>
              <w:rPr>
                <w:rFonts w:hint="eastAsia" w:asci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2</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firstLine="240" w:firstLineChars="100"/>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28.87</w:t>
            </w:r>
            <w:r>
              <w:rPr>
                <w:rFonts w:hint="eastAsia" w:ascii="宋体" w:eastAsia="宋体" w:cs="宋体"/>
                <w:i w:val="0"/>
                <w:color w:val="000000"/>
                <w:sz w:val="24"/>
                <w:szCs w:val="24"/>
                <w:u w:val="none"/>
                <w:lang w:val="en-US" w:eastAsia="zh-CN"/>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p>
        </w:tc>
        <w:tc>
          <w:tcPr>
            <w:tcW w:w="1081"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125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eastAsia" w:ascii="宋体" w:eastAsia="宋体" w:cs="宋体"/>
                <w:i w:val="0"/>
                <w:color w:val="000000"/>
                <w:sz w:val="24"/>
                <w:szCs w:val="24"/>
                <w:u w:val="none"/>
              </w:rPr>
            </w:pP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专技人才补助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5000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元</w:t>
            </w:r>
            <w:r>
              <w:rPr>
                <w:rFonts w:hint="eastAsia" w:ascii="宋体" w:eastAsia="宋体" w:cs="宋体"/>
                <w:i w:val="0"/>
                <w:color w:val="000000"/>
                <w:sz w:val="24"/>
                <w:szCs w:val="24"/>
                <w:u w:val="none"/>
                <w:lang w:val="en-US" w:eastAsia="zh-CN"/>
              </w:rPr>
              <w:t>/月/人</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30</w:t>
            </w:r>
            <w:r>
              <w:rPr>
                <w:rFonts w:hint="eastAsia" w:ascii="宋体" w:eastAsia="宋体" w:cs="宋体"/>
                <w:i w:val="0"/>
                <w:color w:val="000000"/>
                <w:sz w:val="24"/>
                <w:szCs w:val="24"/>
                <w:u w:val="none"/>
                <w:lang w:val="en-US" w:eastAsia="zh-CN"/>
              </w:rPr>
              <w:t>万元</w:t>
            </w:r>
          </w:p>
        </w:tc>
      </w:tr>
    </w:tbl>
    <w:p>
      <w:pPr>
        <w:pStyle w:val="10"/>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10"/>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sectPr>
      <w:footerReference r:id="rId3" w:type="default"/>
      <w:pgSz w:w="11906" w:h="16838"/>
      <w:pgMar w:top="1440" w:right="1797" w:bottom="1440" w:left="1797"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
    <w:altName w:val="DejaVu Sans"/>
    <w:panose1 w:val="00000000000000000000"/>
    <w:charset w:val="00"/>
    <w:family w:val="auto"/>
    <w:pitch w:val="default"/>
    <w:sig w:usb0="00000000" w:usb1="00000000" w:usb2="00000000" w:usb3="00000000" w:csb0="00000000" w:csb1="00000000"/>
  </w:font>
  <w:font w:name="楷体à.ā">
    <w:altName w:val="楷体_GB2312"/>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Wingdings 2">
    <w:panose1 w:val="05020102010507070707"/>
    <w:charset w:val="02"/>
    <w:family w:val="auto"/>
    <w:pitch w:val="default"/>
    <w:sig w:usb0="00000000" w:usb1="00000000" w:usb2="00000000" w:usb3="00000000" w:csb0="8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444500" cy="230505"/>
              <wp:effectExtent l="0" t="0" r="0" b="0"/>
              <wp:wrapNone/>
              <wp:docPr id="1" name="文本框 1"/>
              <wp:cNvGraphicFramePr/>
              <a:graphic xmlns:a="http://schemas.openxmlformats.org/drawingml/2006/main">
                <a:graphicData uri="http://schemas.microsoft.com/office/word/2010/wordprocessingShape">
                  <wps:wsp>
                    <wps:cNvSpPr/>
                    <wps:spPr>
                      <a:xfrm>
                        <a:off x="0" y="0"/>
                        <a:ext cx="444500" cy="230251"/>
                      </a:xfrm>
                      <a:prstGeom prst="rect">
                        <a:avLst/>
                      </a:prstGeom>
                      <a:noFill/>
                      <a:ln w="6350" cap="flat" cmpd="sng">
                        <a:noFill/>
                        <a:prstDash val="solid"/>
                        <a:round/>
                      </a:ln>
                    </wps:spPr>
                    <wps:txbx>
                      <w:txbxContent>
                        <w:p>
                          <w:pPr>
                            <w:pStyle w:val="2"/>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hint="eastAsia" w:ascii="宋体" w:eastAsia="宋体" w:cs="宋体"/>
                              <w:sz w:val="28"/>
                              <w:szCs w:val="28"/>
                            </w:rPr>
                            <w:t>1</w:t>
                          </w:r>
                          <w:r>
                            <w:rPr>
                              <w:rFonts w:hint="eastAsia" w:asci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8.15pt;width:35pt;mso-position-horizontal:outside;mso-position-horizontal-relative:margin;mso-wrap-style:none;z-index:251659264;mso-width-relative:page;mso-height-relative:page;" filled="f" stroked="f" coordsize="21600,21600" o:gfxdata="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">
              <v:fill on="f" focussize="0,0"/>
              <v:stroke on="f" weight="0.5pt" joinstyle="round"/>
              <v:imagedata o:title=""/>
              <o:lock v:ext="edit" aspectratio="f"/>
              <v:textbox inset="0mm,0mm,0mm,0mm" style="mso-fit-shape-to-text:t;">
                <w:txbxContent>
                  <w:p>
                    <w:pPr>
                      <w:pStyle w:val="2"/>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hint="eastAsia" w:ascii="宋体" w:eastAsia="宋体" w:cs="宋体"/>
                        <w:sz w:val="28"/>
                        <w:szCs w:val="28"/>
                      </w:rPr>
                      <w:t>1</w:t>
                    </w:r>
                    <w:r>
                      <w:rPr>
                        <w:rFonts w:hint="eastAsia" w:ascii="宋体" w:eastAsia="宋体" w:cs="宋体"/>
                        <w:sz w:val="28"/>
                        <w:szCs w:val="2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C820C9"/>
    <w:multiLevelType w:val="singleLevel"/>
    <w:tmpl w:val="F3C820C9"/>
    <w:lvl w:ilvl="0" w:tentative="0">
      <w:start w:val="2"/>
      <w:numFmt w:val="chineseCounting"/>
      <w:suff w:val="nothing"/>
      <w:lvlText w:val="（%1）"/>
      <w:lvlJc w:val="left"/>
      <w:pPr>
        <w:ind w:left="0" w:firstLine="0"/>
      </w:pPr>
      <w:rPr>
        <w:rFonts w:hint="eastAsia"/>
      </w:rPr>
    </w:lvl>
  </w:abstractNum>
  <w:abstractNum w:abstractNumId="1">
    <w:nsid w:val="3B8AB48D"/>
    <w:multiLevelType w:val="singleLevel"/>
    <w:tmpl w:val="3B8AB48D"/>
    <w:lvl w:ilvl="0" w:tentative="0">
      <w:start w:val="2"/>
      <w:numFmt w:val="chineseCounting"/>
      <w:suff w:val="nothing"/>
      <w:lvlText w:val="（%1）"/>
      <w:lvlJc w:val="left"/>
      <w:pPr>
        <w:ind w:left="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docVars>
    <w:docVar w:name="commondata" w:val="eyJoZGlkIjoiZTgzNmEyOTFjMjZjODc0OGIyZjk3N2Q1Zjc3YWU5MjEifQ=="/>
  </w:docVars>
  <w:rsids>
    <w:rsidRoot w:val="00000000"/>
    <w:rsid w:val="DCEF96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4">
    <w:name w:val="heading 1"/>
    <w:basedOn w:val="1"/>
    <w:next w:val="1"/>
    <w:uiPriority w:val="0"/>
    <w:pPr>
      <w:keepNext/>
      <w:keepLines/>
      <w:widowControl w:val="0"/>
      <w:spacing w:before="340" w:after="330" w:line="578" w:lineRule="auto"/>
      <w:outlineLvl w:val="0"/>
    </w:pPr>
    <w:rPr>
      <w:b/>
      <w:bCs/>
      <w:kern w:val="44"/>
      <w:sz w:val="44"/>
      <w:szCs w:val="44"/>
    </w:rPr>
  </w:style>
  <w:style w:type="paragraph" w:styleId="5">
    <w:name w:val="heading 2"/>
    <w:basedOn w:val="1"/>
    <w:next w:val="1"/>
    <w:qFormat/>
    <w:uiPriority w:val="0"/>
    <w:pPr>
      <w:keepNext/>
      <w:keepLines/>
      <w:widowControl w:val="0"/>
      <w:spacing w:before="260" w:after="260" w:line="415" w:lineRule="auto"/>
      <w:outlineLvl w:val="1"/>
    </w:pPr>
    <w:rPr>
      <w:rFonts w:ascii="Times New Roman" w:hAnsi="Times New Roman" w:eastAsia="黑体"/>
      <w:b/>
      <w:sz w:val="32"/>
    </w:rPr>
  </w:style>
  <w:style w:type="paragraph" w:styleId="6">
    <w:name w:val="heading 3"/>
    <w:basedOn w:val="1"/>
    <w:next w:val="1"/>
    <w:uiPriority w:val="0"/>
    <w:pPr>
      <w:keepNext/>
      <w:keepLines/>
      <w:widowControl w:val="0"/>
      <w:spacing w:before="260" w:after="260" w:line="415" w:lineRule="auto"/>
      <w:outlineLvl w:val="2"/>
    </w:pPr>
    <w:rPr>
      <w:b/>
      <w:sz w:val="32"/>
    </w:rPr>
  </w:style>
  <w:style w:type="character" w:default="1" w:styleId="12">
    <w:name w:val="Default Paragraph Fon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footer"/>
    <w:basedOn w:val="1"/>
    <w:next w:val="3"/>
    <w:uiPriority w:val="0"/>
    <w:pPr>
      <w:widowControl w:val="0"/>
      <w:tabs>
        <w:tab w:val="center" w:pos="4153"/>
        <w:tab w:val="right" w:pos="8306"/>
      </w:tabs>
      <w:snapToGrid w:val="0"/>
      <w:jc w:val="left"/>
    </w:pPr>
    <w:rPr>
      <w:rFonts w:ascii="Times New Roman" w:hAnsi="Times New Roman" w:eastAsia="仿宋_GB2312" w:cs="Times New Roman"/>
      <w:kern w:val="2"/>
      <w:sz w:val="18"/>
      <w:szCs w:val="18"/>
      <w:lang w:val="zh-CN" w:eastAsia="zh-CN" w:bidi="ar-SA"/>
    </w:rPr>
  </w:style>
  <w:style w:type="paragraph" w:styleId="3">
    <w:name w:val="index 8"/>
    <w:basedOn w:val="1"/>
    <w:next w:val="1"/>
    <w:qFormat/>
    <w:uiPriority w:val="0"/>
    <w:pPr>
      <w:ind w:left="2940"/>
    </w:pPr>
  </w:style>
  <w:style w:type="paragraph" w:styleId="7">
    <w:name w:val="Body Text"/>
    <w:basedOn w:val="1"/>
    <w:next w:val="8"/>
    <w:uiPriority w:val="0"/>
    <w:pPr>
      <w:widowControl/>
      <w:tabs>
        <w:tab w:val="left" w:pos="2160"/>
      </w:tabs>
      <w:spacing w:line="480" w:lineRule="auto"/>
      <w:jc w:val="left"/>
    </w:pPr>
    <w:rPr>
      <w:rFonts w:ascii="楷体_GB2312" w:hAnsi="楷体_GB2312" w:eastAsia="黑体" w:cs="Times New Roman"/>
      <w:kern w:val="0"/>
      <w:position w:val="3"/>
      <w:sz w:val="20"/>
      <w:szCs w:val="20"/>
      <w:lang w:val="en-US" w:eastAsia="zh-CN" w:bidi="ar-SA"/>
    </w:rPr>
  </w:style>
  <w:style w:type="paragraph" w:styleId="8">
    <w:name w:val="header"/>
    <w:basedOn w:val="1"/>
    <w:qFormat/>
    <w:uiPriority w:val="0"/>
    <w:pPr>
      <w:pBdr>
        <w:bottom w:val="single" w:color="auto" w:sz="6" w:space="1"/>
      </w:pBdr>
      <w:tabs>
        <w:tab w:val="center" w:pos="4153"/>
        <w:tab w:val="right" w:pos="8306"/>
      </w:tabs>
      <w:snapToGrid w:val="0"/>
      <w:jc w:val="center"/>
    </w:pPr>
    <w:rPr>
      <w:rFonts w:ascii="Calibri" w:hAnsi="Calibri" w:eastAsia="宋体" w:cs="Arial"/>
      <w:sz w:val="18"/>
      <w:szCs w:val="18"/>
    </w:rPr>
  </w:style>
  <w:style w:type="paragraph" w:styleId="9">
    <w:name w:val="index 9"/>
    <w:basedOn w:val="1"/>
    <w:next w:val="1"/>
    <w:qFormat/>
    <w:uiPriority w:val="0"/>
    <w:pPr>
      <w:ind w:left="3360"/>
    </w:pPr>
  </w:style>
  <w:style w:type="paragraph" w:styleId="10">
    <w:name w:val="Body Text First Indent 2"/>
    <w:basedOn w:val="1"/>
    <w:next w:val="9"/>
    <w:qFormat/>
    <w:uiPriority w:val="0"/>
    <w:pPr>
      <w:widowControl w:val="0"/>
      <w:spacing w:after="120"/>
      <w:ind w:left="200" w:leftChars="200" w:firstLine="200" w:firstLineChars="200"/>
      <w:jc w:val="both"/>
    </w:pPr>
    <w:rPr>
      <w:rFonts w:ascii="仿宋_GB2312" w:eastAsia="仿宋_GB2312" w:cs="Times New Roman"/>
      <w:kern w:val="2"/>
      <w:sz w:val="32"/>
      <w:szCs w:val="32"/>
      <w:lang w:val="en-US" w:eastAsia="zh-CN" w:bidi="ar-SA"/>
    </w:rPr>
  </w:style>
  <w:style w:type="paragraph" w:customStyle="1" w:styleId="13">
    <w:name w:val="标题 5（有编号）（绿盟科技）"/>
    <w:next w:val="1"/>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4">
    <w:name w:val="四号正文"/>
    <w:basedOn w:val="1"/>
    <w:next w:val="15"/>
    <w:uiPriority w:val="0"/>
    <w:pPr>
      <w:widowControl w:val="0"/>
      <w:spacing w:line="360" w:lineRule="auto"/>
      <w:jc w:val="both"/>
    </w:pPr>
    <w:rPr>
      <w:rFonts w:ascii="??" w:hAnsi="??" w:eastAsia="宋体" w:cs="Times New Roman"/>
      <w:color w:val="000000"/>
      <w:kern w:val="0"/>
      <w:sz w:val="28"/>
      <w:szCs w:val="21"/>
      <w:lang w:val="zh-CN" w:eastAsia="zh-CN" w:bidi="ar-SA"/>
    </w:rPr>
  </w:style>
  <w:style w:type="paragraph" w:customStyle="1" w:styleId="15">
    <w:name w:val="Default"/>
    <w:next w:val="2"/>
    <w:qFormat/>
    <w:uiPriority w:val="0"/>
    <w:pPr>
      <w:widowControl w:val="0"/>
      <w:autoSpaceDE w:val="0"/>
      <w:autoSpaceDN w:val="0"/>
      <w:adjustRightInd w:val="0"/>
    </w:pPr>
    <w:rPr>
      <w:rFonts w:ascii="楷体à.ā" w:hAnsi="Times New Roman" w:eastAsia="楷体à.ā"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Sky123.Org</Company>
  <Pages>1</Pages>
  <Words>0</Words>
  <Characters>0</Characters>
  <Lines>2</Lines>
  <Paragraphs>0</Paragraphs>
  <TotalTime>10</TotalTime>
  <ScaleCrop>false</ScaleCrop>
  <LinksUpToDate>false</LinksUpToDate>
  <CharactersWithSpaces>0</CharactersWithSpaces>
  <Application>WPS Office_11.8.2.1120_F1E327BC-269C-435d-A152-05C5408002CA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2025-09-19T17:42:33Z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CD14128851FF4C64A5534974F19A36DC</vt:lpwstr>
  </property>
</Properties>
</file>