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spacing w:beforeAutospacing="0" w:afterAutospacing="0" w:line="560" w:lineRule="exact"/>
        <w:ind w:firstLine="2640" w:firstLineChars="600"/>
        <w:jc w:val="both"/>
        <w:textAlignment w:val="auto"/>
        <w:rPr>
          <w:rFonts w:hint="eastAsia" w:ascii="Times New Roman" w:hAnsi="Times New Roman" w:eastAsia="方正小标宋简体" w:cs="Times New Roman"/>
          <w:b w:val="0"/>
          <w:bCs/>
          <w:sz w:val="44"/>
          <w:szCs w:val="44"/>
          <w:highlight w:val="none"/>
          <w:shd w:val="clear" w:color="auto" w:fill="FFFFFF"/>
          <w:lang w:val="en-US" w:eastAsia="zh-CN"/>
        </w:rPr>
      </w:pPr>
      <w:r>
        <w:rPr>
          <w:rFonts w:hint="eastAsia" w:ascii="Times New Roman" w:hAnsi="Times New Roman" w:eastAsia="方正小标宋简体" w:cs="Times New Roman"/>
          <w:b w:val="0"/>
          <w:bCs/>
          <w:sz w:val="44"/>
          <w:szCs w:val="44"/>
          <w:highlight w:val="none"/>
          <w:shd w:val="clear" w:color="auto" w:fill="FFFFFF"/>
          <w:lang w:eastAsia="zh-CN"/>
        </w:rPr>
        <w:t>中共黑水</w:t>
      </w:r>
      <w:r>
        <w:rPr>
          <w:rFonts w:hint="eastAsia" w:ascii="Times New Roman" w:hAnsi="Times New Roman" w:eastAsia="方正小标宋简体" w:cs="Times New Roman"/>
          <w:b w:val="0"/>
          <w:bCs/>
          <w:sz w:val="44"/>
          <w:szCs w:val="44"/>
          <w:highlight w:val="none"/>
          <w:shd w:val="clear" w:color="auto" w:fill="FFFFFF"/>
          <w:lang w:val="en-US" w:eastAsia="zh-CN"/>
        </w:rPr>
        <w:t>县委组织部</w:t>
      </w:r>
    </w:p>
    <w:p>
      <w:pPr>
        <w:keepNext w:val="0"/>
        <w:keepLines w:val="0"/>
        <w:pageBreakBefore w:val="0"/>
        <w:widowControl/>
        <w:kinsoku/>
        <w:wordWrap/>
        <w:overflowPunct/>
        <w:topLinePunct w:val="0"/>
        <w:autoSpaceDE/>
        <w:autoSpaceDN/>
        <w:bidi w:val="0"/>
        <w:spacing w:beforeAutospacing="0" w:afterAutospacing="0" w:line="560" w:lineRule="exact"/>
        <w:jc w:val="center"/>
        <w:textAlignment w:val="auto"/>
        <w:rPr>
          <w:rFonts w:ascii="Times New Roman" w:hAnsi="Times New Roman" w:cs="Times New Roman"/>
          <w:szCs w:val="32"/>
          <w:highlight w:val="none"/>
          <w:shd w:val="clear" w:color="auto" w:fill="FFFFFF"/>
        </w:rPr>
      </w:pPr>
      <w:r>
        <w:rPr>
          <w:rFonts w:hint="eastAsia" w:ascii="Times New Roman" w:hAnsi="Times New Roman" w:eastAsia="方正小标宋简体" w:cs="Times New Roman"/>
          <w:b w:val="0"/>
          <w:bCs/>
          <w:sz w:val="44"/>
          <w:szCs w:val="44"/>
          <w:highlight w:val="none"/>
          <w:shd w:val="clear" w:color="auto" w:fill="FFFFFF"/>
          <w:lang w:val="en-US" w:eastAsia="zh-CN"/>
        </w:rPr>
        <w:t>202</w:t>
      </w:r>
      <w:r>
        <w:rPr>
          <w:rFonts w:eastAsia="方正小标宋简体" w:cs="Times New Roman"/>
          <w:b w:val="0"/>
          <w:bCs/>
          <w:sz w:val="44"/>
          <w:szCs w:val="44"/>
          <w:highlight w:val="none"/>
          <w:shd w:val="clear" w:color="auto" w:fill="FFFFFF"/>
          <w:lang w:val="en-US" w:eastAsia="zh-CN"/>
        </w:rPr>
        <w:t>5</w:t>
      </w:r>
      <w:r>
        <w:rPr>
          <w:rFonts w:hint="eastAsia" w:ascii="Times New Roman" w:hAnsi="Times New Roman" w:eastAsia="方正小标宋简体" w:cs="Times New Roman"/>
          <w:b w:val="0"/>
          <w:bCs/>
          <w:sz w:val="44"/>
          <w:szCs w:val="44"/>
          <w:highlight w:val="none"/>
          <w:shd w:val="clear" w:color="auto" w:fill="FFFFFF"/>
          <w:lang w:val="en-US" w:eastAsia="zh-CN"/>
        </w:rPr>
        <w:t>年</w:t>
      </w:r>
      <w:r>
        <w:rPr>
          <w:rFonts w:hint="eastAsia" w:ascii="Times New Roman" w:hAnsi="Times New Roman" w:eastAsia="方正小标宋简体" w:cs="Times New Roman"/>
          <w:b w:val="0"/>
          <w:bCs/>
          <w:sz w:val="44"/>
          <w:szCs w:val="44"/>
          <w:highlight w:val="none"/>
          <w:shd w:val="clear" w:color="auto" w:fill="FFFFFF"/>
        </w:rPr>
        <w:t>财政支出绩效评价报告</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480" w:firstLineChars="200"/>
        <w:contextualSpacing/>
        <w:jc w:val="left"/>
        <w:textAlignment w:val="auto"/>
        <w:outlineLvl w:val="9"/>
        <w:rPr>
          <w:rFonts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contextualSpacing/>
        <w:jc w:val="left"/>
        <w:textAlignment w:val="auto"/>
        <w:outlineLvl w:val="9"/>
        <w:rPr>
          <w:rFonts w:ascii="Times New Roman" w:hAnsi="Times New Roman" w:cs="Times New Roman"/>
          <w:szCs w:val="32"/>
        </w:rPr>
      </w:pPr>
      <w:r>
        <w:rPr>
          <w:rFonts w:hint="eastAsia" w:eastAsia="黑体" w:cs="Times New Roman"/>
          <w:color w:val="000000"/>
          <w:kern w:val="0"/>
          <w:szCs w:val="32"/>
          <w:highlight w:val="none"/>
          <w:shd w:val="clear" w:color="auto" w:fill="FFFFFF"/>
          <w:lang w:val="zh-CN"/>
        </w:rPr>
        <w:t>一、</w:t>
      </w:r>
      <w:r>
        <w:rPr>
          <w:rFonts w:ascii="Times New Roman" w:hAnsi="Times New Roman" w:eastAsia="黑体" w:cs="Times New Roman"/>
          <w:color w:val="000000"/>
          <w:kern w:val="0"/>
          <w:szCs w:val="32"/>
          <w:highlight w:val="none"/>
          <w:shd w:val="clear" w:color="auto" w:fill="FFFFFF"/>
          <w:lang w:val="zh-CN"/>
        </w:rPr>
        <w:t>部门（单位）基本情况</w:t>
      </w:r>
    </w:p>
    <w:p>
      <w:pPr>
        <w:keepNext w:val="0"/>
        <w:keepLines w:val="0"/>
        <w:pageBreakBefore w:val="0"/>
        <w:widowControl w:val="0"/>
        <w:kinsoku/>
        <w:wordWrap/>
        <w:overflowPunct/>
        <w:topLinePunct w:val="0"/>
        <w:autoSpaceDE/>
        <w:autoSpaceDN/>
        <w:bidi w:val="0"/>
        <w:spacing w:beforeAutospacing="0" w:afterAutospacing="0" w:line="560" w:lineRule="exact"/>
        <w:ind w:firstLine="600"/>
        <w:jc w:val="both"/>
        <w:textAlignment w:val="auto"/>
        <w:rPr>
          <w:rFonts w:ascii="Times New Roman" w:hAnsi="Times New Roman" w:eastAsia="楷体_GB2312" w:cs="Times New Roman"/>
          <w:b/>
          <w:bCs/>
          <w:color w:val="000000"/>
          <w:kern w:val="0"/>
          <w:szCs w:val="32"/>
          <w:highlight w:val="none"/>
          <w:shd w:val="clear" w:color="auto" w:fill="FFFFFF"/>
          <w:lang w:val="zh-CN"/>
        </w:rPr>
      </w:pPr>
      <w:r>
        <w:rPr>
          <w:rFonts w:hint="eastAsia" w:eastAsia="楷体_GB2312" w:cs="Times New Roman"/>
          <w:b/>
          <w:bCs/>
          <w:color w:val="000000"/>
          <w:kern w:val="0"/>
          <w:szCs w:val="32"/>
          <w:highlight w:val="none"/>
          <w:shd w:val="clear" w:color="auto" w:fill="FFFFFF"/>
          <w:lang w:val="zh-CN"/>
        </w:rPr>
        <w:t>（一）</w:t>
      </w:r>
      <w:r>
        <w:rPr>
          <w:rFonts w:ascii="Times New Roman" w:hAnsi="Times New Roman" w:eastAsia="楷体_GB2312" w:cs="Times New Roman"/>
          <w:b/>
          <w:bCs/>
          <w:color w:val="000000"/>
          <w:kern w:val="0"/>
          <w:szCs w:val="32"/>
          <w:highlight w:val="none"/>
          <w:shd w:val="clear" w:color="auto" w:fill="FFFFFF"/>
          <w:lang w:val="zh-CN"/>
        </w:rPr>
        <w:t>机构组成。</w:t>
      </w:r>
    </w:p>
    <w:p>
      <w:pPr>
        <w:keepNext w:val="0"/>
        <w:keepLines w:val="0"/>
        <w:pageBreakBefore w:val="0"/>
        <w:widowControl w:val="0"/>
        <w:kinsoku/>
        <w:wordWrap/>
        <w:overflowPunct/>
        <w:topLinePunct w:val="0"/>
        <w:autoSpaceDE/>
        <w:autoSpaceDN/>
        <w:bidi w:val="0"/>
        <w:spacing w:beforeAutospacing="0" w:afterAutospacing="0" w:line="560" w:lineRule="exact"/>
        <w:ind w:firstLine="600"/>
        <w:jc w:val="both"/>
        <w:textAlignment w:val="auto"/>
        <w:rPr>
          <w:rFonts w:hint="eastAsia" w:ascii="黑体" w:eastAsia="黑体" w:cs="黑体"/>
          <w:b/>
          <w:bCs/>
          <w:sz w:val="32"/>
          <w:szCs w:val="32"/>
        </w:rPr>
      </w:pPr>
      <w:r>
        <w:rPr>
          <w:rFonts w:hint="eastAsia" w:ascii="仿宋_GB2312" w:eastAsia="仿宋_GB2312" w:cs="仿宋_GB2312"/>
          <w:sz w:val="32"/>
          <w:szCs w:val="32"/>
        </w:rPr>
        <w:t>县委组织部设</w:t>
      </w:r>
      <w:r>
        <w:rPr>
          <w:rFonts w:ascii="仿宋_GB2312" w:eastAsia="仿宋_GB2312" w:cs="仿宋_GB2312"/>
          <w:sz w:val="32"/>
          <w:szCs w:val="32"/>
          <w:lang w:val="en-US" w:eastAsia="zh-CN"/>
        </w:rPr>
        <w:t>4</w:t>
      </w:r>
      <w:r>
        <w:rPr>
          <w:rFonts w:hint="eastAsia" w:ascii="仿宋_GB2312" w:eastAsia="仿宋_GB2312" w:cs="仿宋_GB2312"/>
          <w:sz w:val="32"/>
          <w:szCs w:val="32"/>
        </w:rPr>
        <w:t>个职能股室、</w:t>
      </w:r>
      <w:r>
        <w:rPr>
          <w:rFonts w:ascii="仿宋_GB2312" w:eastAsia="仿宋_GB2312" w:cs="仿宋_GB2312"/>
          <w:sz w:val="32"/>
          <w:szCs w:val="32"/>
        </w:rPr>
        <w:t>6</w:t>
      </w:r>
      <w:r>
        <w:rPr>
          <w:rFonts w:hint="eastAsia" w:ascii="仿宋_GB2312" w:eastAsia="仿宋_GB2312" w:cs="仿宋_GB2312"/>
          <w:sz w:val="32"/>
          <w:szCs w:val="32"/>
        </w:rPr>
        <w:t>个事业中心，分别是办公室、</w:t>
      </w:r>
      <w:r>
        <w:rPr>
          <w:rFonts w:ascii="仿宋_GB2312" w:eastAsia="仿宋_GB2312" w:cs="仿宋_GB2312"/>
          <w:sz w:val="32"/>
          <w:szCs w:val="32"/>
          <w:lang w:val="en-US" w:eastAsia="zh-CN"/>
        </w:rPr>
        <w:t>组织</w:t>
      </w:r>
      <w:r>
        <w:rPr>
          <w:rFonts w:hint="eastAsia" w:ascii="仿宋_GB2312" w:eastAsia="仿宋_GB2312" w:cs="仿宋_GB2312"/>
          <w:sz w:val="32"/>
          <w:szCs w:val="32"/>
          <w:lang w:val="en-US" w:eastAsia="zh-CN"/>
        </w:rPr>
        <w:t>股、</w:t>
      </w:r>
      <w:r>
        <w:rPr>
          <w:rFonts w:hint="eastAsia" w:ascii="仿宋_GB2312" w:eastAsia="仿宋_GB2312" w:cs="仿宋_GB2312"/>
          <w:sz w:val="32"/>
          <w:szCs w:val="32"/>
        </w:rPr>
        <w:t>干部股、</w:t>
      </w:r>
      <w:r>
        <w:rPr>
          <w:rFonts w:ascii="仿宋_GB2312" w:eastAsia="仿宋_GB2312" w:cs="仿宋_GB2312"/>
          <w:sz w:val="32"/>
          <w:szCs w:val="32"/>
        </w:rPr>
        <w:t>机构编制股、都江堰干休所</w:t>
      </w:r>
      <w:r>
        <w:rPr>
          <w:rFonts w:hint="eastAsia" w:ascii="仿宋_GB2312" w:eastAsia="仿宋_GB2312" w:cs="仿宋_GB2312"/>
          <w:sz w:val="32"/>
          <w:szCs w:val="32"/>
        </w:rPr>
        <w:t>、信息中心</w:t>
      </w:r>
      <w:r>
        <w:rPr>
          <w:rFonts w:ascii="仿宋_GB2312" w:eastAsia="仿宋_GB2312" w:cs="仿宋_GB2312"/>
          <w:sz w:val="32"/>
          <w:szCs w:val="32"/>
        </w:rPr>
        <w:t>、党员教育中心、黑水县机构编制实名制中心、黑水县事业登记服务中心、黑水县人才工作和援助干部服务中心</w:t>
      </w:r>
      <w:r>
        <w:rPr>
          <w:rFonts w:hint="eastAsia" w:asci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spacing w:beforeAutospacing="0" w:afterAutospacing="0" w:line="560" w:lineRule="exact"/>
        <w:ind w:left="0" w:firstLine="642" w:firstLineChars="200"/>
        <w:jc w:val="both"/>
        <w:textAlignment w:val="auto"/>
        <w:rPr>
          <w:rFonts w:ascii="Times New Roman" w:hAnsi="Times New Roman" w:eastAsia="楷体_GB2312" w:cs="Times New Roman"/>
          <w:b/>
          <w:bCs/>
          <w:color w:val="000000"/>
          <w:kern w:val="0"/>
          <w:szCs w:val="32"/>
          <w:highlight w:val="none"/>
          <w:shd w:val="clear" w:color="auto" w:fill="FFFFFF"/>
          <w:lang w:val="zh-CN"/>
        </w:rPr>
      </w:pPr>
      <w:r>
        <w:rPr>
          <w:rFonts w:hint="eastAsia" w:eastAsia="楷体_GB2312" w:cs="Times New Roman"/>
          <w:b/>
          <w:bCs/>
          <w:color w:val="000000"/>
          <w:kern w:val="0"/>
          <w:szCs w:val="32"/>
          <w:highlight w:val="none"/>
          <w:shd w:val="clear" w:color="auto" w:fill="FFFFFF"/>
          <w:lang w:val="en-US" w:eastAsia="zh-CN"/>
        </w:rPr>
        <w:t>(二）</w:t>
      </w:r>
      <w:r>
        <w:rPr>
          <w:rFonts w:ascii="Times New Roman" w:hAnsi="Times New Roman" w:eastAsia="楷体_GB2312" w:cs="Times New Roman"/>
          <w:b/>
          <w:bCs/>
          <w:color w:val="000000"/>
          <w:kern w:val="0"/>
          <w:szCs w:val="32"/>
          <w:highlight w:val="none"/>
          <w:shd w:val="clear" w:color="auto" w:fill="FFFFFF"/>
          <w:lang w:val="zh-CN"/>
        </w:rPr>
        <w:t>机构职能</w:t>
      </w:r>
      <w:r>
        <w:rPr>
          <w:rFonts w:hint="eastAsia" w:eastAsia="楷体_GB2312" w:cs="Times New Roman"/>
          <w:b/>
          <w:bCs/>
          <w:color w:val="000000"/>
          <w:kern w:val="0"/>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spacing w:beforeAutospacing="0" w:afterAutospacing="0" w:line="560" w:lineRule="exact"/>
        <w:ind w:left="0" w:firstLine="640"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1.研究、指导全县各基层党组织的建设；研究、探索各类新经济组织中党组织的设置和活动方式；协调、规划和指导全县党员教育管理和主管党员的发展工作；组织新时</w:t>
      </w:r>
      <w:r>
        <w:rPr>
          <w:rFonts w:hint="default" w:ascii="仿宋_GB2312" w:cs="仿宋_GB2312"/>
          <w:sz w:val="32"/>
          <w:szCs w:val="32"/>
        </w:rPr>
        <w:t>代</w:t>
      </w:r>
      <w:r>
        <w:rPr>
          <w:rFonts w:hint="eastAsia" w:ascii="仿宋_GB2312" w:eastAsia="仿宋_GB2312" w:cs="仿宋_GB2312"/>
          <w:sz w:val="32"/>
          <w:szCs w:val="32"/>
        </w:rPr>
        <w:t xml:space="preserve">党的建设理论研究。 </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2.负责乡镇、县直部门和县委、县政府直属事业单位的领导班子和领导干部的考察考核，并提出领导班子调整、配备和领导干部任免的意见和建议；</w:t>
      </w:r>
      <w:r>
        <w:rPr>
          <w:rFonts w:ascii="仿宋_GB2312" w:eastAsia="仿宋_GB2312" w:cs="仿宋_GB2312"/>
          <w:sz w:val="32"/>
          <w:szCs w:val="32"/>
        </w:rPr>
        <w:t>负责</w:t>
      </w:r>
      <w:r>
        <w:rPr>
          <w:rFonts w:hint="eastAsia" w:ascii="仿宋_GB2312" w:eastAsia="仿宋_GB2312" w:cs="仿宋_GB2312"/>
          <w:sz w:val="32"/>
          <w:szCs w:val="32"/>
        </w:rPr>
        <w:t xml:space="preserve">县委管理干部职务任免、工资、待遇和离退休干部的审批手续；承办县委管理干部和县级党群、政法系统干部的调配、交流、安置工作；负责县党代会、人代会、政协会的有关组织工作和各乡镇党代会、人代会和政协会的宏观指导。 </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3.研究制定全县领导班子和干部队伍建设的政策、措施；指导科级领导班子的思想作风建设；组织落实培养和选拔中青年干部，负责后备干部队伍建设工作；负责领导干部多媒体信息的采集和制作。 </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4.研究、指导全县党的组织制度和干部人事制度改革，制定或参与制定组织、干部、人事工作的重要政策和制度。 </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5.负责组织、干部工作的监督检查及有关的综合协调工作，及时向县委和州委组织部反映情况，提出建议。 </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6.主管干部教育工作。制定全县干部教育规划和有关政策规定；负责领导干部的培训工作；指导、协调县委党校等干部教育的基地建设、师资队伍建设和教材编写工作。负责全县党员（远程）教育工作。 </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7.负责全县人才工作及人才队伍建设的宏观指导和综合协调，牵头贯彻落实州委、州政府和县委县政府有关人才工作的重大政策和部署；协调、指导各类人才队伍建设的宏观规划、政策制定、表彰奖励等工作，负责“党政一把手抓第一资源”目标责任制的组织实施。 </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8.负责全县党员和基层党组织电化教育工作。 </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9.归口管理县直机关工委。负责指导县直机关党组织抓好党的思想、组织、作风建设。 </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10.归口管理县委老干部局。负责离退休干部工作的宏观管理，研究制定或参与制定离退休干部管理服务工作的相关制度措施。 </w:t>
      </w:r>
    </w:p>
    <w:p>
      <w:pPr>
        <w:keepNext w:val="0"/>
        <w:keepLines w:val="0"/>
        <w:pageBreakBefore w:val="0"/>
        <w:widowControl w:val="0"/>
        <w:kinsoku/>
        <w:wordWrap/>
        <w:overflowPunct/>
        <w:topLinePunct w:val="0"/>
        <w:autoSpaceDE/>
        <w:autoSpaceDN/>
        <w:bidi w:val="0"/>
        <w:spacing w:beforeAutospacing="0" w:afterAutospacing="0" w:line="560" w:lineRule="exact"/>
        <w:ind w:firstLine="6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11.负责研究拟订群众工作管理办法、工作制度、工作规范、纪律规定；负责县群众工作领导小组办公室日常事务。 </w:t>
      </w:r>
    </w:p>
    <w:p>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12.负责全县关工委工作。</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w:t>
      </w:r>
      <w:r>
        <w:rPr>
          <w:rFonts w:hint="eastAsia" w:ascii="仿宋_GB2312" w:eastAsia="仿宋_GB2312" w:cs="仿宋_GB2312"/>
          <w:sz w:val="32"/>
          <w:szCs w:val="32"/>
          <w:lang w:val="en-US" w:eastAsia="zh-CN"/>
        </w:rPr>
        <w:t>1</w:t>
      </w:r>
      <w:r>
        <w:rPr>
          <w:rFonts w:hint="eastAsia" w:ascii="仿宋_GB2312" w:eastAsia="仿宋_GB2312" w:cs="仿宋_GB2312"/>
          <w:sz w:val="32"/>
          <w:szCs w:val="32"/>
        </w:rPr>
        <w:t>3.负责全县编制工作。</w:t>
      </w:r>
    </w:p>
    <w:p>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jc w:val="both"/>
        <w:textAlignment w:val="auto"/>
        <w:rPr>
          <w:rFonts w:hint="eastAsia" w:ascii="仿宋_GB2312" w:eastAsia="仿宋_GB2312" w:cs="仿宋_GB2312"/>
          <w:sz w:val="32"/>
          <w:szCs w:val="32"/>
          <w:lang w:val="zh-CN"/>
        </w:rPr>
      </w:pPr>
      <w:r>
        <w:rPr>
          <w:rFonts w:hint="eastAsia" w:ascii="仿宋_GB2312" w:eastAsia="仿宋_GB2312" w:cs="仿宋_GB2312"/>
          <w:sz w:val="32"/>
          <w:szCs w:val="32"/>
        </w:rPr>
        <w:t>1</w:t>
      </w:r>
      <w:r>
        <w:rPr>
          <w:rFonts w:hint="eastAsia" w:ascii="仿宋_GB2312" w:eastAsia="仿宋_GB2312" w:cs="仿宋_GB2312"/>
          <w:sz w:val="32"/>
          <w:szCs w:val="32"/>
          <w:lang w:val="en-US" w:eastAsia="zh-CN"/>
        </w:rPr>
        <w:t>4</w:t>
      </w:r>
      <w:r>
        <w:rPr>
          <w:rFonts w:hint="eastAsia" w:ascii="仿宋_GB2312" w:eastAsia="仿宋_GB2312" w:cs="仿宋_GB2312"/>
          <w:sz w:val="32"/>
          <w:szCs w:val="32"/>
        </w:rPr>
        <w:t>.完成县委交办的其他任务。</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eastAsia="楷体_GB2312" w:cs="Times New Roman"/>
          <w:b/>
          <w:bCs/>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w:t>
      </w:r>
      <w:r>
        <w:rPr>
          <w:rFonts w:hint="eastAsia" w:eastAsia="楷体_GB2312" w:cs="Times New Roman"/>
          <w:b/>
          <w:bCs/>
          <w:color w:val="000000"/>
          <w:kern w:val="0"/>
          <w:szCs w:val="32"/>
          <w:highlight w:val="none"/>
          <w:shd w:val="clear" w:color="auto" w:fill="FFFFFF"/>
          <w:lang w:val="zh-CN"/>
        </w:rPr>
        <w:t>三</w:t>
      </w:r>
      <w:r>
        <w:rPr>
          <w:rFonts w:ascii="Times New Roman" w:hAnsi="Times New Roman" w:eastAsia="楷体_GB2312" w:cs="Times New Roman"/>
          <w:b/>
          <w:bCs/>
          <w:color w:val="000000"/>
          <w:kern w:val="0"/>
          <w:szCs w:val="32"/>
          <w:highlight w:val="none"/>
          <w:shd w:val="clear" w:color="auto" w:fill="FFFFFF"/>
          <w:lang w:val="zh-CN"/>
        </w:rPr>
        <w:t>）人员概况</w:t>
      </w:r>
      <w:r>
        <w:rPr>
          <w:rFonts w:hint="eastAsia" w:eastAsia="楷体_GB2312" w:cs="Times New Roman"/>
          <w:b/>
          <w:bCs/>
          <w:color w:val="000000"/>
          <w:kern w:val="0"/>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jc w:val="both"/>
        <w:textAlignment w:val="auto"/>
        <w:rPr>
          <w:rFonts w:ascii="Times New Roman" w:hAnsi="Times New Roman" w:cs="Times New Roman"/>
          <w:szCs w:val="32"/>
        </w:rPr>
      </w:pPr>
      <w:r>
        <w:rPr>
          <w:rFonts w:hint="eastAsia" w:ascii="仿宋_GB2312" w:eastAsia="仿宋_GB2312" w:cs="仿宋_GB2312"/>
          <w:sz w:val="32"/>
          <w:szCs w:val="32"/>
        </w:rPr>
        <w:t>县委组织部总编制数</w:t>
      </w:r>
      <w:r>
        <w:rPr>
          <w:rFonts w:ascii="仿宋_GB2312" w:eastAsia="仿宋_GB2312" w:cs="仿宋_GB2312"/>
          <w:sz w:val="32"/>
          <w:szCs w:val="32"/>
          <w:lang w:val="en-US" w:eastAsia="zh-CN"/>
        </w:rPr>
        <w:t>56</w:t>
      </w:r>
      <w:r>
        <w:rPr>
          <w:rFonts w:hint="eastAsia" w:ascii="仿宋_GB2312" w:eastAsia="仿宋_GB2312" w:cs="仿宋_GB2312"/>
          <w:sz w:val="32"/>
          <w:szCs w:val="32"/>
        </w:rPr>
        <w:t>个（其中行政编制1</w:t>
      </w:r>
      <w:r>
        <w:rPr>
          <w:rFonts w:ascii="仿宋_GB2312" w:eastAsia="仿宋_GB2312" w:cs="仿宋_GB2312"/>
          <w:sz w:val="32"/>
          <w:szCs w:val="32"/>
          <w:lang w:val="en-US" w:eastAsia="zh-CN"/>
        </w:rPr>
        <w:t>8</w:t>
      </w:r>
      <w:r>
        <w:rPr>
          <w:rFonts w:hint="eastAsia" w:ascii="仿宋_GB2312" w:eastAsia="仿宋_GB2312" w:cs="仿宋_GB2312"/>
          <w:sz w:val="32"/>
          <w:szCs w:val="32"/>
        </w:rPr>
        <w:t>个，参公编制</w:t>
      </w:r>
      <w:r>
        <w:rPr>
          <w:rFonts w:ascii="仿宋_GB2312" w:eastAsia="仿宋_GB2312" w:cs="仿宋_GB2312"/>
          <w:sz w:val="32"/>
          <w:szCs w:val="32"/>
          <w:lang w:val="en-US" w:eastAsia="zh-CN"/>
        </w:rPr>
        <w:t>16</w:t>
      </w:r>
      <w:r>
        <w:rPr>
          <w:rFonts w:hint="eastAsia" w:ascii="仿宋_GB2312" w:eastAsia="仿宋_GB2312" w:cs="仿宋_GB2312"/>
          <w:sz w:val="32"/>
          <w:szCs w:val="32"/>
        </w:rPr>
        <w:t>个，事业编制</w:t>
      </w:r>
      <w:r>
        <w:rPr>
          <w:rFonts w:hint="eastAsia" w:ascii="仿宋_GB2312" w:eastAsia="仿宋_GB2312" w:cs="仿宋_GB2312"/>
          <w:sz w:val="32"/>
          <w:szCs w:val="32"/>
          <w:lang w:val="en-US" w:eastAsia="zh-CN"/>
        </w:rPr>
        <w:t>1</w:t>
      </w:r>
      <w:r>
        <w:rPr>
          <w:rFonts w:ascii="仿宋_GB2312" w:eastAsia="仿宋_GB2312" w:cs="仿宋_GB2312"/>
          <w:sz w:val="32"/>
          <w:szCs w:val="32"/>
          <w:lang w:val="en-US" w:eastAsia="zh-CN"/>
        </w:rPr>
        <w:t>8</w:t>
      </w:r>
      <w:r>
        <w:rPr>
          <w:rFonts w:hint="eastAsia" w:ascii="仿宋_GB2312" w:eastAsia="仿宋_GB2312" w:cs="仿宋_GB2312"/>
          <w:sz w:val="32"/>
          <w:szCs w:val="32"/>
        </w:rPr>
        <w:t>个，工勤编制</w:t>
      </w:r>
      <w:r>
        <w:rPr>
          <w:rFonts w:ascii="仿宋_GB2312" w:eastAsia="仿宋_GB2312" w:cs="仿宋_GB2312"/>
          <w:sz w:val="32"/>
          <w:szCs w:val="32"/>
          <w:lang w:val="en-US" w:eastAsia="zh-CN"/>
        </w:rPr>
        <w:t>4</w:t>
      </w:r>
      <w:r>
        <w:rPr>
          <w:rFonts w:hint="eastAsia" w:ascii="仿宋_GB2312" w:eastAsia="仿宋_GB2312" w:cs="仿宋_GB2312"/>
          <w:sz w:val="32"/>
          <w:szCs w:val="32"/>
        </w:rPr>
        <w:t>个），</w:t>
      </w:r>
      <w:r>
        <w:rPr>
          <w:rFonts w:ascii="仿宋_GB2312" w:eastAsia="仿宋_GB2312" w:cs="仿宋_GB2312"/>
          <w:sz w:val="32"/>
          <w:szCs w:val="32"/>
        </w:rPr>
        <w:t>2026年预算</w:t>
      </w:r>
      <w:r>
        <w:rPr>
          <w:rFonts w:hint="eastAsia" w:ascii="仿宋_GB2312" w:eastAsia="仿宋_GB2312" w:cs="仿宋_GB2312"/>
          <w:sz w:val="32"/>
          <w:szCs w:val="32"/>
        </w:rPr>
        <w:t>在编</w:t>
      </w:r>
      <w:r>
        <w:rPr>
          <w:rFonts w:ascii="仿宋_GB2312" w:eastAsia="仿宋_GB2312" w:cs="仿宋_GB2312"/>
          <w:sz w:val="32"/>
          <w:szCs w:val="32"/>
        </w:rPr>
        <w:t>实有</w:t>
      </w:r>
      <w:r>
        <w:rPr>
          <w:rFonts w:ascii="仿宋_GB2312" w:eastAsia="仿宋_GB2312" w:cs="仿宋_GB2312"/>
          <w:sz w:val="32"/>
          <w:szCs w:val="32"/>
          <w:lang w:val="en-US" w:eastAsia="zh-CN"/>
        </w:rPr>
        <w:t>47</w:t>
      </w:r>
      <w:r>
        <w:rPr>
          <w:rFonts w:hint="eastAsia" w:ascii="仿宋_GB2312" w:eastAsia="仿宋_GB2312" w:cs="仿宋_GB2312"/>
          <w:sz w:val="32"/>
          <w:szCs w:val="32"/>
        </w:rPr>
        <w:t>人（</w:t>
      </w:r>
      <w:r>
        <w:rPr>
          <w:rFonts w:hint="eastAsia" w:ascii="仿宋_GB2312" w:eastAsia="仿宋_GB2312" w:cs="仿宋_GB2312"/>
          <w:sz w:val="32"/>
          <w:szCs w:val="32"/>
          <w:lang w:val="en-US" w:eastAsia="zh-CN"/>
        </w:rPr>
        <w:t>行政</w:t>
      </w:r>
      <w:r>
        <w:rPr>
          <w:rFonts w:hint="eastAsia" w:ascii="仿宋_GB2312" w:eastAsia="仿宋_GB2312" w:cs="仿宋_GB2312"/>
          <w:sz w:val="32"/>
          <w:szCs w:val="32"/>
        </w:rPr>
        <w:t>编</w:t>
      </w:r>
      <w:r>
        <w:rPr>
          <w:rFonts w:ascii="仿宋_GB2312" w:cs="仿宋_GB2312"/>
          <w:sz w:val="32"/>
          <w:szCs w:val="32"/>
          <w:lang w:val="en-US" w:eastAsia="zh-CN"/>
        </w:rPr>
        <w:t>33</w:t>
      </w:r>
      <w:r>
        <w:rPr>
          <w:rFonts w:hint="eastAsia" w:ascii="仿宋_GB2312" w:eastAsia="仿宋_GB2312" w:cs="仿宋_GB2312"/>
          <w:sz w:val="32"/>
          <w:szCs w:val="32"/>
        </w:rPr>
        <w:t>人</w:t>
      </w:r>
      <w:r>
        <w:rPr>
          <w:rFonts w:hint="eastAsia" w:ascii="仿宋_GB2312" w:eastAsia="仿宋_GB2312" w:cs="仿宋_GB2312"/>
          <w:sz w:val="32"/>
          <w:szCs w:val="32"/>
          <w:lang w:eastAsia="zh-CN"/>
        </w:rPr>
        <w:t>、</w:t>
      </w:r>
      <w:r>
        <w:rPr>
          <w:rFonts w:hint="eastAsia" w:ascii="仿宋_GB2312" w:eastAsia="仿宋_GB2312" w:cs="仿宋_GB2312"/>
          <w:sz w:val="32"/>
          <w:szCs w:val="32"/>
          <w:lang w:val="en-US" w:eastAsia="zh-CN"/>
        </w:rPr>
        <w:t>事业</w:t>
      </w:r>
      <w:r>
        <w:rPr>
          <w:rFonts w:hint="eastAsia" w:ascii="仿宋_GB2312" w:eastAsia="仿宋_GB2312" w:cs="仿宋_GB2312"/>
          <w:sz w:val="32"/>
          <w:szCs w:val="32"/>
        </w:rPr>
        <w:t>编</w:t>
      </w:r>
      <w:r>
        <w:rPr>
          <w:rFonts w:ascii="仿宋_GB2312" w:cs="仿宋_GB2312"/>
          <w:sz w:val="32"/>
          <w:szCs w:val="32"/>
          <w:lang w:val="en-US" w:eastAsia="zh-CN"/>
        </w:rPr>
        <w:t>14</w:t>
      </w:r>
      <w:r>
        <w:rPr>
          <w:rFonts w:hint="eastAsia" w:ascii="仿宋_GB2312" w:eastAsia="仿宋_GB2312" w:cs="仿宋_GB2312"/>
          <w:sz w:val="32"/>
          <w:szCs w:val="32"/>
        </w:rPr>
        <w:t>人）</w:t>
      </w:r>
      <w:r>
        <w:rPr>
          <w:rFonts w:ascii="仿宋_GB2312" w:eastAsia="仿宋_GB2312" w:cs="仿宋_GB2312"/>
          <w:sz w:val="32"/>
          <w:szCs w:val="32"/>
        </w:rPr>
        <w:t>，退休6人</w:t>
      </w:r>
      <w:r>
        <w:rPr>
          <w:rFonts w:hint="eastAsia" w:ascii="仿宋_GB2312" w:eastAsia="仿宋_GB2312" w:cs="仿宋_GB2312"/>
          <w:sz w:val="32"/>
          <w:szCs w:val="32"/>
        </w:rPr>
        <w:t xml:space="preserve">。 </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200"/>
        <w:contextualSpacing/>
        <w:jc w:val="left"/>
        <w:textAlignment w:val="auto"/>
        <w:outlineLvl w:val="9"/>
        <w:rPr>
          <w:rFonts w:ascii="Times New Roman" w:hAnsi="Times New Roman" w:eastAsia="黑体" w:cs="Times New Roman"/>
          <w:color w:val="000000"/>
          <w:kern w:val="0"/>
          <w:szCs w:val="32"/>
          <w:highlight w:val="none"/>
          <w:shd w:val="clear" w:color="auto" w:fill="FFFFFF"/>
        </w:rPr>
      </w:pPr>
      <w:r>
        <w:rPr>
          <w:rFonts w:ascii="Times New Roman" w:hAnsi="Times New Roman" w:eastAsia="黑体" w:cs="Times New Roman"/>
          <w:color w:val="000000"/>
          <w:kern w:val="0"/>
          <w:szCs w:val="32"/>
          <w:highlight w:val="none"/>
          <w:shd w:val="clear" w:color="auto" w:fill="FFFFFF"/>
        </w:rPr>
        <w:t>二、</w:t>
      </w:r>
      <w:r>
        <w:rPr>
          <w:rFonts w:ascii="Times New Roman" w:hAnsi="Times New Roman" w:eastAsia="黑体" w:cs="Times New Roman"/>
          <w:color w:val="000000"/>
          <w:kern w:val="0"/>
          <w:szCs w:val="32"/>
          <w:highlight w:val="none"/>
          <w:shd w:val="clear" w:color="auto" w:fill="FFFFFF"/>
          <w:lang w:eastAsia="zh-CN"/>
        </w:rPr>
        <w:t>部门</w:t>
      </w:r>
      <w:r>
        <w:rPr>
          <w:rFonts w:ascii="Times New Roman" w:hAnsi="Times New Roman" w:eastAsia="黑体" w:cs="Times New Roman"/>
          <w:color w:val="000000"/>
          <w:kern w:val="0"/>
          <w:szCs w:val="32"/>
          <w:highlight w:val="none"/>
          <w:shd w:val="clear" w:color="auto" w:fill="FFFFFF"/>
        </w:rPr>
        <w:t>资金收支情况</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2" w:firstLineChars="200"/>
        <w:contextualSpacing/>
        <w:jc w:val="left"/>
        <w:textAlignment w:val="auto"/>
        <w:outlineLvl w:val="9"/>
        <w:rPr>
          <w:rFonts w:ascii="Times New Roman" w:hAnsi="Times New Roman" w:eastAsia="楷体_GB2312" w:cs="Times New Roman"/>
          <w:b/>
          <w:bCs/>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（一）</w:t>
      </w:r>
      <w:r>
        <w:rPr>
          <w:rFonts w:hint="eastAsia" w:eastAsia="楷体_GB2312" w:cs="Times New Roman"/>
          <w:b/>
          <w:bCs/>
          <w:color w:val="000000"/>
          <w:kern w:val="0"/>
          <w:szCs w:val="32"/>
          <w:highlight w:val="none"/>
          <w:shd w:val="clear" w:color="auto" w:fill="FFFFFF"/>
          <w:lang w:val="zh-CN"/>
        </w:rPr>
        <w:t>收入情况</w:t>
      </w:r>
      <w:r>
        <w:rPr>
          <w:rFonts w:ascii="Times New Roman" w:hAnsi="Times New Roman" w:eastAsia="楷体_GB2312" w:cs="Times New Roman"/>
          <w:b/>
          <w:bCs/>
          <w:color w:val="000000"/>
          <w:kern w:val="0"/>
          <w:szCs w:val="32"/>
          <w:highlight w:val="none"/>
          <w:shd w:val="clear" w:color="auto" w:fill="FFFFFF"/>
          <w:lang w:val="zh-CN"/>
        </w:rPr>
        <w:t>。</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200"/>
        <w:contextualSpacing/>
        <w:jc w:val="left"/>
        <w:textAlignment w:val="auto"/>
        <w:outlineLvl w:val="9"/>
        <w:rPr>
          <w:rFonts w:hint="eastAsia" w:ascii="仿宋_GB2312" w:eastAsia="仿宋_GB2312" w:cs="仿宋_GB2312"/>
          <w:sz w:val="32"/>
          <w:szCs w:val="32"/>
          <w:highlight w:val="none"/>
          <w:lang w:eastAsia="zh-CN"/>
        </w:rPr>
      </w:pPr>
      <w:r>
        <w:rPr>
          <w:rFonts w:hint="eastAsia" w:ascii="仿宋_GB2312" w:eastAsia="仿宋_GB2312" w:cs="仿宋_GB2312"/>
          <w:color w:val="000000"/>
          <w:kern w:val="0"/>
          <w:sz w:val="32"/>
          <w:szCs w:val="32"/>
          <w:highlight w:val="none"/>
          <w:lang w:val="en-US" w:eastAsia="zh-CN"/>
        </w:rPr>
        <w:t>202</w:t>
      </w:r>
      <w:r>
        <w:rPr>
          <w:rFonts w:ascii="仿宋_GB2312" w:cs="仿宋_GB2312"/>
          <w:color w:val="000000"/>
          <w:kern w:val="0"/>
          <w:sz w:val="32"/>
          <w:szCs w:val="32"/>
          <w:highlight w:val="none"/>
          <w:lang w:val="en-US" w:eastAsia="zh-CN"/>
        </w:rPr>
        <w:t>5</w:t>
      </w:r>
      <w:r>
        <w:rPr>
          <w:rFonts w:hint="eastAsia" w:ascii="仿宋_GB2312" w:eastAsia="仿宋_GB2312" w:cs="仿宋_GB2312"/>
          <w:color w:val="000000"/>
          <w:kern w:val="0"/>
          <w:sz w:val="32"/>
          <w:szCs w:val="32"/>
          <w:highlight w:val="none"/>
        </w:rPr>
        <w:t>年度</w:t>
      </w:r>
      <w:r>
        <w:rPr>
          <w:rFonts w:hint="eastAsia" w:ascii="仿宋_GB2312" w:eastAsia="仿宋_GB2312" w:cs="仿宋_GB2312"/>
          <w:color w:val="000000"/>
          <w:kern w:val="0"/>
          <w:sz w:val="32"/>
          <w:szCs w:val="32"/>
          <w:highlight w:val="none"/>
          <w:lang w:val="zh-CN"/>
        </w:rPr>
        <w:t>部门财政资金总收入1</w:t>
      </w:r>
      <w:r>
        <w:rPr>
          <w:rFonts w:ascii="仿宋_GB2312" w:eastAsia="仿宋_GB2312" w:cs="仿宋_GB2312"/>
          <w:color w:val="000000"/>
          <w:kern w:val="0"/>
          <w:sz w:val="32"/>
          <w:szCs w:val="32"/>
          <w:highlight w:val="none"/>
          <w:lang w:val="zh-CN"/>
        </w:rPr>
        <w:t>888.78</w:t>
      </w:r>
      <w:r>
        <w:rPr>
          <w:rFonts w:hint="eastAsia" w:ascii="仿宋_GB2312" w:cs="仿宋_GB2312"/>
          <w:color w:val="000000"/>
          <w:kern w:val="0"/>
          <w:sz w:val="32"/>
          <w:szCs w:val="32"/>
          <w:highlight w:val="none"/>
          <w:lang w:val="zh-CN"/>
        </w:rPr>
        <w:t>万</w:t>
      </w:r>
      <w:r>
        <w:rPr>
          <w:rFonts w:hint="eastAsia" w:ascii="仿宋_GB2312" w:eastAsia="仿宋_GB2312" w:cs="仿宋_GB2312"/>
          <w:color w:val="000000"/>
          <w:kern w:val="0"/>
          <w:sz w:val="32"/>
          <w:szCs w:val="32"/>
          <w:highlight w:val="none"/>
          <w:lang w:val="zh-CN"/>
        </w:rPr>
        <w:t>元</w:t>
      </w:r>
      <w:r>
        <w:rPr>
          <w:rFonts w:hint="eastAsia" w:ascii="仿宋_GB2312" w:cs="仿宋_GB2312"/>
          <w:color w:val="000000"/>
          <w:kern w:val="0"/>
          <w:sz w:val="32"/>
          <w:szCs w:val="32"/>
          <w:highlight w:val="none"/>
          <w:lang w:val="en-US" w:eastAsia="zh-CN"/>
        </w:rPr>
        <w:t>,年初预算</w:t>
      </w:r>
      <w:r>
        <w:rPr>
          <w:rFonts w:ascii="仿宋_GB2312" w:cs="仿宋_GB2312"/>
          <w:color w:val="000000"/>
          <w:kern w:val="0"/>
          <w:sz w:val="32"/>
          <w:szCs w:val="32"/>
          <w:highlight w:val="none"/>
          <w:lang w:val="en-US" w:eastAsia="zh-CN"/>
        </w:rPr>
        <w:t>1004.89</w:t>
      </w:r>
      <w:r>
        <w:rPr>
          <w:rFonts w:hint="eastAsia" w:ascii="仿宋_GB2312" w:cs="仿宋_GB2312"/>
          <w:color w:val="000000"/>
          <w:kern w:val="0"/>
          <w:sz w:val="32"/>
          <w:szCs w:val="32"/>
          <w:highlight w:val="none"/>
          <w:lang w:val="en-US" w:eastAsia="zh-CN"/>
        </w:rPr>
        <w:t>万元，调整预算</w:t>
      </w:r>
      <w:r>
        <w:rPr>
          <w:rFonts w:ascii="仿宋_GB2312" w:cs="仿宋_GB2312"/>
          <w:color w:val="000000"/>
          <w:kern w:val="0"/>
          <w:sz w:val="32"/>
          <w:szCs w:val="32"/>
          <w:highlight w:val="none"/>
          <w:lang w:val="en-US" w:eastAsia="zh-CN"/>
        </w:rPr>
        <w:t>883.89</w:t>
      </w:r>
      <w:r>
        <w:rPr>
          <w:rFonts w:hint="eastAsia" w:ascii="仿宋_GB2312" w:cs="仿宋_GB2312"/>
          <w:color w:val="000000"/>
          <w:kern w:val="0"/>
          <w:sz w:val="32"/>
          <w:szCs w:val="32"/>
          <w:highlight w:val="none"/>
          <w:lang w:val="en-US" w:eastAsia="zh-CN"/>
        </w:rPr>
        <w:t>万元</w:t>
      </w:r>
      <w:r>
        <w:rPr>
          <w:rFonts w:hint="eastAsia" w:ascii="仿宋_GB2312" w:eastAsia="仿宋_GB2312" w:cs="仿宋_GB2312"/>
          <w:sz w:val="32"/>
          <w:szCs w:val="32"/>
          <w:highlight w:val="none"/>
        </w:rPr>
        <w:t>；其中当年财政拨款收入</w:t>
      </w:r>
      <w:r>
        <w:rPr>
          <w:rFonts w:hint="eastAsia" w:ascii="仿宋_GB2312" w:eastAsia="仿宋_GB2312" w:cs="仿宋_GB2312"/>
          <w:color w:val="000000"/>
          <w:kern w:val="0"/>
          <w:sz w:val="32"/>
          <w:szCs w:val="32"/>
          <w:highlight w:val="none"/>
          <w:lang w:val="zh-CN"/>
        </w:rPr>
        <w:t>1</w:t>
      </w:r>
      <w:r>
        <w:rPr>
          <w:rFonts w:ascii="仿宋_GB2312" w:eastAsia="仿宋_GB2312" w:cs="仿宋_GB2312"/>
          <w:color w:val="000000"/>
          <w:kern w:val="0"/>
          <w:sz w:val="32"/>
          <w:szCs w:val="32"/>
          <w:highlight w:val="none"/>
          <w:lang w:val="zh-CN"/>
        </w:rPr>
        <w:t>858.88</w:t>
      </w:r>
      <w:r>
        <w:rPr>
          <w:rFonts w:hint="eastAsia" w:ascii="仿宋_GB2312" w:cs="仿宋_GB2312"/>
          <w:color w:val="000000"/>
          <w:kern w:val="0"/>
          <w:sz w:val="32"/>
          <w:szCs w:val="32"/>
          <w:highlight w:val="none"/>
          <w:lang w:val="zh-CN"/>
        </w:rPr>
        <w:t>万</w:t>
      </w:r>
      <w:r>
        <w:rPr>
          <w:rFonts w:hint="eastAsia" w:ascii="仿宋_GB2312" w:eastAsia="仿宋_GB2312" w:cs="仿宋_GB2312"/>
          <w:color w:val="000000"/>
          <w:kern w:val="0"/>
          <w:sz w:val="32"/>
          <w:szCs w:val="32"/>
          <w:highlight w:val="none"/>
          <w:lang w:val="zh-CN"/>
        </w:rPr>
        <w:t>元</w:t>
      </w:r>
      <w:r>
        <w:rPr>
          <w:rFonts w:hint="eastAsia" w:ascii="仿宋_GB2312" w:eastAsia="仿宋_GB2312" w:cs="仿宋_GB2312"/>
          <w:sz w:val="32"/>
          <w:szCs w:val="32"/>
          <w:highlight w:val="none"/>
        </w:rPr>
        <w:t>，占总收入</w:t>
      </w:r>
      <w:r>
        <w:rPr>
          <w:rFonts w:ascii="仿宋_GB2312" w:eastAsia="仿宋_GB2312" w:cs="仿宋_GB2312"/>
          <w:sz w:val="32"/>
          <w:szCs w:val="32"/>
          <w:highlight w:val="none"/>
          <w:lang w:val="en-US" w:eastAsia="zh-CN"/>
        </w:rPr>
        <w:t>98.4</w:t>
      </w:r>
      <w:r>
        <w:rPr>
          <w:rFonts w:hint="eastAsia" w:ascii="仿宋_GB2312" w:eastAsia="仿宋_GB2312" w:cs="仿宋_GB2312"/>
          <w:sz w:val="32"/>
          <w:szCs w:val="32"/>
          <w:highlight w:val="none"/>
        </w:rPr>
        <w:t>%</w:t>
      </w:r>
      <w:r>
        <w:rPr>
          <w:rFonts w:hint="eastAsia" w:ascii="仿宋_GB2312" w:cs="仿宋_GB2312"/>
          <w:sz w:val="32"/>
          <w:szCs w:val="32"/>
          <w:highlight w:val="none"/>
          <w:lang w:eastAsia="zh-CN"/>
        </w:rPr>
        <w:t>。决算报表</w:t>
      </w:r>
      <w:r>
        <w:rPr>
          <w:rFonts w:ascii="仿宋_GB2312" w:cs="仿宋_GB2312"/>
          <w:sz w:val="32"/>
          <w:szCs w:val="32"/>
          <w:highlight w:val="none"/>
          <w:lang w:eastAsia="zh-CN"/>
        </w:rPr>
        <w:t>财政</w:t>
      </w:r>
      <w:r>
        <w:rPr>
          <w:rFonts w:hint="eastAsia" w:ascii="仿宋_GB2312" w:cs="仿宋_GB2312"/>
          <w:sz w:val="32"/>
          <w:szCs w:val="32"/>
          <w:highlight w:val="none"/>
          <w:lang w:eastAsia="zh-CN"/>
        </w:rPr>
        <w:t>收</w:t>
      </w:r>
      <w:r>
        <w:rPr>
          <w:rFonts w:hint="default" w:ascii="仿宋_GB2312" w:cs="仿宋_GB2312"/>
          <w:sz w:val="32"/>
          <w:szCs w:val="32"/>
          <w:highlight w:val="none"/>
          <w:lang w:eastAsia="zh-CN"/>
        </w:rPr>
        <w:t>入</w:t>
      </w:r>
      <w:r>
        <w:rPr>
          <w:rFonts w:hint="eastAsia" w:ascii="仿宋_GB2312" w:eastAsia="仿宋_GB2312" w:cs="仿宋_GB2312"/>
          <w:color w:val="000000"/>
          <w:kern w:val="0"/>
          <w:sz w:val="32"/>
          <w:szCs w:val="32"/>
          <w:highlight w:val="none"/>
          <w:lang w:val="zh-CN"/>
        </w:rPr>
        <w:t>1</w:t>
      </w:r>
      <w:r>
        <w:rPr>
          <w:rFonts w:ascii="仿宋_GB2312" w:eastAsia="仿宋_GB2312" w:cs="仿宋_GB2312"/>
          <w:color w:val="000000"/>
          <w:kern w:val="0"/>
          <w:sz w:val="32"/>
          <w:szCs w:val="32"/>
          <w:highlight w:val="none"/>
          <w:lang w:val="zh-CN"/>
        </w:rPr>
        <w:t>858.88</w:t>
      </w:r>
      <w:r>
        <w:rPr>
          <w:rFonts w:hint="eastAsia" w:ascii="仿宋_GB2312" w:cs="仿宋_GB2312"/>
          <w:color w:val="000000"/>
          <w:kern w:val="0"/>
          <w:sz w:val="32"/>
          <w:szCs w:val="32"/>
          <w:highlight w:val="none"/>
          <w:lang w:val="zh-CN"/>
        </w:rPr>
        <w:t>万</w:t>
      </w:r>
      <w:r>
        <w:rPr>
          <w:rFonts w:hint="eastAsia" w:ascii="仿宋_GB2312" w:eastAsia="仿宋_GB2312" w:cs="仿宋_GB2312"/>
          <w:color w:val="000000"/>
          <w:kern w:val="0"/>
          <w:sz w:val="32"/>
          <w:szCs w:val="32"/>
          <w:highlight w:val="none"/>
          <w:lang w:val="zh-CN"/>
        </w:rPr>
        <w:t>元</w:t>
      </w:r>
      <w:r>
        <w:rPr>
          <w:rFonts w:hint="eastAsia" w:ascii="仿宋_GB2312" w:cs="仿宋_GB2312"/>
          <w:color w:val="000000"/>
          <w:kern w:val="0"/>
          <w:sz w:val="32"/>
          <w:szCs w:val="32"/>
          <w:highlight w:val="none"/>
          <w:lang w:val="zh-CN"/>
        </w:rPr>
        <w:t>。</w:t>
      </w:r>
      <w:r>
        <w:rPr>
          <w:rFonts w:ascii="仿宋_GB2312" w:cs="仿宋_GB2312"/>
          <w:color w:val="000000"/>
          <w:kern w:val="0"/>
          <w:sz w:val="32"/>
          <w:szCs w:val="32"/>
          <w:highlight w:val="none"/>
          <w:lang w:val="zh-CN"/>
        </w:rPr>
        <w:t>捐赠收入为29.9万元，占总收入1.6%。</w:t>
      </w:r>
    </w:p>
    <w:p>
      <w:pPr>
        <w:keepNext w:val="0"/>
        <w:keepLines w:val="0"/>
        <w:pageBreakBefore w:val="0"/>
        <w:widowControl/>
        <w:numPr>
          <w:ilvl w:val="0"/>
          <w:numId w:val="1"/>
        </w:numPr>
        <w:kinsoku/>
        <w:wordWrap/>
        <w:overflowPunct/>
        <w:topLinePunct w:val="0"/>
        <w:autoSpaceDE/>
        <w:autoSpaceDN/>
        <w:bidi w:val="0"/>
        <w:adjustRightInd w:val="0"/>
        <w:snapToGrid w:val="0"/>
        <w:spacing w:beforeAutospacing="0" w:afterAutospacing="0" w:line="560" w:lineRule="exact"/>
        <w:ind w:left="0" w:firstLine="642" w:firstLineChars="200"/>
        <w:contextualSpacing/>
        <w:jc w:val="left"/>
        <w:textAlignment w:val="auto"/>
        <w:outlineLvl w:val="9"/>
        <w:rPr>
          <w:rFonts w:ascii="Times New Roman" w:hAnsi="Times New Roman" w:eastAsia="楷体_GB2312" w:cs="Times New Roman"/>
          <w:b/>
          <w:bCs/>
          <w:color w:val="000000"/>
          <w:kern w:val="0"/>
          <w:szCs w:val="32"/>
          <w:highlight w:val="none"/>
          <w:shd w:val="clear" w:color="auto" w:fill="FFFFFF"/>
          <w:lang w:val="zh-CN"/>
        </w:rPr>
      </w:pPr>
      <w:r>
        <w:rPr>
          <w:rFonts w:hint="eastAsia" w:eastAsia="楷体_GB2312" w:cs="Times New Roman"/>
          <w:b/>
          <w:bCs/>
          <w:color w:val="000000"/>
          <w:kern w:val="0"/>
          <w:szCs w:val="32"/>
          <w:highlight w:val="none"/>
          <w:shd w:val="clear" w:color="auto" w:fill="FFFFFF"/>
          <w:lang w:val="zh-CN"/>
        </w:rPr>
        <w:t>支出情况</w:t>
      </w:r>
      <w:r>
        <w:rPr>
          <w:rFonts w:ascii="Times New Roman" w:hAnsi="Times New Roman" w:eastAsia="楷体_GB2312" w:cs="Times New Roman"/>
          <w:b/>
          <w:bCs/>
          <w:color w:val="000000"/>
          <w:kern w:val="0"/>
          <w:szCs w:val="32"/>
          <w:highlight w:val="none"/>
          <w:shd w:val="clear" w:color="auto" w:fill="FFFFFF"/>
          <w:lang w:val="zh-CN"/>
        </w:rPr>
        <w:t>。</w:t>
      </w:r>
    </w:p>
    <w:p>
      <w:pPr>
        <w:pStyle w:val="14"/>
        <w:keepNext w:val="0"/>
        <w:keepLines w:val="0"/>
        <w:pageBreakBefore w:val="0"/>
        <w:widowControl w:val="0"/>
        <w:shd w:val="clear" w:color="auto" w:fill="FFFFFF"/>
        <w:kinsoku/>
        <w:wordWrap/>
        <w:overflowPunct/>
        <w:topLinePunct w:val="0"/>
        <w:autoSpaceDE/>
        <w:autoSpaceDN/>
        <w:bidi w:val="0"/>
        <w:spacing w:beforeAutospacing="0" w:afterAutospacing="0" w:line="560" w:lineRule="exact"/>
        <w:ind w:firstLine="640" w:firstLineChars="200"/>
        <w:rPr>
          <w:rFonts w:hint="eastAsia" w:ascii="仿宋_GB2312" w:eastAsia="仿宋_GB2312" w:cs="仿宋_GB2312"/>
          <w:color w:val="000000"/>
          <w:kern w:val="0"/>
          <w:sz w:val="32"/>
          <w:szCs w:val="32"/>
          <w:highlight w:val="none"/>
          <w:lang w:val="en-US" w:eastAsia="zh-CN"/>
        </w:rPr>
      </w:pPr>
      <w:r>
        <w:rPr>
          <w:rFonts w:hint="eastAsia" w:ascii="仿宋_GB2312" w:eastAsia="仿宋_GB2312" w:cs="仿宋_GB2312"/>
          <w:color w:val="000000"/>
          <w:kern w:val="0"/>
          <w:sz w:val="32"/>
          <w:szCs w:val="32"/>
          <w:highlight w:val="none"/>
          <w:lang w:val="en-US" w:eastAsia="zh-CN"/>
        </w:rPr>
        <w:t>202</w:t>
      </w:r>
      <w:r>
        <w:rPr>
          <w:rFonts w:ascii="仿宋_GB2312" w:cs="仿宋_GB2312"/>
          <w:color w:val="000000"/>
          <w:kern w:val="0"/>
          <w:sz w:val="32"/>
          <w:szCs w:val="32"/>
          <w:highlight w:val="none"/>
          <w:lang w:val="en-US" w:eastAsia="zh-CN"/>
        </w:rPr>
        <w:t>5</w:t>
      </w:r>
      <w:r>
        <w:rPr>
          <w:rFonts w:hint="eastAsia" w:ascii="仿宋_GB2312" w:eastAsia="仿宋_GB2312" w:cs="仿宋_GB2312"/>
          <w:color w:val="000000"/>
          <w:kern w:val="0"/>
          <w:sz w:val="32"/>
          <w:szCs w:val="32"/>
          <w:highlight w:val="none"/>
        </w:rPr>
        <w:t>年度</w:t>
      </w:r>
      <w:r>
        <w:rPr>
          <w:rFonts w:hint="eastAsia" w:ascii="仿宋_GB2312" w:eastAsia="仿宋_GB2312" w:cs="仿宋_GB2312"/>
          <w:color w:val="000000"/>
          <w:kern w:val="0"/>
          <w:sz w:val="32"/>
          <w:szCs w:val="32"/>
          <w:highlight w:val="none"/>
          <w:lang w:val="zh-CN"/>
        </w:rPr>
        <w:t>部门财政资金总</w:t>
      </w:r>
      <w:r>
        <w:rPr>
          <w:rFonts w:hint="eastAsia" w:ascii="仿宋_GB2312" w:cs="仿宋_GB2312"/>
          <w:color w:val="000000"/>
          <w:kern w:val="0"/>
          <w:sz w:val="32"/>
          <w:szCs w:val="32"/>
          <w:highlight w:val="none"/>
          <w:lang w:val="zh-CN"/>
        </w:rPr>
        <w:t>支出</w:t>
      </w:r>
      <w:r>
        <w:rPr>
          <w:rFonts w:hint="eastAsia" w:ascii="仿宋_GB2312" w:eastAsia="仿宋_GB2312" w:cs="仿宋_GB2312"/>
          <w:color w:val="000000"/>
          <w:kern w:val="0"/>
          <w:sz w:val="32"/>
          <w:szCs w:val="32"/>
          <w:highlight w:val="none"/>
          <w:lang w:val="zh-CN"/>
        </w:rPr>
        <w:t>1</w:t>
      </w:r>
      <w:r>
        <w:rPr>
          <w:rFonts w:ascii="仿宋_GB2312" w:eastAsia="仿宋_GB2312" w:cs="仿宋_GB2312"/>
          <w:color w:val="000000"/>
          <w:kern w:val="0"/>
          <w:sz w:val="32"/>
          <w:szCs w:val="32"/>
          <w:highlight w:val="none"/>
          <w:lang w:val="zh-CN"/>
        </w:rPr>
        <w:t>888.78</w:t>
      </w:r>
      <w:r>
        <w:rPr>
          <w:rFonts w:hint="eastAsia" w:ascii="仿宋_GB2312" w:cs="仿宋_GB2312"/>
          <w:color w:val="000000"/>
          <w:kern w:val="0"/>
          <w:sz w:val="32"/>
          <w:szCs w:val="32"/>
          <w:highlight w:val="none"/>
          <w:lang w:val="zh-CN"/>
        </w:rPr>
        <w:t>万</w:t>
      </w:r>
      <w:r>
        <w:rPr>
          <w:rFonts w:hint="eastAsia" w:ascii="仿宋_GB2312" w:eastAsia="仿宋_GB2312" w:cs="仿宋_GB2312"/>
          <w:color w:val="000000"/>
          <w:kern w:val="0"/>
          <w:sz w:val="32"/>
          <w:szCs w:val="32"/>
          <w:highlight w:val="none"/>
          <w:lang w:val="zh-CN"/>
        </w:rPr>
        <w:t>元</w:t>
      </w:r>
      <w:r>
        <w:rPr>
          <w:rFonts w:hint="eastAsia" w:ascii="仿宋_GB2312" w:eastAsia="仿宋_GB2312" w:cs="仿宋_GB2312"/>
          <w:sz w:val="32"/>
          <w:szCs w:val="32"/>
          <w:highlight w:val="none"/>
        </w:rPr>
        <w:t>；其中当年财政拨款</w:t>
      </w:r>
      <w:r>
        <w:rPr>
          <w:rFonts w:hint="eastAsia" w:ascii="仿宋_GB2312" w:cs="仿宋_GB2312"/>
          <w:sz w:val="32"/>
          <w:szCs w:val="32"/>
          <w:highlight w:val="none"/>
          <w:lang w:eastAsia="zh-CN"/>
        </w:rPr>
        <w:t>支出</w:t>
      </w:r>
      <w:r>
        <w:rPr>
          <w:rFonts w:hint="eastAsia" w:ascii="仿宋_GB2312" w:eastAsia="仿宋_GB2312" w:cs="仿宋_GB2312"/>
          <w:color w:val="000000"/>
          <w:kern w:val="0"/>
          <w:sz w:val="32"/>
          <w:szCs w:val="32"/>
          <w:highlight w:val="none"/>
          <w:lang w:val="zh-CN"/>
        </w:rPr>
        <w:t>1</w:t>
      </w:r>
      <w:r>
        <w:rPr>
          <w:rFonts w:ascii="仿宋_GB2312" w:eastAsia="仿宋_GB2312" w:cs="仿宋_GB2312"/>
          <w:color w:val="000000"/>
          <w:kern w:val="0"/>
          <w:sz w:val="32"/>
          <w:szCs w:val="32"/>
          <w:highlight w:val="none"/>
          <w:lang w:val="zh-CN"/>
        </w:rPr>
        <w:t>858.88</w:t>
      </w:r>
      <w:r>
        <w:rPr>
          <w:rFonts w:hint="eastAsia" w:ascii="仿宋_GB2312" w:cs="仿宋_GB2312"/>
          <w:color w:val="000000"/>
          <w:kern w:val="0"/>
          <w:sz w:val="32"/>
          <w:szCs w:val="32"/>
          <w:highlight w:val="none"/>
          <w:lang w:val="zh-CN"/>
        </w:rPr>
        <w:t>万</w:t>
      </w:r>
      <w:r>
        <w:rPr>
          <w:rFonts w:hint="eastAsia" w:ascii="仿宋_GB2312" w:eastAsia="仿宋_GB2312" w:cs="仿宋_GB2312"/>
          <w:color w:val="000000"/>
          <w:kern w:val="0"/>
          <w:sz w:val="32"/>
          <w:szCs w:val="32"/>
          <w:highlight w:val="none"/>
          <w:lang w:val="zh-CN"/>
        </w:rPr>
        <w:t>元</w:t>
      </w:r>
      <w:r>
        <w:rPr>
          <w:rFonts w:hint="eastAsia" w:ascii="仿宋_GB2312" w:eastAsia="仿宋_GB2312" w:cs="仿宋_GB2312"/>
          <w:sz w:val="32"/>
          <w:szCs w:val="32"/>
          <w:highlight w:val="none"/>
        </w:rPr>
        <w:t>，</w:t>
      </w:r>
      <w:r>
        <w:rPr>
          <w:rFonts w:ascii="仿宋_GB2312" w:eastAsia="仿宋_GB2312" w:cs="仿宋_GB2312"/>
          <w:sz w:val="32"/>
          <w:szCs w:val="32"/>
          <w:highlight w:val="none"/>
        </w:rPr>
        <w:t>捐赠收入29.9万元。其中</w:t>
      </w:r>
      <w:r>
        <w:rPr>
          <w:rFonts w:hint="eastAsia" w:ascii="仿宋_GB2312" w:cs="仿宋_GB2312"/>
          <w:color w:val="000000"/>
          <w:kern w:val="0"/>
          <w:sz w:val="32"/>
          <w:szCs w:val="32"/>
          <w:highlight w:val="none"/>
          <w:lang w:val="zh-CN"/>
        </w:rPr>
        <w:t>人员类经费</w:t>
      </w:r>
      <w:r>
        <w:rPr>
          <w:rFonts w:ascii="仿宋_GB2312" w:cs="仿宋_GB2312"/>
          <w:color w:val="000000"/>
          <w:kern w:val="0"/>
          <w:sz w:val="32"/>
          <w:szCs w:val="32"/>
          <w:highlight w:val="none"/>
          <w:lang w:val="en-US" w:eastAsia="zh-CN"/>
        </w:rPr>
        <w:t>1005.99</w:t>
      </w:r>
      <w:r>
        <w:rPr>
          <w:rFonts w:hint="eastAsia" w:ascii="仿宋_GB2312" w:cs="仿宋_GB2312"/>
          <w:color w:val="000000"/>
          <w:kern w:val="0"/>
          <w:sz w:val="32"/>
          <w:szCs w:val="32"/>
          <w:highlight w:val="none"/>
          <w:lang w:val="en-US" w:eastAsia="zh-CN"/>
        </w:rPr>
        <w:t>万元，公用经费</w:t>
      </w:r>
      <w:r>
        <w:rPr>
          <w:rFonts w:ascii="仿宋_GB2312" w:cs="仿宋_GB2312"/>
          <w:color w:val="000000"/>
          <w:kern w:val="0"/>
          <w:sz w:val="32"/>
          <w:szCs w:val="32"/>
          <w:highlight w:val="none"/>
          <w:lang w:val="en-US" w:eastAsia="zh-CN"/>
        </w:rPr>
        <w:t>109.4</w:t>
      </w:r>
      <w:r>
        <w:rPr>
          <w:rFonts w:hint="eastAsia" w:ascii="仿宋_GB2312" w:cs="仿宋_GB2312"/>
          <w:color w:val="000000"/>
          <w:kern w:val="0"/>
          <w:sz w:val="32"/>
          <w:szCs w:val="32"/>
          <w:highlight w:val="none"/>
          <w:lang w:val="en-US" w:eastAsia="zh-CN"/>
        </w:rPr>
        <w:t>万元，项目经费</w:t>
      </w:r>
      <w:r>
        <w:rPr>
          <w:rFonts w:ascii="仿宋_GB2312" w:cs="仿宋_GB2312"/>
          <w:color w:val="000000"/>
          <w:kern w:val="0"/>
          <w:sz w:val="32"/>
          <w:szCs w:val="32"/>
          <w:highlight w:val="none"/>
          <w:lang w:val="en-US" w:eastAsia="zh-CN"/>
        </w:rPr>
        <w:t>773.39</w:t>
      </w:r>
      <w:r>
        <w:rPr>
          <w:rFonts w:hint="eastAsia" w:ascii="仿宋_GB2312" w:cs="仿宋_GB2312"/>
          <w:color w:val="000000"/>
          <w:kern w:val="0"/>
          <w:sz w:val="32"/>
          <w:szCs w:val="32"/>
          <w:highlight w:val="none"/>
          <w:lang w:val="en-US" w:eastAsia="zh-CN"/>
        </w:rPr>
        <w:t>万元。总支出与决算数相等。</w:t>
      </w:r>
    </w:p>
    <w:p>
      <w:pPr>
        <w:pStyle w:val="14"/>
        <w:keepNext w:val="0"/>
        <w:keepLines w:val="0"/>
        <w:pageBreakBefore w:val="0"/>
        <w:widowControl w:val="0"/>
        <w:shd w:val="clear" w:color="auto" w:fill="FFFFFF"/>
        <w:kinsoku/>
        <w:wordWrap/>
        <w:overflowPunct/>
        <w:topLinePunct w:val="0"/>
        <w:autoSpaceDE/>
        <w:autoSpaceDN/>
        <w:bidi w:val="0"/>
        <w:spacing w:beforeAutospacing="0" w:afterAutospacing="0" w:line="560" w:lineRule="exact"/>
        <w:ind w:firstLine="640" w:firstLineChars="200"/>
        <w:rPr>
          <w:rFonts w:hint="eastAsia" w:ascii="仿宋_GB2312" w:eastAsia="仿宋_GB2312" w:cs="仿宋_GB2312"/>
          <w:color w:val="000000"/>
          <w:kern w:val="0"/>
          <w:sz w:val="32"/>
          <w:szCs w:val="32"/>
          <w:highlight w:val="none"/>
          <w:lang w:val="en-US" w:eastAsia="zh-CN"/>
        </w:rPr>
      </w:pPr>
      <w:r>
        <w:rPr>
          <w:rFonts w:hint="eastAsia" w:ascii="仿宋_GB2312" w:eastAsia="仿宋_GB2312" w:cs="仿宋_GB2312"/>
          <w:color w:val="000000"/>
          <w:kern w:val="0"/>
          <w:sz w:val="32"/>
          <w:szCs w:val="32"/>
          <w:highlight w:val="none"/>
          <w:lang w:val="zh-CN"/>
        </w:rPr>
        <w:t>主要包括：一般公共服务支出</w:t>
      </w:r>
      <w:r>
        <w:rPr>
          <w:rFonts w:ascii="仿宋_GB2312" w:cs="仿宋_GB2312"/>
          <w:color w:val="000000"/>
          <w:kern w:val="0"/>
          <w:sz w:val="32"/>
          <w:szCs w:val="32"/>
          <w:highlight w:val="none"/>
          <w:lang w:val="en-US" w:eastAsia="zh-CN"/>
        </w:rPr>
        <w:t>1303.52</w:t>
      </w:r>
      <w:r>
        <w:rPr>
          <w:rFonts w:hint="eastAsia" w:ascii="仿宋_GB2312" w:eastAsia="仿宋_GB2312" w:cs="仿宋_GB2312"/>
          <w:color w:val="000000"/>
          <w:kern w:val="0"/>
          <w:sz w:val="32"/>
          <w:szCs w:val="32"/>
          <w:highlight w:val="none"/>
          <w:lang w:val="zh-CN"/>
        </w:rPr>
        <w:t>万元、教育支出</w:t>
      </w:r>
      <w:r>
        <w:rPr>
          <w:rFonts w:ascii="仿宋_GB2312" w:eastAsia="仿宋_GB2312" w:cs="仿宋_GB2312"/>
          <w:color w:val="000000"/>
          <w:kern w:val="0"/>
          <w:sz w:val="32"/>
          <w:szCs w:val="32"/>
          <w:highlight w:val="none"/>
          <w:lang w:val="en-US" w:eastAsia="zh-CN"/>
        </w:rPr>
        <w:t>312.42</w:t>
      </w:r>
      <w:r>
        <w:rPr>
          <w:rFonts w:hint="eastAsia" w:ascii="仿宋_GB2312" w:eastAsia="仿宋_GB2312" w:cs="仿宋_GB2312"/>
          <w:color w:val="000000"/>
          <w:kern w:val="0"/>
          <w:sz w:val="32"/>
          <w:szCs w:val="32"/>
          <w:highlight w:val="none"/>
          <w:lang w:val="zh-CN"/>
        </w:rPr>
        <w:t>万元、社会保障和就业支出</w:t>
      </w:r>
      <w:r>
        <w:rPr>
          <w:rFonts w:ascii="仿宋_GB2312" w:cs="仿宋_GB2312"/>
          <w:color w:val="000000"/>
          <w:kern w:val="0"/>
          <w:sz w:val="32"/>
          <w:szCs w:val="32"/>
          <w:highlight w:val="none"/>
          <w:lang w:val="en-US" w:eastAsia="zh-CN"/>
        </w:rPr>
        <w:t>141.11</w:t>
      </w:r>
      <w:r>
        <w:rPr>
          <w:rFonts w:hint="eastAsia" w:ascii="仿宋_GB2312" w:eastAsia="仿宋_GB2312" w:cs="仿宋_GB2312"/>
          <w:color w:val="000000"/>
          <w:kern w:val="0"/>
          <w:sz w:val="32"/>
          <w:szCs w:val="32"/>
          <w:highlight w:val="none"/>
          <w:lang w:val="zh-CN"/>
        </w:rPr>
        <w:t>万元、卫生健康支出</w:t>
      </w:r>
      <w:r>
        <w:rPr>
          <w:rFonts w:ascii="仿宋_GB2312" w:cs="仿宋_GB2312"/>
          <w:color w:val="000000"/>
          <w:kern w:val="0"/>
          <w:sz w:val="32"/>
          <w:szCs w:val="32"/>
          <w:highlight w:val="none"/>
          <w:lang w:val="en-US" w:eastAsia="zh-CN"/>
        </w:rPr>
        <w:t>54.12</w:t>
      </w:r>
      <w:r>
        <w:rPr>
          <w:rFonts w:hint="eastAsia" w:ascii="仿宋_GB2312" w:eastAsia="仿宋_GB2312" w:cs="仿宋_GB2312"/>
          <w:color w:val="000000"/>
          <w:kern w:val="0"/>
          <w:sz w:val="32"/>
          <w:szCs w:val="32"/>
          <w:highlight w:val="none"/>
          <w:lang w:val="zh-CN"/>
        </w:rPr>
        <w:t>万元、住房保障支出</w:t>
      </w:r>
      <w:r>
        <w:rPr>
          <w:rFonts w:ascii="仿宋_GB2312" w:cs="仿宋_GB2312"/>
          <w:color w:val="000000"/>
          <w:kern w:val="0"/>
          <w:sz w:val="32"/>
          <w:szCs w:val="32"/>
          <w:highlight w:val="none"/>
          <w:lang w:val="en-US" w:eastAsia="zh-CN"/>
        </w:rPr>
        <w:t>77.6</w:t>
      </w:r>
      <w:r>
        <w:rPr>
          <w:rFonts w:hint="eastAsia" w:ascii="仿宋_GB2312" w:eastAsia="仿宋_GB2312" w:cs="仿宋_GB2312"/>
          <w:color w:val="000000"/>
          <w:kern w:val="0"/>
          <w:sz w:val="32"/>
          <w:szCs w:val="32"/>
          <w:highlight w:val="none"/>
          <w:lang w:val="zh-CN"/>
        </w:rPr>
        <w:t>万元。</w:t>
      </w:r>
    </w:p>
    <w:p>
      <w:pPr>
        <w:keepNext w:val="0"/>
        <w:keepLines w:val="0"/>
        <w:pageBreakBefore w:val="0"/>
        <w:widowControl/>
        <w:numPr>
          <w:ilvl w:val="0"/>
          <w:numId w:val="1"/>
        </w:numPr>
        <w:kinsoku/>
        <w:wordWrap/>
        <w:overflowPunct/>
        <w:topLinePunct w:val="0"/>
        <w:autoSpaceDE/>
        <w:autoSpaceDN/>
        <w:bidi w:val="0"/>
        <w:adjustRightInd w:val="0"/>
        <w:snapToGrid w:val="0"/>
        <w:spacing w:beforeAutospacing="0" w:afterAutospacing="0" w:line="560" w:lineRule="exact"/>
        <w:ind w:left="0" w:firstLine="642" w:firstLineChars="200"/>
        <w:contextualSpacing/>
        <w:jc w:val="left"/>
        <w:textAlignment w:val="auto"/>
        <w:outlineLvl w:val="9"/>
        <w:rPr>
          <w:rFonts w:hint="eastAsia" w:ascii="Times New Roman" w:hAnsi="Times New Roman" w:eastAsia="楷体_GB2312" w:cs="Times New Roman"/>
          <w:b/>
          <w:szCs w:val="32"/>
          <w:lang w:eastAsia="zh-CN"/>
        </w:rPr>
      </w:pPr>
      <w:r>
        <w:rPr>
          <w:rFonts w:ascii="Times New Roman" w:hAnsi="Times New Roman" w:eastAsia="楷体_GB2312" w:cs="Times New Roman"/>
          <w:b/>
          <w:szCs w:val="32"/>
        </w:rPr>
        <w:t>结余分配和结转结余情况</w:t>
      </w:r>
      <w:r>
        <w:rPr>
          <w:rFonts w:hint="eastAsia" w:ascii="Times New Roman" w:hAnsi="Times New Roman" w:eastAsia="楷体_GB2312" w:cs="Times New Roman"/>
          <w:b/>
          <w:szCs w:val="32"/>
          <w:lang w:eastAsia="zh-CN"/>
        </w:rPr>
        <w:t>。</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640" w:leftChars="200"/>
        <w:contextualSpacing/>
        <w:jc w:val="left"/>
        <w:textAlignment w:val="auto"/>
        <w:outlineLvl w:val="9"/>
        <w:rPr>
          <w:lang w:val="en-US" w:eastAsia="zh-CN"/>
        </w:rPr>
      </w:pPr>
      <w:r>
        <w:rPr>
          <w:rFonts w:hint="eastAsia" w:cs="Times New Roman"/>
          <w:szCs w:val="32"/>
          <w:lang w:val="en-US" w:eastAsia="zh-CN"/>
        </w:rPr>
        <w:t>202</w:t>
      </w:r>
      <w:r>
        <w:rPr>
          <w:rFonts w:cs="Times New Roman"/>
          <w:szCs w:val="32"/>
          <w:lang w:val="en-US" w:eastAsia="zh-CN"/>
        </w:rPr>
        <w:t>5</w:t>
      </w:r>
      <w:r>
        <w:rPr>
          <w:rFonts w:hint="eastAsia" w:cs="Times New Roman"/>
          <w:szCs w:val="32"/>
          <w:lang w:val="en-US" w:eastAsia="zh-CN"/>
        </w:rPr>
        <w:t>年</w:t>
      </w:r>
      <w:r>
        <w:rPr>
          <w:rFonts w:hint="eastAsia" w:ascii="Times New Roman" w:hAnsi="Times New Roman" w:cs="Times New Roman"/>
          <w:szCs w:val="32"/>
          <w:lang w:val="en-US" w:eastAsia="zh-CN"/>
        </w:rPr>
        <w:t>决算报表</w:t>
      </w:r>
      <w:r>
        <w:rPr>
          <w:rFonts w:ascii="Times New Roman" w:hAnsi="Times New Roman" w:eastAsia="仿宋_GB2312" w:cs="Times New Roman"/>
          <w:b w:val="0"/>
          <w:bCs w:val="0"/>
          <w:color w:val="000000"/>
          <w:kern w:val="0"/>
          <w:szCs w:val="32"/>
          <w:highlight w:val="none"/>
          <w:shd w:val="clear" w:color="auto" w:fill="FFFFFF"/>
          <w:lang w:val="en-US" w:eastAsia="zh-CN"/>
        </w:rPr>
        <w:t>结转结余</w:t>
      </w:r>
      <w:r>
        <w:rPr>
          <w:rFonts w:hint="eastAsia" w:cs="Times New Roman"/>
          <w:b w:val="0"/>
          <w:bCs w:val="0"/>
          <w:color w:val="000000"/>
          <w:kern w:val="0"/>
          <w:szCs w:val="32"/>
          <w:highlight w:val="none"/>
          <w:shd w:val="clear" w:color="auto" w:fill="FFFFFF"/>
          <w:lang w:val="en-US" w:eastAsia="zh-CN"/>
        </w:rPr>
        <w:t>为0</w:t>
      </w:r>
      <w:r>
        <w:rPr>
          <w:rFonts w:ascii="Times New Roman" w:hAnsi="Times New Roman" w:eastAsia="仿宋_GB2312" w:cs="Times New Roman"/>
          <w:b w:val="0"/>
          <w:bCs w:val="0"/>
          <w:color w:val="000000"/>
          <w:kern w:val="0"/>
          <w:szCs w:val="32"/>
          <w:highlight w:val="none"/>
          <w:shd w:val="clear" w:color="auto" w:fill="FFFFFF"/>
          <w:lang w:val="en-US" w:eastAsia="zh-CN"/>
        </w:rPr>
        <w:t>。</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200"/>
        <w:contextualSpacing/>
        <w:jc w:val="left"/>
        <w:textAlignment w:val="auto"/>
        <w:outlineLvl w:val="9"/>
        <w:rPr>
          <w:rFonts w:ascii="Times New Roman" w:hAnsi="Times New Roman" w:eastAsia="黑体" w:cs="Times New Roman"/>
          <w:color w:val="000000"/>
          <w:kern w:val="0"/>
          <w:szCs w:val="32"/>
          <w:highlight w:val="none"/>
          <w:shd w:val="clear" w:color="auto" w:fill="FFFFFF"/>
        </w:rPr>
      </w:pPr>
      <w:r>
        <w:rPr>
          <w:rFonts w:ascii="Times New Roman" w:hAnsi="Times New Roman" w:eastAsia="黑体" w:cs="Times New Roman"/>
          <w:color w:val="000000"/>
          <w:kern w:val="0"/>
          <w:szCs w:val="32"/>
          <w:highlight w:val="none"/>
          <w:shd w:val="clear" w:color="auto" w:fill="FFFFFF"/>
        </w:rPr>
        <w:t>三、</w:t>
      </w:r>
      <w:r>
        <w:rPr>
          <w:rFonts w:ascii="Times New Roman" w:hAnsi="Times New Roman" w:eastAsia="黑体" w:cs="Times New Roman"/>
          <w:color w:val="000000"/>
          <w:kern w:val="0"/>
          <w:szCs w:val="32"/>
          <w:highlight w:val="none"/>
          <w:u w:val="none"/>
          <w:shd w:val="clear" w:color="auto" w:fill="FFFFFF"/>
        </w:rPr>
        <w:t>部门</w:t>
      </w:r>
      <w:r>
        <w:rPr>
          <w:rFonts w:ascii="Times New Roman" w:hAnsi="Times New Roman" w:eastAsia="黑体" w:cs="Times New Roman"/>
          <w:color w:val="000000"/>
          <w:kern w:val="0"/>
          <w:szCs w:val="32"/>
          <w:highlight w:val="none"/>
          <w:u w:val="none"/>
          <w:shd w:val="clear" w:color="auto" w:fill="FFFFFF"/>
          <w:lang w:eastAsia="zh-CN"/>
        </w:rPr>
        <w:t>预算</w:t>
      </w:r>
      <w:r>
        <w:rPr>
          <w:rFonts w:ascii="Times New Roman" w:hAnsi="Times New Roman" w:eastAsia="黑体" w:cs="Times New Roman"/>
          <w:color w:val="000000"/>
          <w:kern w:val="0"/>
          <w:szCs w:val="32"/>
          <w:highlight w:val="none"/>
          <w:u w:val="none"/>
          <w:shd w:val="clear" w:color="auto" w:fill="FFFFFF"/>
        </w:rPr>
        <w:t>绩效</w:t>
      </w:r>
      <w:r>
        <w:rPr>
          <w:rFonts w:ascii="Times New Roman" w:hAnsi="Times New Roman" w:eastAsia="黑体" w:cs="Times New Roman"/>
          <w:color w:val="000000"/>
          <w:kern w:val="0"/>
          <w:szCs w:val="32"/>
          <w:highlight w:val="none"/>
          <w:u w:val="none"/>
          <w:shd w:val="clear" w:color="auto" w:fill="FFFFFF"/>
          <w:lang w:eastAsia="zh-CN"/>
        </w:rPr>
        <w:t>分析</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2" w:firstLineChars="200"/>
        <w:contextualSpacing/>
        <w:jc w:val="left"/>
        <w:textAlignment w:val="auto"/>
        <w:outlineLvl w:val="9"/>
        <w:rPr>
          <w:rFonts w:ascii="Times New Roman" w:hAnsi="Times New Roman" w:cs="Times New Roman"/>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（一）</w:t>
      </w:r>
      <w:r>
        <w:rPr>
          <w:rFonts w:hint="eastAsia" w:eastAsia="楷体_GB2312" w:cs="Times New Roman"/>
          <w:b/>
          <w:bCs/>
          <w:color w:val="000000"/>
          <w:kern w:val="0"/>
          <w:szCs w:val="32"/>
          <w:highlight w:val="none"/>
          <w:shd w:val="clear" w:color="auto" w:fill="FFFFFF"/>
          <w:lang w:val="zh-CN"/>
        </w:rPr>
        <w:t>部门预算</w:t>
      </w:r>
      <w:r>
        <w:rPr>
          <w:rFonts w:ascii="Times New Roman" w:hAnsi="Times New Roman" w:eastAsia="楷体_GB2312" w:cs="Times New Roman"/>
          <w:b/>
          <w:bCs/>
          <w:color w:val="000000"/>
          <w:kern w:val="0"/>
          <w:szCs w:val="32"/>
          <w:highlight w:val="none"/>
          <w:shd w:val="clear" w:color="auto" w:fill="FFFFFF"/>
          <w:lang w:val="zh-CN"/>
        </w:rPr>
        <w:t>总体绩效分析。</w:t>
      </w:r>
    </w:p>
    <w:p>
      <w:pPr>
        <w:spacing w:line="560" w:lineRule="exact"/>
        <w:ind w:firstLine="640" w:firstLineChars="200"/>
        <w:jc w:val="left"/>
        <w:rPr>
          <w:rFonts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1.</w:t>
      </w:r>
      <w:r>
        <w:rPr>
          <w:rFonts w:hint="eastAsia" w:ascii="楷体_GB2312" w:eastAsia="楷体_GB2312" w:cs="楷体_GB2312"/>
          <w:color w:val="000000"/>
          <w:kern w:val="0"/>
          <w:szCs w:val="32"/>
          <w:highlight w:val="none"/>
          <w:shd w:val="clear" w:color="auto" w:fill="FFFFFF"/>
          <w:lang w:val="zh-CN"/>
        </w:rPr>
        <w:t>履职效能。</w:t>
      </w:r>
    </w:p>
    <w:p>
      <w:pPr>
        <w:spacing w:line="560" w:lineRule="exact"/>
        <w:ind w:firstLine="642" w:firstLineChars="200"/>
        <w:jc w:val="left"/>
        <w:rPr>
          <w:rFonts w:hint="eastAsia" w:ascii="仿宋_GB2312" w:cs="仿宋_GB2312"/>
          <w:szCs w:val="32"/>
        </w:rPr>
      </w:pPr>
      <w:r>
        <w:rPr>
          <w:rFonts w:hint="eastAsia" w:ascii="楷体_GB2312" w:eastAsia="楷体_GB2312" w:cs="楷体_GB2312"/>
          <w:b/>
          <w:bCs/>
          <w:color w:val="000000"/>
          <w:kern w:val="0"/>
          <w:szCs w:val="32"/>
          <w:shd w:val="clear" w:color="auto" w:fill="FFFFFF"/>
          <w:lang w:val="zh-CN"/>
        </w:rPr>
        <w:t>一是</w:t>
      </w:r>
      <w:r>
        <w:rPr>
          <w:rFonts w:hint="eastAsia" w:ascii="Times New Roman" w:hAnsi="Times New Roman" w:eastAsia="方正仿宋_GBK" w:cs="Times New Roman"/>
          <w:color w:val="auto"/>
          <w:sz w:val="32"/>
          <w:szCs w:val="32"/>
          <w:highlight w:val="none"/>
          <w:lang w:val="en-US" w:eastAsia="zh-CN" w:bidi="ar-SA"/>
        </w:rPr>
        <w:t>深入</w:t>
      </w:r>
      <w:r>
        <w:rPr>
          <w:rFonts w:ascii="Times New Roman" w:hAnsi="Times New Roman" w:eastAsia="方正仿宋_GBK" w:cs="Times New Roman"/>
          <w:color w:val="auto"/>
          <w:sz w:val="32"/>
          <w:szCs w:val="32"/>
          <w:highlight w:val="none"/>
          <w:lang w:val="en-US" w:eastAsia="zh-CN" w:bidi="ar-SA"/>
        </w:rPr>
        <w:t>贯彻全国全省全州组织部长会议精神和县委工作要求，落实“全面对标、精准发力、高位争先”工作思路，扎实做好理论武装、选贤任能、强基固本、育才聚才各项工作。</w:t>
      </w:r>
      <w:r>
        <w:rPr>
          <w:rFonts w:hint="eastAsia" w:ascii="楷体_GB2312" w:eastAsia="楷体_GB2312" w:cs="楷体_GB2312"/>
          <w:b/>
          <w:bCs/>
          <w:color w:val="000000"/>
          <w:kern w:val="0"/>
          <w:szCs w:val="32"/>
          <w:shd w:val="clear" w:color="auto" w:fill="FFFFFF"/>
          <w:lang w:val="zh-CN"/>
        </w:rPr>
        <w:t>二是</w:t>
      </w:r>
      <w:r>
        <w:rPr>
          <w:rFonts w:eastAsia="方正仿宋_GBK"/>
          <w:szCs w:val="32"/>
        </w:rPr>
        <w:t>持续提升组织业务管理服务水平，加强干部管理，</w:t>
      </w:r>
      <w:r>
        <w:rPr>
          <w:rFonts w:ascii="Times New Roman" w:hAnsi="Times New Roman" w:eastAsia="方正仿宋_GBK" w:cs="Times New Roman"/>
          <w:bCs/>
          <w:color w:val="auto"/>
          <w:sz w:val="32"/>
          <w:szCs w:val="32"/>
          <w:highlight w:val="none"/>
        </w:rPr>
        <w:t>严格落实艰苦边远地区津贴、高海拔地区折算工龄补贴、乡镇工作补贴、提高乡镇机关公务员待遇等政策</w:t>
      </w:r>
      <w:r>
        <w:rPr>
          <w:rFonts w:hint="eastAsia" w:ascii="楷体_GB2312" w:eastAsia="楷体_GB2312" w:cs="楷体_GB2312"/>
          <w:color w:val="000000"/>
          <w:kern w:val="0"/>
          <w:szCs w:val="32"/>
          <w:shd w:val="clear" w:color="auto" w:fill="FFFFFF"/>
          <w:lang w:val="zh-CN"/>
        </w:rPr>
        <w:t>。</w:t>
      </w:r>
      <w:r>
        <w:rPr>
          <w:rFonts w:hint="eastAsia" w:ascii="楷体_GB2312" w:eastAsia="楷体_GB2312" w:cs="楷体_GB2312"/>
          <w:b/>
          <w:bCs/>
          <w:color w:val="000000"/>
          <w:kern w:val="0"/>
          <w:szCs w:val="32"/>
          <w:shd w:val="clear" w:color="auto" w:fill="FFFFFF"/>
          <w:lang w:val="zh-CN"/>
        </w:rPr>
        <w:t>三是</w:t>
      </w:r>
      <w:r>
        <w:rPr>
          <w:rFonts w:ascii="Times New Roman" w:hAnsi="Times New Roman" w:eastAsia="方正仿宋_GBK" w:cs="Times New Roman"/>
          <w:bCs/>
          <w:color w:val="auto"/>
          <w:kern w:val="2"/>
          <w:sz w:val="32"/>
          <w:szCs w:val="32"/>
          <w:highlight w:val="none"/>
          <w:lang w:val="en-US" w:eastAsia="zh-CN" w:bidi="ar-SA"/>
        </w:rPr>
        <w:t>巩固县级党校分类建设成果，构建高质量干部教育培训体系，瞄准党员、干部和农牧民群众三个群体，开展大规模全覆盖集中轮训，抓好领导干部集中轮训、示范培训，组织村组干部和农牧民党员“进党校”提能和出</w:t>
      </w:r>
      <w:r>
        <w:rPr>
          <w:rFonts w:hint="eastAsia" w:ascii="Times New Roman" w:hAnsi="Times New Roman" w:eastAsia="方正仿宋_GBK" w:cs="Times New Roman"/>
          <w:bCs/>
          <w:color w:val="auto"/>
          <w:kern w:val="2"/>
          <w:sz w:val="32"/>
          <w:szCs w:val="32"/>
          <w:highlight w:val="none"/>
          <w:lang w:val="en-US" w:eastAsia="zh-CN" w:bidi="ar-SA"/>
        </w:rPr>
        <w:t>州</w:t>
      </w:r>
      <w:r>
        <w:rPr>
          <w:rFonts w:ascii="Times New Roman" w:hAnsi="Times New Roman" w:eastAsia="方正仿宋_GBK" w:cs="Times New Roman"/>
          <w:bCs/>
          <w:color w:val="auto"/>
          <w:kern w:val="2"/>
          <w:sz w:val="32"/>
          <w:szCs w:val="32"/>
          <w:highlight w:val="none"/>
          <w:lang w:val="en-US" w:eastAsia="zh-CN" w:bidi="ar-SA"/>
        </w:rPr>
        <w:t>县参观考察学先进</w:t>
      </w:r>
      <w:r>
        <w:rPr>
          <w:rFonts w:hint="eastAsia" w:ascii="楷体_GB2312" w:eastAsia="楷体_GB2312" w:cs="楷体_GB2312"/>
          <w:color w:val="000000"/>
          <w:kern w:val="0"/>
          <w:szCs w:val="32"/>
          <w:shd w:val="clear" w:color="auto" w:fill="FFFFFF"/>
          <w:lang w:val="zh-CN"/>
        </w:rPr>
        <w:t>。</w:t>
      </w:r>
      <w:r>
        <w:rPr>
          <w:rFonts w:hint="eastAsia" w:ascii="楷体_GB2312" w:eastAsia="楷体_GB2312" w:cs="楷体_GB2312"/>
          <w:b/>
          <w:bCs/>
          <w:color w:val="000000"/>
          <w:kern w:val="0"/>
          <w:szCs w:val="32"/>
          <w:shd w:val="clear" w:color="auto" w:fill="FFFFFF"/>
          <w:lang w:val="zh-CN"/>
        </w:rPr>
        <w:t>四是</w:t>
      </w:r>
      <w:r>
        <w:rPr>
          <w:rFonts w:ascii="Times New Roman" w:hAnsi="Times New Roman" w:eastAsia="方正仿宋_GBK" w:cs="Times New Roman"/>
          <w:bCs/>
          <w:color w:val="auto"/>
          <w:kern w:val="2"/>
          <w:sz w:val="32"/>
          <w:szCs w:val="32"/>
          <w:highlight w:val="none"/>
          <w:lang w:val="en-US" w:eastAsia="zh-CN" w:bidi="ar-SA"/>
        </w:rPr>
        <w:t>持续深化抓党建促乡村振兴、促基层治理，将基层党组织建成服务保障高水平安全和高质量发展的坚强战斗堡垒</w:t>
      </w:r>
      <w:r>
        <w:rPr>
          <w:rFonts w:hint="eastAsia" w:ascii="仿宋_GB2312" w:cs="仿宋_GB2312"/>
          <w:szCs w:val="32"/>
        </w:rPr>
        <w:t>。</w:t>
      </w:r>
      <w:r>
        <w:rPr>
          <w:rFonts w:hint="eastAsia" w:eastAsia="方正仿宋_GBK" w:cs="Times New Roman"/>
          <w:i w:val="0"/>
          <w:iCs w:val="0"/>
          <w:caps w:val="0"/>
          <w:smallCaps w:val="0"/>
          <w:color w:val="auto"/>
          <w:spacing w:val="0"/>
          <w:sz w:val="32"/>
          <w:szCs w:val="32"/>
          <w:shd w:val="clear" w:color="auto" w:fill="FFFFFF"/>
          <w:lang w:val="en-US" w:eastAsia="zh-CN"/>
        </w:rPr>
        <w:t>结合实际支付</w:t>
      </w:r>
      <w:r>
        <w:rPr>
          <w:rFonts w:hint="eastAsia" w:ascii="仿宋_GB2312" w:eastAsia="仿宋_GB2312" w:cs="仿宋_GB2312"/>
          <w:color w:val="auto"/>
          <w:kern w:val="2"/>
          <w:sz w:val="32"/>
          <w:szCs w:val="32"/>
          <w:lang w:val="en-US" w:eastAsia="zh-CN" w:bidi="ar-SA"/>
        </w:rPr>
        <w:t>自评得分：</w:t>
      </w:r>
      <w:r>
        <w:rPr>
          <w:rFonts w:hint="eastAsia" w:ascii="仿宋_GB2312" w:cs="仿宋_GB2312"/>
          <w:color w:val="auto"/>
          <w:kern w:val="2"/>
          <w:sz w:val="32"/>
          <w:szCs w:val="32"/>
          <w:lang w:val="en-US" w:eastAsia="zh-CN" w:bidi="ar-SA"/>
        </w:rPr>
        <w:t>15</w:t>
      </w:r>
      <w:r>
        <w:rPr>
          <w:rFonts w:hint="eastAsia" w:ascii="仿宋_GB2312" w:eastAsia="仿宋_GB2312" w:cs="仿宋_GB2312"/>
          <w:color w:val="auto"/>
          <w:kern w:val="2"/>
          <w:sz w:val="32"/>
          <w:szCs w:val="32"/>
          <w:lang w:val="en-US" w:eastAsia="zh-CN" w:bidi="ar-SA"/>
        </w:rPr>
        <w:t>分</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outlineLvl w:val="9"/>
        <w:rPr>
          <w:rFonts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2.</w:t>
      </w:r>
      <w:r>
        <w:rPr>
          <w:rFonts w:ascii="楷体_GB2312" w:eastAsia="楷体_GB2312" w:cs="楷体_GB2312"/>
          <w:color w:val="000000"/>
          <w:kern w:val="0"/>
          <w:szCs w:val="32"/>
          <w:highlight w:val="none"/>
          <w:shd w:val="clear" w:color="auto" w:fill="FFFFFF"/>
          <w:lang w:val="zh-CN"/>
        </w:rPr>
        <w:t>预算管理</w:t>
      </w:r>
      <w:r>
        <w:rPr>
          <w:rFonts w:hint="eastAsia" w:ascii="楷体_GB2312" w:eastAsia="楷体_GB2312" w:cs="楷体_GB2312"/>
          <w:color w:val="000000"/>
          <w:kern w:val="0"/>
          <w:szCs w:val="32"/>
          <w:highlight w:val="none"/>
          <w:shd w:val="clear" w:color="auto" w:fill="FFFFFF"/>
          <w:lang w:val="zh-CN"/>
        </w:rPr>
        <w:t>。</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2" w:firstLineChars="200"/>
        <w:textAlignment w:val="auto"/>
        <w:outlineLvl w:val="9"/>
        <w:rPr>
          <w:rFonts w:hint="eastAsia" w:ascii="仿宋_GB2312" w:eastAsia="仿宋_GB2312" w:cs="仿宋_GB2312"/>
          <w:color w:val="auto"/>
          <w:kern w:val="2"/>
          <w:sz w:val="32"/>
          <w:szCs w:val="32"/>
          <w:lang w:val="en-US" w:eastAsia="zh-CN" w:bidi="ar-SA"/>
        </w:rPr>
      </w:pPr>
      <w:r>
        <w:rPr>
          <w:rFonts w:hint="eastAsia" w:ascii="楷体_GB2312" w:eastAsia="楷体_GB2312" w:cs="楷体_GB2312"/>
          <w:b/>
          <w:bCs/>
          <w:color w:val="000000"/>
          <w:kern w:val="0"/>
          <w:szCs w:val="32"/>
          <w:highlight w:val="none"/>
          <w:shd w:val="clear" w:color="auto" w:fill="FFFFFF"/>
          <w:lang w:val="zh-CN"/>
        </w:rPr>
        <w:t>一是</w:t>
      </w:r>
      <w:r>
        <w:rPr>
          <w:rFonts w:hint="eastAsia" w:ascii="楷体_GB2312" w:eastAsia="楷体_GB2312" w:cs="楷体_GB2312"/>
          <w:color w:val="000000"/>
          <w:kern w:val="0"/>
          <w:szCs w:val="32"/>
          <w:highlight w:val="none"/>
          <w:shd w:val="clear" w:color="auto" w:fill="FFFFFF"/>
          <w:lang w:val="zh-CN"/>
        </w:rPr>
        <w:t>预算编制质量：</w:t>
      </w:r>
      <w:r>
        <w:rPr>
          <w:rFonts w:hint="eastAsia" w:ascii="仿宋_GB2312" w:eastAsia="仿宋_GB2312" w:cs="仿宋_GB2312"/>
          <w:color w:val="auto"/>
          <w:kern w:val="2"/>
          <w:sz w:val="32"/>
          <w:szCs w:val="32"/>
          <w:lang w:val="en-US" w:eastAsia="zh-CN" w:bidi="ar-SA"/>
        </w:rPr>
        <w:t>部门预算编制目标制定清晰，部门整体绩效目标编制完整、合理部门整体绩效目标能完整、合理反映部门年度职责履行情况，项目绩效目标编制明确，并通过了预算草案审查，审查后未提出确需修改的问题</w:t>
      </w:r>
      <w:r>
        <w:rPr>
          <w:rFonts w:hint="eastAsia" w:ascii="仿宋_GB2312" w:cs="仿宋_GB2312"/>
          <w:color w:val="auto"/>
          <w:kern w:val="2"/>
          <w:sz w:val="32"/>
          <w:szCs w:val="32"/>
          <w:lang w:val="en-US" w:eastAsia="zh-CN" w:bidi="ar-SA"/>
        </w:rPr>
        <w:t>，自评得分8分；</w:t>
      </w:r>
      <w:r>
        <w:rPr>
          <w:rFonts w:hint="eastAsia" w:ascii="仿宋_GB2312" w:cs="仿宋_GB2312"/>
          <w:b/>
          <w:bCs/>
          <w:color w:val="auto"/>
          <w:kern w:val="2"/>
          <w:sz w:val="32"/>
          <w:szCs w:val="32"/>
          <w:lang w:val="en-US" w:eastAsia="zh-CN" w:bidi="ar-SA"/>
        </w:rPr>
        <w:t>二是</w:t>
      </w:r>
      <w:r>
        <w:rPr>
          <w:rFonts w:hint="eastAsia" w:ascii="仿宋_GB2312" w:cs="仿宋_GB2312"/>
          <w:color w:val="auto"/>
          <w:kern w:val="2"/>
          <w:sz w:val="32"/>
          <w:szCs w:val="32"/>
          <w:lang w:val="en-US" w:eastAsia="zh-CN" w:bidi="ar-SA"/>
        </w:rPr>
        <w:t>单位收入统筹：单位全年收入均属财政拨款收入，纳入预算管理，结息收入按规定上缴财政</w:t>
      </w:r>
      <w:r>
        <w:rPr>
          <w:rFonts w:ascii="仿宋_GB2312" w:cs="仿宋_GB2312"/>
          <w:color w:val="auto"/>
          <w:kern w:val="2"/>
          <w:sz w:val="32"/>
          <w:szCs w:val="32"/>
          <w:lang w:val="en-US" w:eastAsia="zh-CN" w:bidi="ar-SA"/>
        </w:rPr>
        <w:t>，</w:t>
      </w:r>
      <w:r>
        <w:rPr>
          <w:rFonts w:hint="eastAsia" w:ascii="仿宋_GB2312" w:cs="仿宋_GB2312"/>
          <w:color w:val="auto"/>
          <w:kern w:val="2"/>
          <w:sz w:val="32"/>
          <w:szCs w:val="32"/>
          <w:lang w:val="en-US" w:eastAsia="zh-CN" w:bidi="ar-SA"/>
        </w:rPr>
        <w:t>自评得分</w:t>
      </w:r>
      <w:r>
        <w:rPr>
          <w:rFonts w:ascii="仿宋_GB2312" w:cs="仿宋_GB2312"/>
          <w:color w:val="auto"/>
          <w:kern w:val="2"/>
          <w:sz w:val="32"/>
          <w:szCs w:val="32"/>
          <w:lang w:val="en-US" w:eastAsia="zh-CN" w:bidi="ar-SA"/>
        </w:rPr>
        <w:t>4</w:t>
      </w:r>
      <w:r>
        <w:rPr>
          <w:rFonts w:hint="eastAsia" w:ascii="仿宋_GB2312" w:cs="仿宋_GB2312"/>
          <w:color w:val="auto"/>
          <w:kern w:val="2"/>
          <w:sz w:val="32"/>
          <w:szCs w:val="32"/>
          <w:lang w:val="en-US" w:eastAsia="zh-CN" w:bidi="ar-SA"/>
        </w:rPr>
        <w:t>分；</w:t>
      </w:r>
      <w:r>
        <w:rPr>
          <w:rFonts w:hint="eastAsia" w:ascii="仿宋_GB2312" w:cs="仿宋_GB2312"/>
          <w:b/>
          <w:bCs/>
          <w:color w:val="auto"/>
          <w:kern w:val="2"/>
          <w:sz w:val="32"/>
          <w:szCs w:val="32"/>
          <w:lang w:val="en-US" w:eastAsia="zh-CN" w:bidi="ar-SA"/>
        </w:rPr>
        <w:t>三是</w:t>
      </w:r>
      <w:r>
        <w:rPr>
          <w:rFonts w:hint="eastAsia" w:ascii="仿宋_GB2312" w:cs="仿宋_GB2312"/>
          <w:color w:val="auto"/>
          <w:kern w:val="2"/>
          <w:sz w:val="32"/>
          <w:szCs w:val="32"/>
          <w:lang w:val="en-US" w:eastAsia="zh-CN" w:bidi="ar-SA"/>
        </w:rPr>
        <w:t>支出执行进度：我部门大多资金属于年底补助性资金，年底集中支付率高，年中执行进度较慢，</w:t>
      </w:r>
      <w:r>
        <w:rPr>
          <w:rFonts w:hint="eastAsia" w:ascii="仿宋_GB2312" w:cs="仿宋_GB2312"/>
          <w:szCs w:val="32"/>
        </w:rPr>
        <w:t>截止6月30日完成预算执行进度</w:t>
      </w:r>
      <w:r>
        <w:rPr>
          <w:rFonts w:ascii="仿宋_GB2312" w:cs="仿宋_GB2312"/>
          <w:szCs w:val="32"/>
        </w:rPr>
        <w:t>30</w:t>
      </w:r>
      <w:r>
        <w:rPr>
          <w:rFonts w:hint="eastAsia" w:ascii="仿宋_GB2312" w:cs="仿宋_GB2312"/>
          <w:szCs w:val="32"/>
        </w:rPr>
        <w:t>%，未达到50%</w:t>
      </w:r>
      <w:r>
        <w:rPr>
          <w:rFonts w:ascii="仿宋_GB2312" w:cs="仿宋_GB2312"/>
          <w:szCs w:val="32"/>
        </w:rPr>
        <w:t>，</w:t>
      </w:r>
      <w:r>
        <w:rPr>
          <w:rFonts w:hint="eastAsia" w:ascii="仿宋_GB2312" w:cs="仿宋_GB2312"/>
          <w:color w:val="auto"/>
          <w:kern w:val="2"/>
          <w:sz w:val="32"/>
          <w:szCs w:val="32"/>
          <w:lang w:val="en-US" w:eastAsia="zh-CN" w:bidi="ar-SA"/>
        </w:rPr>
        <w:t>自评得分</w:t>
      </w:r>
      <w:r>
        <w:rPr>
          <w:rFonts w:ascii="仿宋_GB2312" w:cs="仿宋_GB2312"/>
          <w:color w:val="auto"/>
          <w:kern w:val="2"/>
          <w:sz w:val="32"/>
          <w:szCs w:val="32"/>
          <w:lang w:val="en-US" w:eastAsia="zh-CN" w:bidi="ar-SA"/>
        </w:rPr>
        <w:t>4</w:t>
      </w:r>
      <w:r>
        <w:rPr>
          <w:rFonts w:hint="eastAsia" w:ascii="仿宋_GB2312" w:cs="仿宋_GB2312"/>
          <w:color w:val="auto"/>
          <w:kern w:val="2"/>
          <w:sz w:val="32"/>
          <w:szCs w:val="32"/>
          <w:lang w:val="en-US" w:eastAsia="zh-CN" w:bidi="ar-SA"/>
        </w:rPr>
        <w:t>分，扣</w:t>
      </w:r>
      <w:r>
        <w:rPr>
          <w:rFonts w:ascii="仿宋_GB2312" w:cs="仿宋_GB2312"/>
          <w:color w:val="auto"/>
          <w:kern w:val="2"/>
          <w:sz w:val="32"/>
          <w:szCs w:val="32"/>
          <w:lang w:val="en-US" w:eastAsia="zh-CN" w:bidi="ar-SA"/>
        </w:rPr>
        <w:t>2</w:t>
      </w:r>
      <w:r>
        <w:rPr>
          <w:rFonts w:hint="eastAsia" w:ascii="仿宋_GB2312" w:cs="仿宋_GB2312"/>
          <w:color w:val="auto"/>
          <w:kern w:val="2"/>
          <w:sz w:val="32"/>
          <w:szCs w:val="32"/>
          <w:lang w:val="en-US" w:eastAsia="zh-CN" w:bidi="ar-SA"/>
        </w:rPr>
        <w:t>分。</w:t>
      </w:r>
      <w:r>
        <w:rPr>
          <w:rFonts w:hint="eastAsia" w:ascii="仿宋_GB2312" w:cs="仿宋_GB2312"/>
          <w:b/>
          <w:bCs/>
          <w:color w:val="auto"/>
          <w:kern w:val="2"/>
          <w:sz w:val="32"/>
          <w:szCs w:val="32"/>
          <w:lang w:val="en-US" w:eastAsia="zh-CN" w:bidi="ar-SA"/>
        </w:rPr>
        <w:t>四是</w:t>
      </w:r>
      <w:r>
        <w:rPr>
          <w:rFonts w:hint="eastAsia" w:ascii="仿宋_GB2312" w:cs="仿宋_GB2312"/>
          <w:color w:val="auto"/>
          <w:kern w:val="2"/>
          <w:sz w:val="32"/>
          <w:szCs w:val="32"/>
          <w:lang w:val="en-US" w:eastAsia="zh-CN" w:bidi="ar-SA"/>
        </w:rPr>
        <w:t>预算年终结余：年末结余为零</w:t>
      </w:r>
      <w:r>
        <w:rPr>
          <w:rFonts w:hint="eastAsia" w:ascii="仿宋_GB2312" w:eastAsia="仿宋_GB2312" w:cs="仿宋_GB2312"/>
          <w:color w:val="auto"/>
          <w:kern w:val="2"/>
          <w:sz w:val="32"/>
          <w:szCs w:val="32"/>
          <w:lang w:val="en-US" w:eastAsia="zh-CN" w:bidi="ar-SA"/>
        </w:rPr>
        <w:t>，</w:t>
      </w:r>
      <w:r>
        <w:rPr>
          <w:rFonts w:hint="eastAsia" w:ascii="仿宋_GB2312" w:cs="仿宋_GB2312"/>
          <w:color w:val="auto"/>
          <w:kern w:val="2"/>
          <w:sz w:val="32"/>
          <w:szCs w:val="32"/>
          <w:lang w:val="en-US" w:eastAsia="zh-CN" w:bidi="ar-SA"/>
        </w:rPr>
        <w:t>收支平衡，自评得分2分；</w:t>
      </w:r>
      <w:r>
        <w:rPr>
          <w:rFonts w:hint="eastAsia" w:ascii="仿宋_GB2312" w:cs="仿宋_GB2312"/>
          <w:b/>
          <w:bCs/>
          <w:color w:val="auto"/>
          <w:kern w:val="2"/>
          <w:sz w:val="32"/>
          <w:szCs w:val="32"/>
          <w:lang w:val="en-US" w:eastAsia="zh-CN" w:bidi="ar-SA"/>
        </w:rPr>
        <w:t>五是</w:t>
      </w:r>
      <w:r>
        <w:rPr>
          <w:rFonts w:hint="eastAsia" w:ascii="仿宋_GB2312" w:cs="仿宋_GB2312"/>
          <w:color w:val="auto"/>
          <w:kern w:val="2"/>
          <w:sz w:val="32"/>
          <w:szCs w:val="32"/>
          <w:lang w:val="en-US" w:eastAsia="zh-CN" w:bidi="ar-SA"/>
        </w:rPr>
        <w:t>严控一般性支出：</w:t>
      </w:r>
      <w:r>
        <w:rPr>
          <w:rFonts w:hint="eastAsia"/>
          <w:lang w:val="en-US" w:eastAsia="zh-CN"/>
        </w:rPr>
        <w:t>202</w:t>
      </w:r>
      <w:r>
        <w:rPr>
          <w:lang w:val="en-US" w:eastAsia="zh-CN"/>
        </w:rPr>
        <w:t>5</w:t>
      </w:r>
      <w:r>
        <w:rPr>
          <w:rFonts w:hint="eastAsia"/>
          <w:lang w:val="en-US" w:eastAsia="zh-CN"/>
        </w:rPr>
        <w:t>年部门厉行节约，一般性支出会议费、差旅费、“三公</w:t>
      </w:r>
      <w:bookmarkStart w:id="1" w:name="_GoBack"/>
      <w:r>
        <w:rPr>
          <w:rFonts w:hint="eastAsia"/>
          <w:lang w:val="en-US" w:eastAsia="zh-CN"/>
        </w:rPr>
        <w:t>”</w:t>
      </w:r>
      <w:bookmarkEnd w:id="1"/>
      <w:r>
        <w:rPr>
          <w:rFonts w:hint="eastAsia"/>
          <w:lang w:val="en-US" w:eastAsia="zh-CN"/>
        </w:rPr>
        <w:t>经费等支出决算数均低于202</w:t>
      </w:r>
      <w:r>
        <w:rPr>
          <w:lang w:val="en-US" w:eastAsia="zh-CN"/>
        </w:rPr>
        <w:t>4</w:t>
      </w:r>
      <w:r>
        <w:rPr>
          <w:rFonts w:hint="eastAsia"/>
          <w:lang w:val="en-US" w:eastAsia="zh-CN"/>
        </w:rPr>
        <w:t>年度决算数，</w:t>
      </w:r>
      <w:r>
        <w:rPr>
          <w:lang w:val="en-US" w:eastAsia="zh-CN"/>
        </w:rPr>
        <w:t>但办公费和培训费因实际工作需要均高于2024年度决算数，办公费超8.08万元，培训费超88万元，</w:t>
      </w:r>
      <w:r>
        <w:rPr>
          <w:rFonts w:hint="eastAsia"/>
          <w:lang w:val="en-US" w:eastAsia="zh-CN"/>
        </w:rPr>
        <w:t>自评得分</w:t>
      </w:r>
      <w:r>
        <w:rPr>
          <w:lang w:val="en-US" w:eastAsia="zh-CN"/>
        </w:rPr>
        <w:t>2</w:t>
      </w:r>
      <w:r>
        <w:rPr>
          <w:rFonts w:hint="eastAsia"/>
          <w:lang w:val="en-US" w:eastAsia="zh-CN"/>
        </w:rPr>
        <w:t>分</w:t>
      </w:r>
      <w:r>
        <w:rPr>
          <w:lang w:val="en-US" w:eastAsia="zh-CN"/>
        </w:rPr>
        <w:t>，扣3分</w:t>
      </w:r>
      <w:r>
        <w:rPr>
          <w:rFonts w:hint="eastAsia"/>
          <w:lang w:val="en-US" w:eastAsia="zh-CN"/>
        </w:rPr>
        <w:t>。预算管理总体自评得</w:t>
      </w:r>
      <w:r>
        <w:rPr>
          <w:rFonts w:hint="eastAsia" w:ascii="仿宋_GB2312" w:eastAsia="仿宋_GB2312" w:cs="仿宋_GB2312"/>
          <w:color w:val="auto"/>
          <w:kern w:val="2"/>
          <w:sz w:val="32"/>
          <w:szCs w:val="32"/>
          <w:lang w:val="en-US" w:eastAsia="zh-CN" w:bidi="ar-SA"/>
        </w:rPr>
        <w:t>分：</w:t>
      </w:r>
      <w:r>
        <w:rPr>
          <w:rFonts w:ascii="仿宋_GB2312" w:cs="仿宋_GB2312"/>
          <w:color w:val="auto"/>
          <w:kern w:val="2"/>
          <w:sz w:val="32"/>
          <w:szCs w:val="32"/>
          <w:lang w:val="en-US" w:eastAsia="zh-CN" w:bidi="ar-SA"/>
        </w:rPr>
        <w:t>20</w:t>
      </w:r>
      <w:r>
        <w:rPr>
          <w:rFonts w:hint="eastAsia" w:ascii="仿宋_GB2312" w:eastAsia="仿宋_GB2312" w:cs="仿宋_GB2312"/>
          <w:color w:val="auto"/>
          <w:kern w:val="2"/>
          <w:sz w:val="32"/>
          <w:szCs w:val="32"/>
          <w:lang w:val="en-US" w:eastAsia="zh-CN" w:bidi="ar-SA"/>
        </w:rPr>
        <w:t>分。</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left"/>
        <w:textAlignment w:val="auto"/>
        <w:outlineLvl w:val="9"/>
        <w:rPr>
          <w:rFonts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3.</w:t>
      </w:r>
      <w:r>
        <w:rPr>
          <w:rFonts w:ascii="楷体_GB2312" w:eastAsia="楷体_GB2312" w:cs="楷体_GB2312"/>
          <w:color w:val="000000"/>
          <w:kern w:val="0"/>
          <w:szCs w:val="32"/>
          <w:highlight w:val="none"/>
          <w:shd w:val="clear" w:color="auto" w:fill="FFFFFF"/>
          <w:lang w:val="zh-CN"/>
        </w:rPr>
        <w:t>财务管理</w:t>
      </w:r>
      <w:r>
        <w:rPr>
          <w:rFonts w:hint="eastAsia" w:ascii="楷体_GB2312" w:eastAsia="楷体_GB2312" w:cs="楷体_GB2312"/>
          <w:color w:val="000000"/>
          <w:kern w:val="0"/>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2" w:firstLineChars="200"/>
        <w:contextualSpacing/>
        <w:jc w:val="left"/>
        <w:textAlignment w:val="auto"/>
        <w:outlineLvl w:val="9"/>
        <w:rPr>
          <w:rFonts w:hint="eastAsia" w:cs="Times New Roman"/>
          <w:color w:val="000000"/>
          <w:kern w:val="0"/>
          <w:szCs w:val="32"/>
          <w:highlight w:val="none"/>
          <w:shd w:val="clear" w:color="auto" w:fill="FFFFFF"/>
          <w:lang w:val="zh-CN"/>
        </w:rPr>
      </w:pPr>
      <w:r>
        <w:rPr>
          <w:rFonts w:hint="eastAsia" w:ascii="仿宋_GB2312" w:eastAsia="仿宋_GB2312" w:cs="仿宋_GB2312"/>
          <w:b/>
          <w:bCs/>
          <w:color w:val="auto"/>
          <w:kern w:val="2"/>
          <w:sz w:val="32"/>
          <w:szCs w:val="32"/>
          <w:lang w:val="zh-CN" w:eastAsia="zh-CN" w:bidi="ar-SA"/>
        </w:rPr>
        <w:t>一是</w:t>
      </w:r>
      <w:r>
        <w:rPr>
          <w:rFonts w:hint="eastAsia" w:ascii="仿宋_GB2312" w:eastAsia="仿宋_GB2312" w:cs="仿宋_GB2312"/>
          <w:color w:val="auto"/>
          <w:kern w:val="2"/>
          <w:sz w:val="32"/>
          <w:szCs w:val="32"/>
          <w:lang w:val="zh-CN" w:eastAsia="zh-CN" w:bidi="ar-SA"/>
        </w:rPr>
        <w:t>财务管理制度：组织部严格规范内控制度，按照财务管理制度执行各项资金支付，</w:t>
      </w:r>
      <w:r>
        <w:rPr>
          <w:rFonts w:hint="eastAsia" w:ascii="仿宋_GB2312" w:cs="仿宋_GB2312"/>
          <w:color w:val="auto"/>
          <w:kern w:val="2"/>
          <w:sz w:val="32"/>
          <w:szCs w:val="32"/>
          <w:lang w:val="zh-CN" w:eastAsia="zh-CN" w:bidi="ar-SA"/>
        </w:rPr>
        <w:t>自评得</w:t>
      </w:r>
      <w:r>
        <w:rPr>
          <w:rFonts w:hint="eastAsia" w:ascii="仿宋_GB2312" w:cs="仿宋_GB2312"/>
          <w:color w:val="auto"/>
          <w:kern w:val="2"/>
          <w:sz w:val="32"/>
          <w:szCs w:val="32"/>
          <w:lang w:val="en-US" w:eastAsia="zh-CN" w:bidi="ar-SA"/>
        </w:rPr>
        <w:t>4分；</w:t>
      </w:r>
      <w:r>
        <w:rPr>
          <w:rFonts w:hint="eastAsia" w:ascii="仿宋_GB2312" w:cs="仿宋_GB2312"/>
          <w:b/>
          <w:bCs/>
          <w:color w:val="auto"/>
          <w:kern w:val="2"/>
          <w:sz w:val="32"/>
          <w:szCs w:val="32"/>
          <w:lang w:val="en-US" w:eastAsia="zh-CN" w:bidi="ar-SA"/>
        </w:rPr>
        <w:t>二是</w:t>
      </w:r>
      <w:r>
        <w:rPr>
          <w:rFonts w:hint="eastAsia" w:ascii="仿宋_GB2312" w:cs="仿宋_GB2312"/>
          <w:color w:val="auto"/>
          <w:kern w:val="2"/>
          <w:sz w:val="32"/>
          <w:szCs w:val="32"/>
          <w:lang w:val="en-US" w:eastAsia="zh-CN" w:bidi="ar-SA"/>
        </w:rPr>
        <w:t>财务岗位设置：</w:t>
      </w:r>
      <w:r>
        <w:rPr>
          <w:rFonts w:hint="eastAsia" w:ascii="仿宋_GB2312" w:eastAsia="仿宋_GB2312" w:cs="仿宋_GB2312"/>
          <w:color w:val="auto"/>
          <w:kern w:val="2"/>
          <w:sz w:val="32"/>
          <w:szCs w:val="32"/>
          <w:lang w:val="zh-CN" w:eastAsia="zh-CN" w:bidi="ar-SA"/>
        </w:rPr>
        <w:t>财务岗位设置明确，会计出纳分设，</w:t>
      </w:r>
      <w:r>
        <w:rPr>
          <w:rFonts w:hint="eastAsia" w:ascii="仿宋_GB2312" w:cs="仿宋_GB2312"/>
          <w:color w:val="auto"/>
          <w:kern w:val="2"/>
          <w:sz w:val="32"/>
          <w:szCs w:val="32"/>
          <w:lang w:val="zh-CN" w:eastAsia="zh-CN" w:bidi="ar-SA"/>
        </w:rPr>
        <w:t>自评得</w:t>
      </w:r>
      <w:r>
        <w:rPr>
          <w:rFonts w:hint="eastAsia" w:ascii="仿宋_GB2312" w:cs="仿宋_GB2312"/>
          <w:color w:val="auto"/>
          <w:kern w:val="2"/>
          <w:sz w:val="32"/>
          <w:szCs w:val="32"/>
          <w:lang w:val="en-US" w:eastAsia="zh-CN" w:bidi="ar-SA"/>
        </w:rPr>
        <w:t>2分；</w:t>
      </w:r>
      <w:r>
        <w:rPr>
          <w:rFonts w:hint="eastAsia" w:ascii="仿宋_GB2312" w:cs="仿宋_GB2312"/>
          <w:b/>
          <w:bCs/>
          <w:color w:val="auto"/>
          <w:kern w:val="2"/>
          <w:sz w:val="32"/>
          <w:szCs w:val="32"/>
          <w:lang w:val="en-US" w:eastAsia="zh-CN" w:bidi="ar-SA"/>
        </w:rPr>
        <w:t>三是</w:t>
      </w:r>
      <w:r>
        <w:rPr>
          <w:rFonts w:hint="eastAsia" w:ascii="仿宋_GB2312" w:cs="仿宋_GB2312"/>
          <w:color w:val="auto"/>
          <w:kern w:val="2"/>
          <w:sz w:val="32"/>
          <w:szCs w:val="32"/>
          <w:lang w:val="en-US" w:eastAsia="zh-CN" w:bidi="ar-SA"/>
        </w:rPr>
        <w:t>资金使用规范：</w:t>
      </w:r>
      <w:r>
        <w:rPr>
          <w:rFonts w:hint="eastAsia" w:ascii="仿宋_GB2312" w:eastAsia="仿宋_GB2312" w:cs="仿宋_GB2312"/>
          <w:color w:val="auto"/>
          <w:kern w:val="2"/>
          <w:sz w:val="32"/>
          <w:szCs w:val="32"/>
          <w:lang w:val="zh-CN" w:eastAsia="zh-CN" w:bidi="ar-SA"/>
        </w:rPr>
        <w:t>财政资金使用明确资金支付审核流程</w:t>
      </w:r>
      <w:r>
        <w:rPr>
          <w:rFonts w:hint="eastAsia" w:ascii="仿宋_GB2312" w:cs="仿宋_GB2312"/>
          <w:color w:val="auto"/>
          <w:kern w:val="2"/>
          <w:sz w:val="32"/>
          <w:szCs w:val="32"/>
          <w:lang w:val="zh-CN" w:eastAsia="zh-CN" w:bidi="ar-SA"/>
        </w:rPr>
        <w:t>，按照内控制度严格拨付，做到</w:t>
      </w:r>
      <w:r>
        <w:rPr>
          <w:rFonts w:hint="eastAsia" w:ascii="仿宋_GB2312" w:eastAsia="仿宋_GB2312" w:cs="仿宋_GB2312"/>
          <w:color w:val="auto"/>
          <w:kern w:val="2"/>
          <w:sz w:val="32"/>
          <w:szCs w:val="32"/>
          <w:lang w:val="zh-CN" w:eastAsia="zh-CN" w:bidi="ar-SA"/>
        </w:rPr>
        <w:t>规范有效</w:t>
      </w:r>
      <w:r>
        <w:rPr>
          <w:rFonts w:hint="eastAsia" w:ascii="仿宋_GB2312" w:cs="仿宋_GB2312"/>
          <w:color w:val="auto"/>
          <w:kern w:val="2"/>
          <w:sz w:val="32"/>
          <w:szCs w:val="32"/>
          <w:lang w:val="zh-CN" w:eastAsia="zh-CN" w:bidi="ar-SA"/>
        </w:rPr>
        <w:t>，自评</w:t>
      </w:r>
      <w:r>
        <w:rPr>
          <w:rFonts w:hint="eastAsia" w:ascii="仿宋_GB2312" w:cs="仿宋_GB2312"/>
          <w:color w:val="auto"/>
          <w:kern w:val="2"/>
          <w:sz w:val="32"/>
          <w:szCs w:val="32"/>
          <w:lang w:val="en-US" w:eastAsia="zh-CN" w:bidi="ar-SA"/>
        </w:rPr>
        <w:t>4分。财务管理</w:t>
      </w:r>
      <w:r>
        <w:rPr>
          <w:rFonts w:hint="eastAsia" w:ascii="仿宋_GB2312" w:eastAsia="仿宋_GB2312" w:cs="仿宋_GB2312"/>
          <w:color w:val="auto"/>
          <w:kern w:val="2"/>
          <w:sz w:val="32"/>
          <w:szCs w:val="32"/>
          <w:lang w:val="en-US" w:eastAsia="zh-CN" w:bidi="ar-SA"/>
        </w:rPr>
        <w:t>自评得分：10分。</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left"/>
        <w:textAlignment w:val="auto"/>
        <w:outlineLvl w:val="9"/>
        <w:rPr>
          <w:rFonts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4.</w:t>
      </w:r>
      <w:r>
        <w:rPr>
          <w:rFonts w:ascii="楷体_GB2312" w:eastAsia="楷体_GB2312" w:cs="楷体_GB2312"/>
          <w:color w:val="000000"/>
          <w:kern w:val="0"/>
          <w:szCs w:val="32"/>
          <w:highlight w:val="none"/>
          <w:shd w:val="clear" w:color="auto" w:fill="FFFFFF"/>
          <w:lang w:val="zh-CN"/>
        </w:rPr>
        <w:t>资产管理</w:t>
      </w:r>
      <w:r>
        <w:rPr>
          <w:rFonts w:hint="eastAsia" w:ascii="楷体_GB2312" w:eastAsia="楷体_GB2312" w:cs="楷体_GB2312"/>
          <w:color w:val="000000"/>
          <w:kern w:val="0"/>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2" w:firstLineChars="200"/>
        <w:contextualSpacing/>
        <w:jc w:val="left"/>
        <w:textAlignment w:val="auto"/>
        <w:outlineLvl w:val="9"/>
        <w:rPr>
          <w:rFonts w:hint="eastAsia" w:cs="Times New Roman"/>
          <w:color w:val="000000"/>
          <w:kern w:val="0"/>
          <w:szCs w:val="32"/>
          <w:highlight w:val="none"/>
          <w:shd w:val="clear" w:color="auto" w:fill="FFFFFF"/>
          <w:lang w:val="en-US" w:eastAsia="zh-CN"/>
        </w:rPr>
      </w:pPr>
      <w:r>
        <w:rPr>
          <w:rFonts w:hint="eastAsia" w:cs="Times New Roman"/>
          <w:b/>
          <w:bCs/>
          <w:color w:val="000000"/>
          <w:kern w:val="0"/>
          <w:szCs w:val="32"/>
          <w:highlight w:val="none"/>
          <w:shd w:val="clear" w:color="auto" w:fill="FFFFFF"/>
          <w:lang w:val="zh-CN"/>
        </w:rPr>
        <w:t>一是</w:t>
      </w:r>
      <w:r>
        <w:rPr>
          <w:rFonts w:hint="eastAsia" w:cs="Times New Roman"/>
          <w:color w:val="000000"/>
          <w:kern w:val="0"/>
          <w:szCs w:val="32"/>
          <w:highlight w:val="none"/>
          <w:shd w:val="clear" w:color="auto" w:fill="FFFFFF"/>
          <w:lang w:val="zh-CN"/>
        </w:rPr>
        <w:t>人均资产变化率：严格按照资产管理制度执行，购买物资达到规定金额做入账登记，人均资产变化率底，自评得</w:t>
      </w:r>
      <w:r>
        <w:rPr>
          <w:rFonts w:hint="eastAsia" w:cs="Times New Roman"/>
          <w:color w:val="000000"/>
          <w:kern w:val="0"/>
          <w:szCs w:val="32"/>
          <w:highlight w:val="none"/>
          <w:shd w:val="clear" w:color="auto" w:fill="FFFFFF"/>
          <w:lang w:val="en-US" w:eastAsia="zh-CN"/>
        </w:rPr>
        <w:t>3分；</w:t>
      </w:r>
      <w:r>
        <w:rPr>
          <w:rFonts w:hint="eastAsia" w:cs="Times New Roman"/>
          <w:b/>
          <w:bCs/>
          <w:color w:val="000000"/>
          <w:kern w:val="0"/>
          <w:szCs w:val="32"/>
          <w:highlight w:val="none"/>
          <w:shd w:val="clear" w:color="auto" w:fill="FFFFFF"/>
          <w:lang w:val="en-US" w:eastAsia="zh-CN"/>
        </w:rPr>
        <w:t>二是</w:t>
      </w:r>
      <w:r>
        <w:rPr>
          <w:rFonts w:hint="eastAsia" w:cs="Times New Roman"/>
          <w:color w:val="000000"/>
          <w:kern w:val="0"/>
          <w:szCs w:val="32"/>
          <w:highlight w:val="none"/>
          <w:shd w:val="clear" w:color="auto" w:fill="FFFFFF"/>
          <w:lang w:val="zh-CN"/>
        </w:rPr>
        <w:t>资产利用率高，使用率达</w:t>
      </w:r>
      <w:r>
        <w:rPr>
          <w:rFonts w:hint="eastAsia" w:cs="Times New Roman"/>
          <w:color w:val="000000"/>
          <w:kern w:val="0"/>
          <w:szCs w:val="32"/>
          <w:highlight w:val="none"/>
          <w:shd w:val="clear" w:color="auto" w:fill="FFFFFF"/>
          <w:lang w:val="en-US" w:eastAsia="zh-CN"/>
        </w:rPr>
        <w:t>100%，</w:t>
      </w:r>
      <w:r>
        <w:rPr>
          <w:rFonts w:hint="eastAsia" w:cs="Times New Roman"/>
          <w:color w:val="000000"/>
          <w:kern w:val="0"/>
          <w:szCs w:val="32"/>
          <w:highlight w:val="none"/>
          <w:shd w:val="clear" w:color="auto" w:fill="FFFFFF"/>
          <w:lang w:val="zh-CN"/>
        </w:rPr>
        <w:t>人均资产利用率较高，因历史遗留问题，年末资产盘点卡片信息不全，下账处理困难，自评得</w:t>
      </w:r>
      <w:r>
        <w:rPr>
          <w:rFonts w:hint="eastAsia" w:cs="Times New Roman"/>
          <w:color w:val="000000"/>
          <w:kern w:val="0"/>
          <w:szCs w:val="32"/>
          <w:highlight w:val="none"/>
          <w:shd w:val="clear" w:color="auto" w:fill="FFFFFF"/>
          <w:lang w:val="en-US" w:eastAsia="zh-CN"/>
        </w:rPr>
        <w:t>1分，</w:t>
      </w:r>
      <w:r>
        <w:rPr>
          <w:rFonts w:hint="eastAsia" w:cs="Times New Roman"/>
          <w:color w:val="000000"/>
          <w:kern w:val="0"/>
          <w:szCs w:val="32"/>
          <w:highlight w:val="none"/>
          <w:shd w:val="clear" w:color="auto" w:fill="FFFFFF"/>
          <w:lang w:val="zh-CN"/>
        </w:rPr>
        <w:t>扣</w:t>
      </w:r>
      <w:r>
        <w:rPr>
          <w:rFonts w:hint="eastAsia" w:cs="Times New Roman"/>
          <w:color w:val="000000"/>
          <w:kern w:val="0"/>
          <w:szCs w:val="32"/>
          <w:highlight w:val="none"/>
          <w:shd w:val="clear" w:color="auto" w:fill="FFFFFF"/>
          <w:lang w:val="en-US" w:eastAsia="zh-CN"/>
        </w:rPr>
        <w:t>2分。</w:t>
      </w:r>
      <w:r>
        <w:rPr>
          <w:rFonts w:hint="eastAsia" w:cs="Times New Roman"/>
          <w:b/>
          <w:bCs/>
          <w:color w:val="000000"/>
          <w:kern w:val="0"/>
          <w:szCs w:val="32"/>
          <w:highlight w:val="none"/>
          <w:shd w:val="clear" w:color="auto" w:fill="FFFFFF"/>
          <w:lang w:val="en-US" w:eastAsia="zh-CN"/>
        </w:rPr>
        <w:t>三是</w:t>
      </w:r>
      <w:r>
        <w:rPr>
          <w:rFonts w:hint="eastAsia" w:cs="Times New Roman"/>
          <w:color w:val="000000"/>
          <w:kern w:val="0"/>
          <w:szCs w:val="32"/>
          <w:highlight w:val="none"/>
          <w:shd w:val="clear" w:color="auto" w:fill="FFFFFF"/>
          <w:lang w:val="en-US" w:eastAsia="zh-CN"/>
        </w:rPr>
        <w:t>资产管理：部门无闲置资产，</w:t>
      </w:r>
      <w:r>
        <w:rPr>
          <w:rFonts w:hint="eastAsia" w:cs="Times New Roman"/>
          <w:color w:val="000000"/>
          <w:kern w:val="0"/>
          <w:szCs w:val="32"/>
          <w:highlight w:val="none"/>
          <w:shd w:val="clear" w:color="auto" w:fill="FFFFFF"/>
          <w:lang w:val="zh-CN"/>
        </w:rPr>
        <w:t>自评得</w:t>
      </w:r>
      <w:r>
        <w:rPr>
          <w:rFonts w:hint="eastAsia" w:cs="Times New Roman"/>
          <w:color w:val="000000"/>
          <w:kern w:val="0"/>
          <w:szCs w:val="32"/>
          <w:highlight w:val="none"/>
          <w:shd w:val="clear" w:color="auto" w:fill="FFFFFF"/>
          <w:lang w:val="en-US" w:eastAsia="zh-CN"/>
        </w:rPr>
        <w:t>3分。资产管理总体得分：7分。</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left"/>
        <w:textAlignment w:val="auto"/>
        <w:outlineLvl w:val="9"/>
        <w:rPr>
          <w:rFonts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5.</w:t>
      </w:r>
      <w:r>
        <w:rPr>
          <w:rFonts w:ascii="楷体_GB2312" w:eastAsia="楷体_GB2312" w:cs="楷体_GB2312"/>
          <w:color w:val="000000"/>
          <w:kern w:val="0"/>
          <w:szCs w:val="32"/>
          <w:highlight w:val="none"/>
          <w:shd w:val="clear" w:color="auto" w:fill="FFFFFF"/>
          <w:lang w:val="zh-CN"/>
        </w:rPr>
        <w:t>采购管理</w:t>
      </w:r>
      <w:r>
        <w:rPr>
          <w:rFonts w:hint="eastAsia" w:ascii="楷体_GB2312" w:eastAsia="楷体_GB2312" w:cs="楷体_GB2312"/>
          <w:color w:val="000000"/>
          <w:kern w:val="0"/>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left"/>
        <w:textAlignment w:val="auto"/>
        <w:outlineLvl w:val="9"/>
        <w:rPr>
          <w:rFonts w:hint="eastAsia" w:cs="Times New Roman"/>
          <w:color w:val="000000"/>
          <w:kern w:val="0"/>
          <w:szCs w:val="32"/>
          <w:highlight w:val="none"/>
          <w:shd w:val="clear" w:color="auto" w:fill="FFFFFF"/>
          <w:lang w:val="en-US" w:eastAsia="zh-CN"/>
        </w:rPr>
      </w:pPr>
      <w:r>
        <w:rPr>
          <w:rFonts w:hint="eastAsia" w:cs="Times New Roman"/>
          <w:color w:val="000000"/>
          <w:kern w:val="0"/>
          <w:szCs w:val="32"/>
          <w:shd w:val="clear" w:color="auto" w:fill="FFFFFF"/>
          <w:lang w:val="en-US" w:eastAsia="zh-CN"/>
        </w:rPr>
        <w:t>202</w:t>
      </w:r>
      <w:r>
        <w:rPr>
          <w:rFonts w:cs="Times New Roman"/>
          <w:color w:val="000000"/>
          <w:kern w:val="0"/>
          <w:szCs w:val="32"/>
          <w:shd w:val="clear" w:color="auto" w:fill="FFFFFF"/>
          <w:lang w:val="en-US" w:eastAsia="zh-CN"/>
        </w:rPr>
        <w:t>5</w:t>
      </w:r>
      <w:r>
        <w:rPr>
          <w:rFonts w:hint="eastAsia" w:cs="Times New Roman"/>
          <w:color w:val="000000"/>
          <w:kern w:val="0"/>
          <w:szCs w:val="32"/>
          <w:highlight w:val="none"/>
          <w:shd w:val="clear" w:color="auto" w:fill="FFFFFF"/>
          <w:lang w:val="en-US" w:eastAsia="zh-CN"/>
        </w:rPr>
        <w:t>年组织部政府采购，</w:t>
      </w:r>
      <w:r>
        <w:rPr>
          <w:rFonts w:cs="Times New Roman"/>
          <w:color w:val="000000"/>
          <w:kern w:val="0"/>
          <w:szCs w:val="32"/>
          <w:highlight w:val="none"/>
          <w:shd w:val="clear" w:color="auto" w:fill="FFFFFF"/>
          <w:lang w:val="en-US" w:eastAsia="zh-CN"/>
        </w:rPr>
        <w:t>符合集中采购目录的均按政府采购流程进行采购，共计采购106.82万元，</w:t>
      </w:r>
      <w:r>
        <w:rPr>
          <w:rFonts w:hint="eastAsia" w:cs="Times New Roman"/>
          <w:color w:val="000000"/>
          <w:kern w:val="0"/>
          <w:szCs w:val="32"/>
          <w:highlight w:val="none"/>
          <w:shd w:val="clear" w:color="auto" w:fill="FFFFFF"/>
          <w:lang w:val="en-US" w:eastAsia="zh-CN"/>
        </w:rPr>
        <w:t>未达到政府采购的标准项目均按照组织部政府采购内控制度执行，均在中小企业采购，采购执行率100%</w:t>
      </w:r>
      <w:r>
        <w:rPr>
          <w:rFonts w:cs="Times New Roman"/>
          <w:color w:val="000000"/>
          <w:kern w:val="0"/>
          <w:szCs w:val="32"/>
          <w:highlight w:val="none"/>
          <w:shd w:val="clear" w:color="auto" w:fill="FFFFFF"/>
          <w:lang w:val="en-US" w:eastAsia="zh-CN"/>
        </w:rPr>
        <w:t>，</w:t>
      </w:r>
      <w:r>
        <w:rPr>
          <w:rFonts w:hint="eastAsia" w:ascii="仿宋_GB2312" w:cs="仿宋_GB2312"/>
          <w:szCs w:val="32"/>
        </w:rPr>
        <w:t>不存在政府采购项目资金未支付情况</w:t>
      </w:r>
      <w:r>
        <w:rPr>
          <w:rFonts w:hint="eastAsia" w:cs="Times New Roman"/>
          <w:color w:val="000000"/>
          <w:kern w:val="0"/>
          <w:szCs w:val="32"/>
          <w:highlight w:val="none"/>
          <w:shd w:val="clear" w:color="auto" w:fill="FFFFFF"/>
          <w:lang w:val="en-US" w:eastAsia="zh-CN"/>
        </w:rPr>
        <w:t>。自评得分：6分。</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2" w:firstLineChars="200"/>
        <w:contextualSpacing/>
        <w:jc w:val="left"/>
        <w:textAlignment w:val="auto"/>
        <w:outlineLvl w:val="9"/>
        <w:rPr>
          <w:rFonts w:ascii="Times New Roman" w:hAnsi="Times New Roman" w:cs="Times New Roman"/>
          <w:color w:val="000000"/>
          <w:kern w:val="0"/>
          <w:szCs w:val="32"/>
          <w:highlight w:val="none"/>
          <w:shd w:val="clear" w:color="auto" w:fill="FFFFFF"/>
          <w:lang w:val="en-US" w:eastAsia="zh-CN"/>
        </w:rPr>
      </w:pPr>
      <w:r>
        <w:rPr>
          <w:rFonts w:ascii="Times New Roman" w:hAnsi="Times New Roman" w:eastAsia="楷体_GB2312" w:cs="Times New Roman"/>
          <w:b/>
          <w:bCs/>
          <w:color w:val="000000"/>
          <w:kern w:val="0"/>
          <w:szCs w:val="32"/>
          <w:highlight w:val="none"/>
          <w:shd w:val="clear" w:color="auto" w:fill="FFFFFF"/>
          <w:lang w:val="zh-CN"/>
        </w:rPr>
        <w:t>（二）部门预算项目绩效分析。</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left"/>
        <w:textAlignment w:val="auto"/>
        <w:outlineLvl w:val="9"/>
        <w:rPr>
          <w:rFonts w:cs="Times New Roman"/>
          <w:color w:val="000000"/>
          <w:kern w:val="0"/>
          <w:szCs w:val="32"/>
          <w:highlight w:val="none"/>
          <w:shd w:val="clear" w:color="auto" w:fill="FFFFFF"/>
          <w:lang w:val="zh-CN" w:eastAsia="zh-CN"/>
        </w:rPr>
      </w:pPr>
      <w:r>
        <w:rPr>
          <w:rFonts w:cs="Times New Roman"/>
          <w:color w:val="000000"/>
          <w:kern w:val="0"/>
          <w:szCs w:val="32"/>
          <w:highlight w:val="none"/>
          <w:shd w:val="clear" w:color="auto" w:fill="FFFFFF"/>
          <w:lang w:val="en-US" w:eastAsia="zh-CN"/>
        </w:rPr>
        <w:t>常年项目绩效分析。</w:t>
      </w:r>
      <w:r>
        <w:rPr>
          <w:rFonts w:cs="Times New Roman"/>
          <w:color w:val="000000"/>
          <w:kern w:val="0"/>
          <w:szCs w:val="32"/>
          <w:highlight w:val="none"/>
          <w:shd w:val="clear" w:color="auto" w:fill="FFFFFF"/>
          <w:lang w:val="zh-CN" w:eastAsia="zh-CN"/>
        </w:rPr>
        <w:t>该类项目总数</w:t>
      </w:r>
      <w:r>
        <w:rPr>
          <w:rFonts w:cs="Times New Roman"/>
          <w:color w:val="000000"/>
          <w:kern w:val="0"/>
          <w:szCs w:val="32"/>
          <w:highlight w:val="none"/>
          <w:shd w:val="clear" w:color="auto" w:fill="FFFFFF"/>
          <w:lang w:val="en-US" w:eastAsia="zh-CN"/>
        </w:rPr>
        <w:t>3</w:t>
      </w:r>
      <w:r>
        <w:rPr>
          <w:rFonts w:cs="Times New Roman"/>
          <w:color w:val="000000"/>
          <w:kern w:val="0"/>
          <w:szCs w:val="32"/>
          <w:highlight w:val="none"/>
          <w:shd w:val="clear" w:color="auto" w:fill="FFFFFF"/>
          <w:lang w:val="zh-CN" w:eastAsia="zh-CN"/>
        </w:rPr>
        <w:t>个，涉及预算总金额</w:t>
      </w:r>
      <w:r>
        <w:rPr>
          <w:rFonts w:cs="Times New Roman"/>
          <w:color w:val="000000"/>
          <w:kern w:val="0"/>
          <w:szCs w:val="32"/>
          <w:highlight w:val="none"/>
          <w:shd w:val="clear" w:color="auto" w:fill="FFFFFF"/>
          <w:lang w:val="en-US" w:eastAsia="zh-CN"/>
        </w:rPr>
        <w:t xml:space="preserve">   773.39</w:t>
      </w:r>
      <w:r>
        <w:rPr>
          <w:rFonts w:cs="Times New Roman"/>
          <w:color w:val="000000"/>
          <w:kern w:val="0"/>
          <w:szCs w:val="32"/>
          <w:highlight w:val="none"/>
          <w:shd w:val="clear" w:color="auto" w:fill="FFFFFF"/>
          <w:lang w:val="zh-CN" w:eastAsia="zh-CN"/>
        </w:rPr>
        <w:t>万元，</w:t>
      </w:r>
      <w:r>
        <w:rPr>
          <w:rFonts w:cs="Times New Roman"/>
          <w:color w:val="000000"/>
          <w:kern w:val="0"/>
          <w:szCs w:val="32"/>
          <w:highlight w:val="none"/>
          <w:shd w:val="clear" w:color="auto" w:fill="FFFFFF"/>
          <w:lang w:val="zh-CN"/>
        </w:rPr>
        <w:t>1</w:t>
      </w:r>
      <w:r>
        <w:rPr>
          <w:rFonts w:hint="eastAsia" w:cs="Times New Roman"/>
          <w:color w:val="000000"/>
          <w:kern w:val="0"/>
          <w:szCs w:val="32"/>
          <w:highlight w:val="none"/>
          <w:shd w:val="clear" w:color="auto" w:fill="FFFFFF"/>
          <w:lang w:val="zh-CN" w:eastAsia="zh-CN"/>
        </w:rPr>
        <w:t>—</w:t>
      </w:r>
      <w:r>
        <w:rPr>
          <w:rFonts w:cs="Times New Roman"/>
          <w:color w:val="000000"/>
          <w:kern w:val="0"/>
          <w:szCs w:val="32"/>
          <w:highlight w:val="none"/>
          <w:shd w:val="clear" w:color="auto" w:fill="FFFFFF"/>
          <w:lang w:val="zh-CN"/>
        </w:rPr>
        <w:t>1</w:t>
      </w:r>
      <w:r>
        <w:rPr>
          <w:rFonts w:cs="Times New Roman"/>
          <w:color w:val="000000"/>
          <w:kern w:val="0"/>
          <w:szCs w:val="32"/>
          <w:highlight w:val="none"/>
          <w:shd w:val="clear" w:color="auto" w:fill="FFFFFF"/>
          <w:lang w:val="en-US" w:eastAsia="zh-CN"/>
        </w:rPr>
        <w:t>2</w:t>
      </w:r>
      <w:r>
        <w:rPr>
          <w:rFonts w:cs="Times New Roman"/>
          <w:color w:val="000000"/>
          <w:kern w:val="0"/>
          <w:szCs w:val="32"/>
          <w:highlight w:val="none"/>
          <w:shd w:val="clear" w:color="auto" w:fill="FFFFFF"/>
          <w:lang w:val="zh-CN"/>
        </w:rPr>
        <w:t>月预算执行总体进度为</w:t>
      </w:r>
      <w:r>
        <w:rPr>
          <w:rFonts w:hint="eastAsia" w:cs="Times New Roman"/>
          <w:color w:val="000000"/>
          <w:kern w:val="0"/>
          <w:szCs w:val="32"/>
          <w:highlight w:val="none"/>
          <w:shd w:val="clear" w:color="auto" w:fill="FFFFFF"/>
          <w:lang w:val="en-US" w:eastAsia="zh-CN"/>
        </w:rPr>
        <w:t>100</w:t>
      </w:r>
      <w:r>
        <w:rPr>
          <w:rFonts w:cs="Times New Roman"/>
          <w:color w:val="000000"/>
          <w:kern w:val="0"/>
          <w:szCs w:val="32"/>
          <w:highlight w:val="none"/>
          <w:shd w:val="clear" w:color="auto" w:fill="FFFFFF"/>
          <w:lang w:val="zh-CN"/>
        </w:rPr>
        <w:t>%，其中：</w:t>
      </w:r>
      <w:r>
        <w:rPr>
          <w:rFonts w:cs="Times New Roman"/>
          <w:color w:val="000000"/>
          <w:kern w:val="0"/>
          <w:szCs w:val="32"/>
          <w:highlight w:val="none"/>
          <w:shd w:val="clear" w:color="auto" w:fill="FFFFFF"/>
          <w:lang w:val="zh-CN" w:eastAsia="zh-CN"/>
        </w:rPr>
        <w:t>预算结余率大于</w:t>
      </w:r>
      <w:r>
        <w:rPr>
          <w:rFonts w:cs="Times New Roman"/>
          <w:color w:val="000000"/>
          <w:kern w:val="0"/>
          <w:szCs w:val="32"/>
          <w:highlight w:val="none"/>
          <w:shd w:val="clear" w:color="auto" w:fill="FFFFFF"/>
          <w:lang w:val="en-US" w:eastAsia="zh-CN"/>
        </w:rPr>
        <w:t>10%</w:t>
      </w:r>
      <w:r>
        <w:rPr>
          <w:rFonts w:cs="Times New Roman"/>
          <w:color w:val="000000"/>
          <w:kern w:val="0"/>
          <w:szCs w:val="32"/>
          <w:highlight w:val="none"/>
          <w:shd w:val="clear" w:color="auto" w:fill="FFFFFF"/>
          <w:lang w:val="zh-CN" w:eastAsia="zh-CN"/>
        </w:rPr>
        <w:t>的项目共计</w:t>
      </w:r>
      <w:r>
        <w:rPr>
          <w:rFonts w:hint="eastAsia" w:cs="Times New Roman"/>
          <w:color w:val="000000"/>
          <w:kern w:val="0"/>
          <w:szCs w:val="32"/>
          <w:highlight w:val="none"/>
          <w:shd w:val="clear" w:color="auto" w:fill="FFFFFF"/>
          <w:lang w:val="en-US" w:eastAsia="zh-CN"/>
        </w:rPr>
        <w:t>0</w:t>
      </w:r>
      <w:r>
        <w:rPr>
          <w:rFonts w:cs="Times New Roman"/>
          <w:color w:val="000000"/>
          <w:kern w:val="0"/>
          <w:szCs w:val="32"/>
          <w:highlight w:val="none"/>
          <w:shd w:val="clear" w:color="auto" w:fill="FFFFFF"/>
          <w:lang w:val="en-US" w:eastAsia="zh-CN"/>
        </w:rPr>
        <w:t xml:space="preserve"> </w:t>
      </w:r>
      <w:r>
        <w:rPr>
          <w:rFonts w:cs="Times New Roman"/>
          <w:color w:val="000000"/>
          <w:kern w:val="0"/>
          <w:szCs w:val="32"/>
          <w:highlight w:val="none"/>
          <w:shd w:val="clear" w:color="auto" w:fill="FFFFFF"/>
          <w:lang w:val="zh-CN" w:eastAsia="zh-CN"/>
        </w:rPr>
        <w:t>个。</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left"/>
        <w:textAlignment w:val="auto"/>
        <w:outlineLvl w:val="9"/>
        <w:rPr>
          <w:rFonts w:cs="Times New Roman"/>
          <w:color w:val="000000"/>
          <w:kern w:val="0"/>
          <w:szCs w:val="32"/>
          <w:highlight w:val="none"/>
          <w:shd w:val="clear" w:color="auto" w:fill="FFFFFF"/>
          <w:lang w:val="zh-CN" w:eastAsia="zh-CN"/>
        </w:rPr>
      </w:pPr>
      <w:r>
        <w:rPr>
          <w:rFonts w:cs="Times New Roman"/>
          <w:color w:val="000000"/>
          <w:kern w:val="0"/>
          <w:szCs w:val="32"/>
          <w:highlight w:val="none"/>
          <w:shd w:val="clear" w:color="auto" w:fill="FFFFFF"/>
          <w:lang w:val="en-US" w:eastAsia="zh-CN"/>
        </w:rPr>
        <w:t>阶段</w:t>
      </w:r>
      <w:r>
        <w:rPr>
          <w:rFonts w:hint="eastAsia" w:cs="Times New Roman"/>
          <w:color w:val="000000"/>
          <w:kern w:val="0"/>
          <w:szCs w:val="32"/>
          <w:highlight w:val="none"/>
          <w:shd w:val="clear" w:color="auto" w:fill="FFFFFF"/>
          <w:lang w:val="en-US" w:eastAsia="zh-CN"/>
        </w:rPr>
        <w:t>（</w:t>
      </w:r>
      <w:r>
        <w:rPr>
          <w:rFonts w:cs="Times New Roman"/>
          <w:color w:val="000000"/>
          <w:kern w:val="0"/>
          <w:szCs w:val="32"/>
          <w:highlight w:val="none"/>
          <w:shd w:val="clear" w:color="auto" w:fill="FFFFFF"/>
          <w:lang w:val="en-US" w:eastAsia="zh-CN"/>
        </w:rPr>
        <w:t>一次性</w:t>
      </w:r>
      <w:r>
        <w:rPr>
          <w:rFonts w:hint="eastAsia" w:cs="Times New Roman"/>
          <w:color w:val="000000"/>
          <w:kern w:val="0"/>
          <w:szCs w:val="32"/>
          <w:highlight w:val="none"/>
          <w:shd w:val="clear" w:color="auto" w:fill="FFFFFF"/>
          <w:lang w:val="en-US" w:eastAsia="zh-CN"/>
        </w:rPr>
        <w:t>）</w:t>
      </w:r>
      <w:r>
        <w:rPr>
          <w:rFonts w:cs="Times New Roman"/>
          <w:color w:val="000000"/>
          <w:kern w:val="0"/>
          <w:szCs w:val="32"/>
          <w:highlight w:val="none"/>
          <w:shd w:val="clear" w:color="auto" w:fill="FFFFFF"/>
          <w:lang w:val="en-US" w:eastAsia="zh-CN"/>
        </w:rPr>
        <w:t>项目绩效分析。</w:t>
      </w:r>
      <w:r>
        <w:rPr>
          <w:rFonts w:cs="Times New Roman"/>
          <w:color w:val="000000"/>
          <w:kern w:val="0"/>
          <w:szCs w:val="32"/>
          <w:highlight w:val="none"/>
          <w:shd w:val="clear" w:color="auto" w:fill="FFFFFF"/>
          <w:lang w:val="zh-CN" w:eastAsia="zh-CN"/>
        </w:rPr>
        <w:t>该类项目总数</w:t>
      </w:r>
      <w:r>
        <w:rPr>
          <w:rFonts w:cs="Times New Roman"/>
          <w:color w:val="000000"/>
          <w:kern w:val="0"/>
          <w:szCs w:val="32"/>
          <w:highlight w:val="none"/>
          <w:shd w:val="clear" w:color="auto" w:fill="FFFFFF"/>
          <w:lang w:val="en-US" w:eastAsia="zh-CN"/>
        </w:rPr>
        <w:t xml:space="preserve"> </w:t>
      </w:r>
      <w:r>
        <w:rPr>
          <w:rFonts w:hint="eastAsia" w:cs="Times New Roman"/>
          <w:color w:val="000000"/>
          <w:kern w:val="0"/>
          <w:szCs w:val="32"/>
          <w:highlight w:val="none"/>
          <w:shd w:val="clear" w:color="auto" w:fill="FFFFFF"/>
          <w:lang w:val="en-US" w:eastAsia="zh-CN"/>
        </w:rPr>
        <w:t>0</w:t>
      </w:r>
      <w:r>
        <w:rPr>
          <w:rFonts w:cs="Times New Roman"/>
          <w:color w:val="000000"/>
          <w:kern w:val="0"/>
          <w:szCs w:val="32"/>
          <w:highlight w:val="none"/>
          <w:shd w:val="clear" w:color="auto" w:fill="FFFFFF"/>
          <w:lang w:val="zh-CN" w:eastAsia="zh-CN"/>
        </w:rPr>
        <w:t>个，涉及预算总金额</w:t>
      </w:r>
      <w:r>
        <w:rPr>
          <w:rFonts w:cs="Times New Roman"/>
          <w:color w:val="000000"/>
          <w:kern w:val="0"/>
          <w:szCs w:val="32"/>
          <w:highlight w:val="none"/>
          <w:shd w:val="clear" w:color="auto" w:fill="FFFFFF"/>
          <w:lang w:val="en-US" w:eastAsia="zh-CN"/>
        </w:rPr>
        <w:t xml:space="preserve"> </w:t>
      </w:r>
      <w:r>
        <w:rPr>
          <w:rFonts w:hint="eastAsia" w:cs="Times New Roman"/>
          <w:color w:val="000000"/>
          <w:kern w:val="0"/>
          <w:szCs w:val="32"/>
          <w:highlight w:val="none"/>
          <w:shd w:val="clear" w:color="auto" w:fill="FFFFFF"/>
          <w:lang w:val="en-US" w:eastAsia="zh-CN"/>
        </w:rPr>
        <w:t>0</w:t>
      </w:r>
      <w:r>
        <w:rPr>
          <w:rFonts w:cs="Times New Roman"/>
          <w:color w:val="000000"/>
          <w:kern w:val="0"/>
          <w:szCs w:val="32"/>
          <w:highlight w:val="none"/>
          <w:shd w:val="clear" w:color="auto" w:fill="FFFFFF"/>
          <w:lang w:val="zh-CN" w:eastAsia="zh-CN"/>
        </w:rPr>
        <w:t>万元，</w:t>
      </w:r>
      <w:r>
        <w:rPr>
          <w:rFonts w:cs="Times New Roman"/>
          <w:color w:val="000000"/>
          <w:kern w:val="0"/>
          <w:szCs w:val="32"/>
          <w:highlight w:val="none"/>
          <w:shd w:val="clear" w:color="auto" w:fill="FFFFFF"/>
          <w:lang w:val="zh-CN"/>
        </w:rPr>
        <w:t>1</w:t>
      </w:r>
      <w:r>
        <w:rPr>
          <w:rFonts w:hint="eastAsia" w:cs="Times New Roman"/>
          <w:color w:val="000000"/>
          <w:kern w:val="0"/>
          <w:szCs w:val="32"/>
          <w:highlight w:val="none"/>
          <w:shd w:val="clear" w:color="auto" w:fill="FFFFFF"/>
          <w:lang w:val="zh-CN" w:eastAsia="zh-CN"/>
        </w:rPr>
        <w:t>—</w:t>
      </w:r>
      <w:r>
        <w:rPr>
          <w:rFonts w:cs="Times New Roman"/>
          <w:color w:val="000000"/>
          <w:kern w:val="0"/>
          <w:szCs w:val="32"/>
          <w:highlight w:val="none"/>
          <w:shd w:val="clear" w:color="auto" w:fill="FFFFFF"/>
          <w:lang w:val="zh-CN"/>
        </w:rPr>
        <w:t>1</w:t>
      </w:r>
      <w:r>
        <w:rPr>
          <w:rFonts w:cs="Times New Roman"/>
          <w:color w:val="000000"/>
          <w:kern w:val="0"/>
          <w:szCs w:val="32"/>
          <w:highlight w:val="none"/>
          <w:shd w:val="clear" w:color="auto" w:fill="FFFFFF"/>
          <w:lang w:val="en-US" w:eastAsia="zh-CN"/>
        </w:rPr>
        <w:t>2</w:t>
      </w:r>
      <w:r>
        <w:rPr>
          <w:rFonts w:cs="Times New Roman"/>
          <w:color w:val="000000"/>
          <w:kern w:val="0"/>
          <w:szCs w:val="32"/>
          <w:highlight w:val="none"/>
          <w:shd w:val="clear" w:color="auto" w:fill="FFFFFF"/>
          <w:lang w:val="zh-CN"/>
        </w:rPr>
        <w:t>月预算执行总体进度为</w:t>
      </w:r>
      <w:r>
        <w:rPr>
          <w:rFonts w:cs="Times New Roman"/>
          <w:color w:val="000000"/>
          <w:kern w:val="0"/>
          <w:szCs w:val="32"/>
          <w:highlight w:val="none"/>
          <w:shd w:val="clear" w:color="auto" w:fill="FFFFFF"/>
          <w:lang w:val="en-US" w:eastAsia="zh-CN"/>
        </w:rPr>
        <w:t xml:space="preserve"> </w:t>
      </w:r>
      <w:r>
        <w:rPr>
          <w:rFonts w:hint="eastAsia" w:cs="Times New Roman"/>
          <w:color w:val="000000"/>
          <w:kern w:val="0"/>
          <w:szCs w:val="32"/>
          <w:highlight w:val="none"/>
          <w:shd w:val="clear" w:color="auto" w:fill="FFFFFF"/>
          <w:lang w:val="en-US" w:eastAsia="zh-CN"/>
        </w:rPr>
        <w:t>0</w:t>
      </w:r>
      <w:r>
        <w:rPr>
          <w:rFonts w:cs="Times New Roman"/>
          <w:color w:val="000000"/>
          <w:kern w:val="0"/>
          <w:szCs w:val="32"/>
          <w:highlight w:val="none"/>
          <w:shd w:val="clear" w:color="auto" w:fill="FFFFFF"/>
          <w:lang w:val="en-US" w:eastAsia="zh-CN"/>
        </w:rPr>
        <w:t xml:space="preserve"> </w:t>
      </w:r>
      <w:r>
        <w:rPr>
          <w:rFonts w:cs="Times New Roman"/>
          <w:color w:val="000000"/>
          <w:kern w:val="0"/>
          <w:szCs w:val="32"/>
          <w:highlight w:val="none"/>
          <w:shd w:val="clear" w:color="auto" w:fill="FFFFFF"/>
          <w:lang w:val="zh-CN"/>
        </w:rPr>
        <w:t>%，其中：</w:t>
      </w:r>
      <w:r>
        <w:rPr>
          <w:rFonts w:cs="Times New Roman"/>
          <w:color w:val="000000"/>
          <w:kern w:val="0"/>
          <w:szCs w:val="32"/>
          <w:highlight w:val="none"/>
          <w:shd w:val="clear" w:color="auto" w:fill="FFFFFF"/>
          <w:lang w:val="zh-CN" w:eastAsia="zh-CN"/>
        </w:rPr>
        <w:t>预算结余率大于</w:t>
      </w:r>
      <w:r>
        <w:rPr>
          <w:rFonts w:cs="Times New Roman"/>
          <w:color w:val="000000"/>
          <w:kern w:val="0"/>
          <w:szCs w:val="32"/>
          <w:highlight w:val="none"/>
          <w:shd w:val="clear" w:color="auto" w:fill="FFFFFF"/>
          <w:lang w:val="en-US" w:eastAsia="zh-CN"/>
        </w:rPr>
        <w:t>10%</w:t>
      </w:r>
      <w:r>
        <w:rPr>
          <w:rFonts w:cs="Times New Roman"/>
          <w:color w:val="000000"/>
          <w:kern w:val="0"/>
          <w:szCs w:val="32"/>
          <w:highlight w:val="none"/>
          <w:shd w:val="clear" w:color="auto" w:fill="FFFFFF"/>
          <w:lang w:val="zh-CN" w:eastAsia="zh-CN"/>
        </w:rPr>
        <w:t>的项目共计</w:t>
      </w:r>
      <w:r>
        <w:rPr>
          <w:rFonts w:hint="eastAsia" w:cs="Times New Roman"/>
          <w:color w:val="000000"/>
          <w:kern w:val="0"/>
          <w:szCs w:val="32"/>
          <w:highlight w:val="none"/>
          <w:shd w:val="clear" w:color="auto" w:fill="FFFFFF"/>
          <w:lang w:val="en-US" w:eastAsia="zh-CN"/>
        </w:rPr>
        <w:t>0</w:t>
      </w:r>
      <w:r>
        <w:rPr>
          <w:rFonts w:cs="Times New Roman"/>
          <w:color w:val="000000"/>
          <w:kern w:val="0"/>
          <w:szCs w:val="32"/>
          <w:highlight w:val="none"/>
          <w:shd w:val="clear" w:color="auto" w:fill="FFFFFF"/>
          <w:lang w:val="en-US" w:eastAsia="zh-CN"/>
        </w:rPr>
        <w:t xml:space="preserve"> </w:t>
      </w:r>
      <w:r>
        <w:rPr>
          <w:rFonts w:cs="Times New Roman"/>
          <w:color w:val="000000"/>
          <w:kern w:val="0"/>
          <w:szCs w:val="32"/>
          <w:highlight w:val="none"/>
          <w:shd w:val="clear" w:color="auto" w:fill="FFFFFF"/>
          <w:lang w:val="zh-CN" w:eastAsia="zh-CN"/>
        </w:rPr>
        <w:t>个。</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739" w:firstLineChars="231"/>
        <w:rPr>
          <w:rFonts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1.</w:t>
      </w:r>
      <w:r>
        <w:rPr>
          <w:rFonts w:hint="eastAsia" w:ascii="楷体_GB2312" w:eastAsia="楷体_GB2312" w:cs="楷体_GB2312"/>
          <w:color w:val="000000"/>
          <w:kern w:val="0"/>
          <w:szCs w:val="32"/>
          <w:highlight w:val="none"/>
          <w:shd w:val="clear" w:color="auto" w:fill="FFFFFF"/>
          <w:lang w:val="zh-CN"/>
        </w:rPr>
        <w:t>项目决策。</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742" w:firstLineChars="231"/>
        <w:rPr>
          <w:rFonts w:hint="eastAsia" w:ascii="Times New Roman" w:hAnsi="Times New Roman" w:eastAsia="仿宋_GB2312" w:cs="Times New Roman"/>
          <w:color w:val="000000"/>
          <w:kern w:val="0"/>
          <w:sz w:val="32"/>
          <w:szCs w:val="32"/>
          <w:highlight w:val="none"/>
          <w:shd w:val="clear" w:color="auto" w:fill="FFFFFF"/>
          <w:lang w:val="en-US" w:eastAsia="zh-CN" w:bidi="ar-SA"/>
        </w:rPr>
      </w:pPr>
      <w:r>
        <w:rPr>
          <w:rFonts w:hint="eastAsia" w:ascii="楷体_GB2312" w:eastAsia="楷体_GB2312" w:cs="楷体_GB2312"/>
          <w:b/>
          <w:bCs/>
          <w:color w:val="000000"/>
          <w:kern w:val="0"/>
          <w:szCs w:val="32"/>
          <w:highlight w:val="none"/>
          <w:shd w:val="clear" w:color="auto" w:fill="FFFFFF"/>
          <w:lang w:val="zh-CN"/>
        </w:rPr>
        <w:t>一是</w:t>
      </w:r>
      <w:r>
        <w:rPr>
          <w:rFonts w:hint="eastAsia" w:ascii="楷体_GB2312" w:eastAsia="楷体_GB2312" w:cs="楷体_GB2312"/>
          <w:color w:val="000000"/>
          <w:kern w:val="0"/>
          <w:szCs w:val="32"/>
          <w:highlight w:val="none"/>
          <w:shd w:val="clear" w:color="auto" w:fill="FFFFFF"/>
          <w:lang w:val="zh-CN"/>
        </w:rPr>
        <w:t>决算程序：</w:t>
      </w:r>
      <w:r>
        <w:rPr>
          <w:rFonts w:hint="eastAsia" w:ascii="Times New Roman" w:hAnsi="Times New Roman" w:eastAsia="仿宋_GB2312" w:cs="Times New Roman"/>
          <w:color w:val="000000"/>
          <w:kern w:val="0"/>
          <w:sz w:val="32"/>
          <w:szCs w:val="32"/>
          <w:highlight w:val="none"/>
          <w:shd w:val="clear" w:color="auto" w:fill="FFFFFF"/>
          <w:lang w:val="zh-CN" w:eastAsia="zh-CN" w:bidi="ar-SA"/>
        </w:rPr>
        <w:t>根据部门实际需要编制预算，经过单位集体决策，项目绩效目标编制明确，并通过了预算草案审查，审查后未提出确需修改的问题，自评得</w:t>
      </w:r>
      <w:r>
        <w:rPr>
          <w:rFonts w:hint="eastAsia" w:cs="Times New Roman"/>
          <w:color w:val="000000"/>
          <w:kern w:val="0"/>
          <w:sz w:val="32"/>
          <w:szCs w:val="32"/>
          <w:highlight w:val="none"/>
          <w:shd w:val="clear" w:color="auto" w:fill="FFFFFF"/>
          <w:lang w:val="en-US" w:eastAsia="zh-CN" w:bidi="ar-SA"/>
        </w:rPr>
        <w:t>4</w:t>
      </w:r>
      <w:r>
        <w:rPr>
          <w:rFonts w:hint="eastAsia" w:ascii="Times New Roman" w:hAnsi="Times New Roman" w:eastAsia="仿宋_GB2312" w:cs="Times New Roman"/>
          <w:color w:val="000000"/>
          <w:kern w:val="0"/>
          <w:sz w:val="32"/>
          <w:szCs w:val="32"/>
          <w:highlight w:val="none"/>
          <w:shd w:val="clear" w:color="auto" w:fill="FFFFFF"/>
          <w:lang w:val="zh-CN" w:eastAsia="zh-CN" w:bidi="ar-SA"/>
        </w:rPr>
        <w:t>分。</w:t>
      </w:r>
      <w:r>
        <w:rPr>
          <w:rFonts w:hint="eastAsia" w:cs="Times New Roman"/>
          <w:b/>
          <w:bCs/>
          <w:color w:val="000000"/>
          <w:kern w:val="0"/>
          <w:sz w:val="32"/>
          <w:szCs w:val="32"/>
          <w:highlight w:val="none"/>
          <w:shd w:val="clear" w:color="auto" w:fill="FFFFFF"/>
          <w:lang w:val="zh-CN" w:eastAsia="zh-CN" w:bidi="ar-SA"/>
        </w:rPr>
        <w:t>二是</w:t>
      </w:r>
      <w:r>
        <w:rPr>
          <w:rFonts w:hint="eastAsia" w:ascii="Times New Roman" w:hAnsi="Times New Roman" w:eastAsia="仿宋_GB2312" w:cs="Times New Roman"/>
          <w:color w:val="000000"/>
          <w:kern w:val="0"/>
          <w:sz w:val="32"/>
          <w:szCs w:val="32"/>
          <w:highlight w:val="none"/>
          <w:shd w:val="clear" w:color="auto" w:fill="FFFFFF"/>
          <w:lang w:val="zh-CN" w:eastAsia="zh-CN" w:bidi="ar-SA"/>
        </w:rPr>
        <w:t>目标设置：</w:t>
      </w:r>
      <w:r>
        <w:rPr>
          <w:rFonts w:ascii="Times New Roman" w:hAnsi="Times New Roman" w:eastAsia="仿宋_GB2312" w:cs="Times New Roman"/>
          <w:color w:val="000000"/>
          <w:kern w:val="0"/>
          <w:sz w:val="32"/>
          <w:szCs w:val="32"/>
          <w:highlight w:val="none"/>
          <w:shd w:val="clear" w:color="auto" w:fill="FFFFFF"/>
          <w:lang w:val="zh-CN" w:eastAsia="zh-CN" w:bidi="ar-SA"/>
        </w:rPr>
        <w:t>（1）</w:t>
      </w:r>
      <w:r>
        <w:rPr>
          <w:rFonts w:hint="eastAsia" w:ascii="Times New Roman" w:hAnsi="Times New Roman" w:eastAsia="仿宋_GB2312" w:cs="Times New Roman"/>
          <w:color w:val="000000"/>
          <w:kern w:val="0"/>
          <w:sz w:val="32"/>
          <w:szCs w:val="32"/>
          <w:highlight w:val="none"/>
          <w:shd w:val="clear" w:color="auto" w:fill="FFFFFF"/>
          <w:lang w:val="zh-CN" w:eastAsia="zh-CN" w:bidi="ar-SA"/>
        </w:rPr>
        <w:t>党建工作经费项目</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2</w:t>
      </w:r>
      <w:r>
        <w:rPr>
          <w:rFonts w:ascii="Times New Roman" w:hAnsi="Times New Roman" w:eastAsia="仿宋_GB2312" w:cs="Times New Roman"/>
          <w:color w:val="000000"/>
          <w:kern w:val="0"/>
          <w:sz w:val="32"/>
          <w:szCs w:val="32"/>
          <w:highlight w:val="none"/>
          <w:shd w:val="clear" w:color="auto" w:fill="FFFFFF"/>
          <w:lang w:val="en-US" w:eastAsia="zh-CN" w:bidi="ar-SA"/>
        </w:rPr>
        <w:t>58.39</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万元，设立发放</w:t>
      </w:r>
      <w:r>
        <w:rPr>
          <w:rFonts w:ascii="Times New Roman" w:hAnsi="Times New Roman" w:eastAsia="仿宋_GB2312" w:cs="Times New Roman"/>
          <w:color w:val="000000"/>
          <w:kern w:val="0"/>
          <w:sz w:val="32"/>
          <w:szCs w:val="32"/>
          <w:highlight w:val="none"/>
          <w:shd w:val="clear" w:color="auto" w:fill="FFFFFF"/>
          <w:lang w:val="en-US" w:eastAsia="zh-CN" w:bidi="ar-SA"/>
        </w:rPr>
        <w:t>189</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名驻村干部补贴发放、业务培训</w:t>
      </w:r>
      <w:r>
        <w:rPr>
          <w:rFonts w:ascii="Times New Roman" w:hAnsi="Times New Roman" w:eastAsia="仿宋_GB2312" w:cs="Times New Roman"/>
          <w:color w:val="000000"/>
          <w:kern w:val="0"/>
          <w:sz w:val="32"/>
          <w:szCs w:val="32"/>
          <w:highlight w:val="none"/>
          <w:shd w:val="clear" w:color="auto" w:fill="FFFFFF"/>
          <w:lang w:val="en-US" w:eastAsia="zh-CN" w:bidi="ar-SA"/>
        </w:rPr>
        <w:t>一次</w:t>
      </w:r>
      <w:r>
        <w:rPr>
          <w:rFonts w:ascii="Times New Roman" w:hAnsi="Times New Roman" w:eastAsia="仿宋_GB2312" w:cs="Times New Roman"/>
          <w:color w:val="000000"/>
          <w:kern w:val="0"/>
          <w:sz w:val="32"/>
          <w:szCs w:val="32"/>
          <w:highlight w:val="none"/>
          <w:shd w:val="clear" w:color="auto" w:fill="FFFFFF"/>
          <w:lang w:val="en-US" w:eastAsia="zh-CN" w:bidi="ar-SA"/>
        </w:rPr>
        <w:tab/>
      </w:r>
      <w:r>
        <w:rPr>
          <w:rFonts w:hint="eastAsia" w:ascii="Times New Roman" w:hAnsi="Times New Roman" w:eastAsia="仿宋_GB2312" w:cs="Times New Roman"/>
          <w:color w:val="000000"/>
          <w:kern w:val="0"/>
          <w:sz w:val="32"/>
          <w:szCs w:val="32"/>
          <w:highlight w:val="none"/>
          <w:shd w:val="clear" w:color="auto" w:fill="FFFFFF"/>
          <w:lang w:val="en-US" w:eastAsia="zh-CN" w:bidi="ar-SA"/>
        </w:rPr>
        <w:t>、</w:t>
      </w:r>
      <w:r>
        <w:rPr>
          <w:rFonts w:ascii="Times New Roman" w:hAnsi="Times New Roman" w:eastAsia="仿宋_GB2312" w:cs="Times New Roman"/>
          <w:color w:val="000000"/>
          <w:kern w:val="0"/>
          <w:sz w:val="32"/>
          <w:szCs w:val="32"/>
          <w:highlight w:val="none"/>
          <w:shd w:val="clear" w:color="auto" w:fill="FFFFFF"/>
          <w:lang w:val="en-US" w:eastAsia="zh-CN" w:bidi="ar-SA"/>
        </w:rPr>
        <w:t>驻村队员人身保险和</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物资购置</w:t>
      </w:r>
      <w:r>
        <w:rPr>
          <w:rFonts w:ascii="Times New Roman" w:hAnsi="Times New Roman" w:eastAsia="仿宋_GB2312" w:cs="Times New Roman"/>
          <w:color w:val="000000"/>
          <w:kern w:val="0"/>
          <w:sz w:val="32"/>
          <w:szCs w:val="32"/>
          <w:highlight w:val="none"/>
          <w:shd w:val="clear" w:color="auto" w:fill="FFFFFF"/>
          <w:lang w:val="en-US" w:eastAsia="zh-CN" w:bidi="ar-SA"/>
        </w:rPr>
        <w:t>；</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完成全县</w:t>
      </w:r>
      <w:r>
        <w:rPr>
          <w:rFonts w:ascii="Times New Roman" w:hAnsi="Times New Roman" w:eastAsia="仿宋_GB2312" w:cs="Times New Roman"/>
          <w:color w:val="000000"/>
          <w:kern w:val="0"/>
          <w:sz w:val="32"/>
          <w:szCs w:val="32"/>
          <w:highlight w:val="none"/>
          <w:shd w:val="clear" w:color="auto" w:fill="FFFFFF"/>
          <w:lang w:val="en-US" w:eastAsia="zh-CN" w:bidi="ar-SA"/>
        </w:rPr>
        <w:t>干部人才</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教育</w:t>
      </w:r>
      <w:r>
        <w:rPr>
          <w:rFonts w:ascii="Times New Roman" w:hAnsi="Times New Roman" w:eastAsia="仿宋_GB2312" w:cs="Times New Roman"/>
          <w:color w:val="000000"/>
          <w:kern w:val="0"/>
          <w:sz w:val="32"/>
          <w:szCs w:val="32"/>
          <w:highlight w:val="none"/>
          <w:shd w:val="clear" w:color="auto" w:fill="FFFFFF"/>
          <w:lang w:val="en-US" w:eastAsia="zh-CN" w:bidi="ar-SA"/>
        </w:rPr>
        <w:t>学习</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工作</w:t>
      </w:r>
      <w:r>
        <w:rPr>
          <w:rFonts w:ascii="Times New Roman" w:hAnsi="Times New Roman" w:eastAsia="仿宋_GB2312" w:cs="Times New Roman"/>
          <w:color w:val="000000"/>
          <w:kern w:val="0"/>
          <w:sz w:val="32"/>
          <w:szCs w:val="32"/>
          <w:highlight w:val="none"/>
          <w:shd w:val="clear" w:color="auto" w:fill="FFFFFF"/>
          <w:lang w:val="en-US" w:eastAsia="zh-CN" w:bidi="ar-SA"/>
        </w:rPr>
        <w:t>；约</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1</w:t>
      </w:r>
      <w:r>
        <w:rPr>
          <w:rFonts w:ascii="Times New Roman" w:hAnsi="Times New Roman" w:eastAsia="仿宋_GB2312" w:cs="Times New Roman"/>
          <w:color w:val="000000"/>
          <w:kern w:val="0"/>
          <w:sz w:val="32"/>
          <w:szCs w:val="32"/>
          <w:highlight w:val="none"/>
          <w:shd w:val="clear" w:color="auto" w:fill="FFFFFF"/>
          <w:lang w:val="en-US" w:eastAsia="zh-CN" w:bidi="ar-SA"/>
        </w:rPr>
        <w:t>10</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名三老人员生活补助发放工作</w:t>
      </w:r>
      <w:r>
        <w:rPr>
          <w:rFonts w:ascii="Times New Roman" w:hAnsi="Times New Roman" w:eastAsia="仿宋_GB2312" w:cs="Times New Roman"/>
          <w:color w:val="000000"/>
          <w:kern w:val="0"/>
          <w:sz w:val="32"/>
          <w:szCs w:val="32"/>
          <w:highlight w:val="none"/>
          <w:shd w:val="clear" w:color="auto" w:fill="FFFFFF"/>
          <w:lang w:val="en-US" w:eastAsia="zh-CN" w:bidi="ar-SA"/>
        </w:rPr>
        <w:t>；完成支付</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全县72个点位党员远程教育邮电费</w:t>
      </w:r>
      <w:r>
        <w:rPr>
          <w:rFonts w:ascii="Times New Roman" w:hAnsi="Times New Roman" w:eastAsia="仿宋_GB2312" w:cs="Times New Roman"/>
          <w:color w:val="000000"/>
          <w:kern w:val="0"/>
          <w:sz w:val="32"/>
          <w:szCs w:val="32"/>
          <w:highlight w:val="none"/>
          <w:shd w:val="clear" w:color="auto" w:fill="FFFFFF"/>
          <w:lang w:val="en-US" w:eastAsia="zh-CN" w:bidi="ar-SA"/>
        </w:rPr>
        <w:t>；</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提高自身组工业务能力，</w:t>
      </w:r>
      <w:r>
        <w:rPr>
          <w:rFonts w:ascii="Times New Roman" w:hAnsi="Times New Roman" w:eastAsia="仿宋_GB2312" w:cs="Times New Roman"/>
          <w:color w:val="000000"/>
          <w:kern w:val="0"/>
          <w:sz w:val="32"/>
          <w:szCs w:val="32"/>
          <w:highlight w:val="none"/>
          <w:shd w:val="clear" w:color="auto" w:fill="FFFFFF"/>
          <w:lang w:val="en-US" w:eastAsia="zh-CN" w:bidi="ar-SA"/>
        </w:rPr>
        <w:t>维护黑水县党群服务中心点位一个</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w:t>
      </w:r>
      <w:r>
        <w:rPr>
          <w:rFonts w:ascii="Times New Roman" w:hAnsi="Times New Roman" w:eastAsia="仿宋_GB2312" w:cs="Times New Roman"/>
          <w:color w:val="000000"/>
          <w:kern w:val="0"/>
          <w:sz w:val="32"/>
          <w:szCs w:val="32"/>
          <w:highlight w:val="none"/>
          <w:shd w:val="clear" w:color="auto" w:fill="FFFFFF"/>
          <w:lang w:val="en-US" w:eastAsia="zh-CN" w:bidi="ar-SA"/>
        </w:rPr>
        <w:t>（2）</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老干部及关工委工作经费</w:t>
      </w:r>
      <w:r>
        <w:rPr>
          <w:rFonts w:ascii="Times New Roman" w:hAnsi="Times New Roman" w:eastAsia="仿宋_GB2312" w:cs="Times New Roman"/>
          <w:color w:val="000000"/>
          <w:kern w:val="0"/>
          <w:sz w:val="32"/>
          <w:szCs w:val="32"/>
          <w:highlight w:val="none"/>
          <w:shd w:val="clear" w:color="auto" w:fill="FFFFFF"/>
          <w:lang w:val="en-US" w:eastAsia="zh-CN" w:bidi="ar-SA"/>
        </w:rPr>
        <w:t>59.58</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万元，开展2</w:t>
      </w:r>
      <w:r>
        <w:rPr>
          <w:rFonts w:ascii="Times New Roman" w:hAnsi="Times New Roman" w:eastAsia="仿宋_GB2312" w:cs="Times New Roman"/>
          <w:color w:val="000000"/>
          <w:kern w:val="0"/>
          <w:sz w:val="32"/>
          <w:szCs w:val="32"/>
          <w:highlight w:val="none"/>
          <w:shd w:val="clear" w:color="auto" w:fill="FFFFFF"/>
          <w:lang w:val="en-US" w:eastAsia="zh-CN" w:bidi="ar-SA"/>
        </w:rPr>
        <w:t>0余</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次老干部活动，惠及</w:t>
      </w:r>
      <w:r>
        <w:rPr>
          <w:rFonts w:cs="Times New Roman"/>
          <w:color w:val="000000"/>
          <w:kern w:val="0"/>
          <w:sz w:val="32"/>
          <w:szCs w:val="32"/>
          <w:highlight w:val="none"/>
          <w:shd w:val="clear" w:color="auto" w:fill="FFFFFF"/>
          <w:lang w:val="en-US" w:eastAsia="zh-CN" w:bidi="ar-SA"/>
        </w:rPr>
        <w:t>1000</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人次，落实</w:t>
      </w:r>
      <w:r>
        <w:rPr>
          <w:rFonts w:ascii="Times New Roman" w:hAnsi="Times New Roman" w:eastAsia="仿宋_GB2312" w:cs="Times New Roman"/>
          <w:color w:val="000000"/>
          <w:kern w:val="0"/>
          <w:sz w:val="32"/>
          <w:szCs w:val="32"/>
          <w:highlight w:val="none"/>
          <w:shd w:val="clear" w:color="auto" w:fill="FFFFFF"/>
          <w:lang w:val="en-US" w:eastAsia="zh-CN" w:bidi="ar-SA"/>
        </w:rPr>
        <w:t>2</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名离休干部护理费，发放</w:t>
      </w:r>
      <w:r>
        <w:rPr>
          <w:rFonts w:ascii="Times New Roman" w:hAnsi="Times New Roman" w:eastAsia="仿宋_GB2312" w:cs="Times New Roman"/>
          <w:color w:val="000000"/>
          <w:kern w:val="0"/>
          <w:sz w:val="32"/>
          <w:szCs w:val="32"/>
          <w:highlight w:val="none"/>
          <w:shd w:val="clear" w:color="auto" w:fill="FFFFFF"/>
          <w:lang w:val="en-US" w:eastAsia="zh-CN" w:bidi="ar-SA"/>
        </w:rPr>
        <w:t>9</w:t>
      </w:r>
      <w:r>
        <w:rPr>
          <w:rFonts w:hint="eastAsia" w:cs="Times New Roman"/>
          <w:color w:val="000000"/>
          <w:kern w:val="0"/>
          <w:sz w:val="32"/>
          <w:szCs w:val="32"/>
          <w:highlight w:val="none"/>
          <w:shd w:val="clear" w:color="auto" w:fill="FFFFFF"/>
          <w:lang w:val="en-US" w:eastAsia="zh-CN" w:bidi="ar-SA"/>
        </w:rPr>
        <w:t>名</w:t>
      </w:r>
      <w:r>
        <w:rPr>
          <w:rFonts w:cs="Times New Roman"/>
          <w:color w:val="000000"/>
          <w:kern w:val="0"/>
          <w:sz w:val="32"/>
          <w:szCs w:val="32"/>
          <w:highlight w:val="none"/>
          <w:shd w:val="clear" w:color="auto" w:fill="FFFFFF"/>
          <w:lang w:val="en-US" w:eastAsia="zh-CN" w:bidi="ar-SA"/>
        </w:rPr>
        <w:t>左右</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退休干部困难补助，</w:t>
      </w:r>
      <w:r>
        <w:rPr>
          <w:rFonts w:ascii="Times New Roman" w:hAnsi="Times New Roman" w:eastAsia="仿宋_GB2312" w:cs="Times New Roman"/>
          <w:color w:val="000000"/>
          <w:kern w:val="0"/>
          <w:sz w:val="32"/>
          <w:szCs w:val="32"/>
          <w:highlight w:val="none"/>
          <w:shd w:val="clear" w:color="auto" w:fill="FFFFFF"/>
          <w:lang w:val="en-US" w:eastAsia="zh-CN" w:bidi="ar-SA"/>
        </w:rPr>
        <w:t>确保离退休干休所日常运转需要，</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积极有序</w:t>
      </w:r>
      <w:r>
        <w:rPr>
          <w:rFonts w:ascii="Times New Roman" w:hAnsi="Times New Roman" w:eastAsia="仿宋_GB2312" w:cs="Times New Roman"/>
          <w:color w:val="000000"/>
          <w:kern w:val="0"/>
          <w:sz w:val="32"/>
          <w:szCs w:val="32"/>
          <w:highlight w:val="none"/>
          <w:shd w:val="clear" w:color="auto" w:fill="FFFFFF"/>
          <w:lang w:val="en-US" w:eastAsia="zh-CN" w:bidi="ar-SA"/>
        </w:rPr>
        <w:t>开展</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离退休干部日常管理</w:t>
      </w:r>
      <w:r>
        <w:rPr>
          <w:rFonts w:ascii="Times New Roman" w:hAnsi="Times New Roman" w:eastAsia="仿宋_GB2312" w:cs="Times New Roman"/>
          <w:color w:val="000000"/>
          <w:kern w:val="0"/>
          <w:sz w:val="32"/>
          <w:szCs w:val="32"/>
          <w:highlight w:val="none"/>
          <w:shd w:val="clear" w:color="auto" w:fill="FFFFFF"/>
          <w:lang w:val="en-US" w:eastAsia="zh-CN" w:bidi="ar-SA"/>
        </w:rPr>
        <w:t>工作</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w:t>
      </w:r>
      <w:r>
        <w:rPr>
          <w:rFonts w:ascii="Times New Roman" w:hAnsi="Times New Roman" w:eastAsia="仿宋_GB2312" w:cs="Times New Roman"/>
          <w:color w:val="000000"/>
          <w:kern w:val="0"/>
          <w:sz w:val="32"/>
          <w:szCs w:val="32"/>
          <w:highlight w:val="none"/>
          <w:shd w:val="clear" w:color="auto" w:fill="FFFFFF"/>
          <w:lang w:val="en-US" w:eastAsia="zh-CN" w:bidi="ar-SA"/>
        </w:rPr>
        <w:t>（3）</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全县干部人才专项</w:t>
      </w:r>
      <w:r>
        <w:rPr>
          <w:rFonts w:ascii="Times New Roman" w:hAnsi="Times New Roman" w:eastAsia="仿宋_GB2312" w:cs="Times New Roman"/>
          <w:color w:val="000000"/>
          <w:kern w:val="0"/>
          <w:sz w:val="32"/>
          <w:szCs w:val="32"/>
          <w:highlight w:val="none"/>
          <w:shd w:val="clear" w:color="auto" w:fill="FFFFFF"/>
          <w:lang w:val="en-US" w:eastAsia="zh-CN" w:bidi="ar-SA"/>
        </w:rPr>
        <w:t>455.42</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万元，</w:t>
      </w:r>
      <w:r>
        <w:rPr>
          <w:rFonts w:ascii="Times New Roman" w:hAnsi="Times New Roman" w:eastAsia="仿宋_GB2312" w:cs="Times New Roman"/>
          <w:color w:val="000000"/>
          <w:kern w:val="0"/>
          <w:sz w:val="32"/>
          <w:szCs w:val="32"/>
          <w:highlight w:val="none"/>
          <w:shd w:val="clear" w:color="auto" w:fill="FFFFFF"/>
          <w:lang w:val="en-US" w:eastAsia="zh-CN" w:bidi="ar-SA"/>
        </w:rPr>
        <w:t>发放</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全县2</w:t>
      </w:r>
      <w:r>
        <w:rPr>
          <w:rFonts w:ascii="Times New Roman" w:hAnsi="Times New Roman" w:eastAsia="仿宋_GB2312" w:cs="Times New Roman"/>
          <w:color w:val="000000"/>
          <w:kern w:val="0"/>
          <w:sz w:val="32"/>
          <w:szCs w:val="32"/>
          <w:highlight w:val="none"/>
          <w:shd w:val="clear" w:color="auto" w:fill="FFFFFF"/>
          <w:lang w:val="en-US" w:eastAsia="zh-CN" w:bidi="ar-SA"/>
        </w:rPr>
        <w:t>0余</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名援藏干部艰边津贴及生活物资，开展</w:t>
      </w:r>
      <w:r>
        <w:rPr>
          <w:rFonts w:cs="Times New Roman"/>
          <w:color w:val="000000"/>
          <w:kern w:val="0"/>
          <w:sz w:val="32"/>
          <w:szCs w:val="32"/>
          <w:highlight w:val="none"/>
          <w:shd w:val="clear" w:color="auto" w:fill="FFFFFF"/>
          <w:lang w:val="en-US" w:eastAsia="zh-CN" w:bidi="ar-SA"/>
        </w:rPr>
        <w:t>39</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期人才干部培训，惠及人数</w:t>
      </w:r>
      <w:r>
        <w:rPr>
          <w:rFonts w:ascii="Times New Roman" w:hAnsi="Times New Roman" w:eastAsia="仿宋_GB2312" w:cs="Times New Roman"/>
          <w:color w:val="000000"/>
          <w:kern w:val="0"/>
          <w:sz w:val="32"/>
          <w:szCs w:val="32"/>
          <w:highlight w:val="none"/>
          <w:shd w:val="clear" w:color="auto" w:fill="FFFFFF"/>
          <w:lang w:val="en-US" w:eastAsia="zh-CN" w:bidi="ar-SA"/>
        </w:rPr>
        <w:t>约</w:t>
      </w:r>
      <w:r>
        <w:rPr>
          <w:rFonts w:cs="Times New Roman"/>
          <w:color w:val="000000"/>
          <w:kern w:val="0"/>
          <w:sz w:val="32"/>
          <w:szCs w:val="32"/>
          <w:highlight w:val="none"/>
          <w:shd w:val="clear" w:color="auto" w:fill="FFFFFF"/>
          <w:lang w:val="en-US" w:eastAsia="zh-CN" w:bidi="ar-SA"/>
        </w:rPr>
        <w:t>2</w:t>
      </w:r>
      <w:r>
        <w:rPr>
          <w:rFonts w:ascii="Times New Roman" w:hAnsi="Times New Roman" w:eastAsia="仿宋_GB2312" w:cs="Times New Roman"/>
          <w:color w:val="000000"/>
          <w:kern w:val="0"/>
          <w:sz w:val="32"/>
          <w:szCs w:val="32"/>
          <w:highlight w:val="none"/>
          <w:shd w:val="clear" w:color="auto" w:fill="FFFFFF"/>
          <w:lang w:val="en-US" w:eastAsia="zh-CN" w:bidi="ar-SA"/>
        </w:rPr>
        <w:t>0</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00人次，落实</w:t>
      </w:r>
      <w:r>
        <w:rPr>
          <w:rFonts w:ascii="Times New Roman" w:hAnsi="Times New Roman" w:eastAsia="仿宋_GB2312" w:cs="Times New Roman"/>
          <w:color w:val="000000"/>
          <w:kern w:val="0"/>
          <w:sz w:val="32"/>
          <w:szCs w:val="32"/>
          <w:highlight w:val="none"/>
          <w:shd w:val="clear" w:color="auto" w:fill="FFFFFF"/>
          <w:lang w:val="en-US" w:eastAsia="zh-CN" w:bidi="ar-SA"/>
        </w:rPr>
        <w:t>20</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名选调生到村任职工作补助经费</w:t>
      </w:r>
      <w:r>
        <w:rPr>
          <w:rFonts w:ascii="Times New Roman" w:hAnsi="Times New Roman" w:eastAsia="仿宋_GB2312" w:cs="Times New Roman"/>
          <w:color w:val="000000"/>
          <w:kern w:val="0"/>
          <w:sz w:val="32"/>
          <w:szCs w:val="32"/>
          <w:highlight w:val="none"/>
          <w:shd w:val="clear" w:color="auto" w:fill="FFFFFF"/>
          <w:lang w:val="en-US" w:eastAsia="zh-CN" w:bidi="ar-SA"/>
        </w:rPr>
        <w:t>（安家补助及初任培训）</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，落实</w:t>
      </w:r>
      <w:r>
        <w:rPr>
          <w:rFonts w:ascii="Times New Roman" w:hAnsi="Times New Roman" w:eastAsia="仿宋_GB2312" w:cs="Times New Roman"/>
          <w:color w:val="000000"/>
          <w:kern w:val="0"/>
          <w:sz w:val="32"/>
          <w:szCs w:val="32"/>
          <w:highlight w:val="none"/>
          <w:shd w:val="clear" w:color="auto" w:fill="FFFFFF"/>
          <w:lang w:val="en-US" w:eastAsia="zh-CN" w:bidi="ar-SA"/>
        </w:rPr>
        <w:t>外派</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专技</w:t>
      </w:r>
      <w:r>
        <w:rPr>
          <w:rFonts w:ascii="Times New Roman" w:hAnsi="Times New Roman" w:eastAsia="仿宋_GB2312" w:cs="Times New Roman"/>
          <w:color w:val="000000"/>
          <w:kern w:val="0"/>
          <w:sz w:val="32"/>
          <w:szCs w:val="32"/>
          <w:highlight w:val="none"/>
          <w:shd w:val="clear" w:color="auto" w:fill="FFFFFF"/>
          <w:lang w:val="en-US" w:eastAsia="zh-CN" w:bidi="ar-SA"/>
        </w:rPr>
        <w:t>人员约10</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人外派生活补助，</w:t>
      </w:r>
      <w:r>
        <w:rPr>
          <w:rFonts w:ascii="Times New Roman" w:hAnsi="Times New Roman" w:eastAsia="仿宋_GB2312" w:cs="Times New Roman"/>
          <w:color w:val="000000"/>
          <w:kern w:val="0"/>
          <w:sz w:val="32"/>
          <w:szCs w:val="32"/>
          <w:highlight w:val="none"/>
          <w:shd w:val="clear" w:color="auto" w:fill="FFFFFF"/>
          <w:lang w:val="en-US" w:eastAsia="zh-CN" w:bidi="ar-SA"/>
        </w:rPr>
        <w:t>完成全县10个人才工作室的激励金发放11</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万元，</w:t>
      </w:r>
      <w:r>
        <w:rPr>
          <w:rFonts w:ascii="Times New Roman" w:hAnsi="Times New Roman" w:eastAsia="仿宋_GB2312" w:cs="Times New Roman"/>
          <w:color w:val="000000"/>
          <w:kern w:val="0"/>
          <w:sz w:val="32"/>
          <w:szCs w:val="32"/>
          <w:highlight w:val="none"/>
          <w:shd w:val="clear" w:color="auto" w:fill="FFFFFF"/>
          <w:lang w:val="en-US" w:eastAsia="zh-CN" w:bidi="ar-SA"/>
        </w:rPr>
        <w:t>开展</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全县160余名副县级干部体检工作及全县1800余名干部职工档案数字化加工，</w:t>
      </w:r>
      <w:r>
        <w:rPr>
          <w:rFonts w:ascii="Times New Roman" w:hAnsi="Times New Roman" w:eastAsia="仿宋_GB2312" w:cs="Times New Roman"/>
          <w:color w:val="000000"/>
          <w:kern w:val="0"/>
          <w:sz w:val="32"/>
          <w:szCs w:val="32"/>
          <w:highlight w:val="none"/>
          <w:shd w:val="clear" w:color="auto" w:fill="FFFFFF"/>
          <w:lang w:val="en-US" w:eastAsia="zh-CN" w:bidi="ar-SA"/>
        </w:rPr>
        <w:t>完成县人才公寓维护维修，</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有序完成全县干部考察、招录等工作。</w:t>
      </w:r>
      <w:r>
        <w:rPr>
          <w:rFonts w:hint="eastAsia" w:cs="Times New Roman"/>
          <w:color w:val="000000"/>
          <w:kern w:val="0"/>
          <w:sz w:val="32"/>
          <w:szCs w:val="32"/>
          <w:highlight w:val="none"/>
          <w:shd w:val="clear" w:color="auto" w:fill="FFFFFF"/>
          <w:lang w:val="en-US" w:eastAsia="zh-CN" w:bidi="ar-SA"/>
        </w:rPr>
        <w:t>目标设置科学合理、规范完整、量化细化、预算匹配。自评得4分；</w:t>
      </w:r>
      <w:r>
        <w:rPr>
          <w:rFonts w:hint="eastAsia" w:cs="Times New Roman"/>
          <w:b/>
          <w:bCs/>
          <w:color w:val="000000"/>
          <w:kern w:val="0"/>
          <w:sz w:val="32"/>
          <w:szCs w:val="32"/>
          <w:highlight w:val="none"/>
          <w:shd w:val="clear" w:color="auto" w:fill="FFFFFF"/>
          <w:lang w:val="en-US" w:eastAsia="zh-CN" w:bidi="ar-SA"/>
        </w:rPr>
        <w:t>三是</w:t>
      </w:r>
      <w:r>
        <w:rPr>
          <w:rFonts w:hint="eastAsia" w:cs="Times New Roman"/>
          <w:color w:val="000000"/>
          <w:kern w:val="0"/>
          <w:sz w:val="32"/>
          <w:szCs w:val="32"/>
          <w:highlight w:val="none"/>
          <w:shd w:val="clear" w:color="auto" w:fill="FFFFFF"/>
          <w:lang w:val="en-US" w:eastAsia="zh-CN" w:bidi="ar-SA"/>
        </w:rPr>
        <w:t>项目入库：</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各项目按照预期目标完整、</w:t>
      </w:r>
      <w:r>
        <w:rPr>
          <w:rFonts w:hint="eastAsia" w:cs="Times New Roman"/>
          <w:color w:val="000000"/>
          <w:kern w:val="0"/>
          <w:sz w:val="32"/>
          <w:szCs w:val="32"/>
          <w:highlight w:val="none"/>
          <w:shd w:val="clear" w:color="auto" w:fill="FFFFFF"/>
          <w:lang w:val="en-US" w:eastAsia="zh-CN" w:bidi="ar-SA"/>
        </w:rPr>
        <w:t>经济活动</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真实入库管理</w:t>
      </w:r>
      <w:r>
        <w:rPr>
          <w:rFonts w:ascii="Times New Roman" w:hAnsi="Times New Roman" w:eastAsia="仿宋_GB2312" w:cs="Times New Roman"/>
          <w:color w:val="000000"/>
          <w:kern w:val="0"/>
          <w:sz w:val="32"/>
          <w:szCs w:val="32"/>
          <w:highlight w:val="none"/>
          <w:shd w:val="clear" w:color="auto" w:fill="FFFFFF"/>
          <w:lang w:val="en-US" w:eastAsia="zh-CN" w:bidi="ar-SA"/>
        </w:rPr>
        <w:t>，按照工作职能进行归类管理，</w:t>
      </w:r>
      <w:r>
        <w:rPr>
          <w:rFonts w:hint="eastAsia" w:cs="Times New Roman"/>
          <w:color w:val="000000"/>
          <w:kern w:val="0"/>
          <w:sz w:val="32"/>
          <w:szCs w:val="32"/>
          <w:highlight w:val="none"/>
          <w:shd w:val="clear" w:color="auto" w:fill="FFFFFF"/>
          <w:lang w:val="en-US" w:eastAsia="zh-CN" w:bidi="ar-SA"/>
        </w:rPr>
        <w:t>自评得</w:t>
      </w:r>
      <w:r>
        <w:rPr>
          <w:rFonts w:cs="Times New Roman"/>
          <w:color w:val="000000"/>
          <w:kern w:val="0"/>
          <w:sz w:val="32"/>
          <w:szCs w:val="32"/>
          <w:highlight w:val="none"/>
          <w:shd w:val="clear" w:color="auto" w:fill="FFFFFF"/>
          <w:lang w:val="en-US" w:eastAsia="zh-CN" w:bidi="ar-SA"/>
        </w:rPr>
        <w:t>4分，</w:t>
      </w:r>
      <w:r>
        <w:rPr>
          <w:rFonts w:hint="eastAsia" w:cs="Times New Roman"/>
          <w:color w:val="000000"/>
          <w:kern w:val="0"/>
          <w:sz w:val="32"/>
          <w:szCs w:val="32"/>
          <w:highlight w:val="none"/>
          <w:shd w:val="clear" w:color="auto" w:fill="FFFFFF"/>
          <w:lang w:val="en-US" w:eastAsia="zh-CN" w:bidi="ar-SA"/>
        </w:rPr>
        <w:t>目决策总体得1</w:t>
      </w:r>
      <w:r>
        <w:rPr>
          <w:rFonts w:cs="Times New Roman"/>
          <w:color w:val="000000"/>
          <w:kern w:val="0"/>
          <w:sz w:val="32"/>
          <w:szCs w:val="32"/>
          <w:highlight w:val="none"/>
          <w:shd w:val="clear" w:color="auto" w:fill="FFFFFF"/>
          <w:lang w:val="en-US" w:eastAsia="zh-CN" w:bidi="ar-SA"/>
        </w:rPr>
        <w:t>2分。</w:t>
      </w:r>
    </w:p>
    <w:p>
      <w:pPr>
        <w:keepNext w:val="0"/>
        <w:keepLines w:val="0"/>
        <w:pageBreakBefore w:val="0"/>
        <w:widowControl w:val="0"/>
        <w:kinsoku/>
        <w:wordWrap/>
        <w:overflowPunct/>
        <w:topLinePunct w:val="0"/>
        <w:autoSpaceDE/>
        <w:autoSpaceDN/>
        <w:bidi w:val="0"/>
        <w:spacing w:beforeAutospacing="0" w:afterAutospacing="0" w:line="560" w:lineRule="exact"/>
        <w:ind w:left="0" w:firstLine="640" w:firstLineChars="200"/>
        <w:rPr>
          <w:rFonts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2.项目执行</w:t>
      </w:r>
      <w:r>
        <w:rPr>
          <w:rFonts w:hint="eastAsia" w:ascii="楷体_GB2312" w:eastAsia="楷体_GB2312" w:cs="楷体_GB2312"/>
          <w:color w:val="000000"/>
          <w:kern w:val="0"/>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spacing w:beforeAutospacing="0" w:afterAutospacing="0" w:line="560" w:lineRule="exact"/>
        <w:ind w:left="0" w:firstLine="642" w:firstLineChars="200"/>
        <w:rPr>
          <w:rFonts w:hint="eastAsia" w:ascii="楷体_GB2312" w:eastAsia="楷体_GB2312" w:cs="楷体_GB2312"/>
          <w:color w:val="000000"/>
          <w:kern w:val="0"/>
          <w:szCs w:val="32"/>
          <w:shd w:val="clear" w:color="auto" w:fill="FFFFFF"/>
          <w:lang w:val="zh-CN"/>
        </w:rPr>
      </w:pPr>
      <w:r>
        <w:rPr>
          <w:rFonts w:hint="eastAsia" w:ascii="仿宋_GB2312" w:cs="仿宋_GB2312"/>
          <w:b/>
          <w:bCs/>
          <w:color w:val="auto"/>
          <w:sz w:val="32"/>
          <w:szCs w:val="32"/>
          <w:lang w:val="zh-CN" w:eastAsia="zh-CN"/>
        </w:rPr>
        <w:t>一是</w:t>
      </w:r>
      <w:r>
        <w:rPr>
          <w:rFonts w:hint="eastAsia" w:ascii="仿宋_GB2312" w:cs="仿宋_GB2312"/>
          <w:color w:val="auto"/>
          <w:sz w:val="32"/>
          <w:szCs w:val="32"/>
          <w:lang w:val="zh-CN" w:eastAsia="zh-CN"/>
        </w:rPr>
        <w:t>执行同向：</w:t>
      </w:r>
      <w:r>
        <w:rPr>
          <w:rFonts w:hint="eastAsia" w:ascii="仿宋_GB2312" w:cs="仿宋_GB2312"/>
          <w:color w:val="auto"/>
          <w:sz w:val="32"/>
          <w:szCs w:val="32"/>
          <w:lang w:val="en-US" w:eastAsia="zh-CN"/>
        </w:rPr>
        <w:t>202</w:t>
      </w:r>
      <w:r>
        <w:rPr>
          <w:rFonts w:ascii="仿宋_GB2312" w:cs="仿宋_GB2312"/>
          <w:color w:val="auto"/>
          <w:sz w:val="32"/>
          <w:szCs w:val="32"/>
          <w:lang w:val="en-US" w:eastAsia="zh-CN"/>
        </w:rPr>
        <w:t>5</w:t>
      </w:r>
      <w:r>
        <w:rPr>
          <w:rFonts w:hint="eastAsia" w:ascii="仿宋_GB2312" w:cs="仿宋_GB2312"/>
          <w:color w:val="auto"/>
          <w:sz w:val="32"/>
          <w:szCs w:val="32"/>
          <w:lang w:val="en-US" w:eastAsia="zh-CN"/>
        </w:rPr>
        <w:t>年度我部门实际列支项目与绩效预算阶段项目相符，预算节约率小于10%，</w:t>
      </w:r>
      <w:r>
        <w:rPr>
          <w:rFonts w:ascii="仿宋_GB2312" w:cs="仿宋_GB2312"/>
          <w:color w:val="auto"/>
          <w:sz w:val="32"/>
          <w:szCs w:val="32"/>
          <w:lang w:val="en-US" w:eastAsia="zh-CN"/>
        </w:rPr>
        <w:t>绩效目标不够细化，中期调整预算项目绩效目标未及时更新，自评</w:t>
      </w:r>
      <w:r>
        <w:rPr>
          <w:rFonts w:hint="eastAsia" w:ascii="仿宋_GB2312" w:cs="仿宋_GB2312"/>
          <w:color w:val="auto"/>
          <w:sz w:val="32"/>
          <w:szCs w:val="32"/>
          <w:lang w:val="en-US" w:eastAsia="zh-CN"/>
        </w:rPr>
        <w:t>得4分</w:t>
      </w:r>
      <w:r>
        <w:rPr>
          <w:rFonts w:ascii="仿宋_GB2312" w:cs="仿宋_GB2312"/>
          <w:color w:val="auto"/>
          <w:sz w:val="32"/>
          <w:szCs w:val="32"/>
          <w:lang w:val="en-US" w:eastAsia="zh-CN"/>
        </w:rPr>
        <w:t>，扣2分</w:t>
      </w:r>
      <w:r>
        <w:rPr>
          <w:rFonts w:hint="eastAsia" w:ascii="仿宋_GB2312" w:cs="仿宋_GB2312"/>
          <w:color w:val="auto"/>
          <w:sz w:val="32"/>
          <w:szCs w:val="32"/>
          <w:lang w:val="en-US" w:eastAsia="zh-CN"/>
        </w:rPr>
        <w:t>；</w:t>
      </w:r>
      <w:r>
        <w:rPr>
          <w:rFonts w:hint="eastAsia" w:ascii="仿宋_GB2312" w:cs="仿宋_GB2312"/>
          <w:b/>
          <w:bCs/>
          <w:color w:val="auto"/>
          <w:sz w:val="32"/>
          <w:szCs w:val="32"/>
          <w:lang w:val="en-US" w:eastAsia="zh-CN"/>
        </w:rPr>
        <w:t>二是</w:t>
      </w:r>
      <w:r>
        <w:rPr>
          <w:rFonts w:hint="eastAsia" w:ascii="仿宋_GB2312" w:cs="仿宋_GB2312"/>
          <w:color w:val="auto"/>
          <w:sz w:val="32"/>
          <w:szCs w:val="32"/>
          <w:lang w:val="en-US" w:eastAsia="zh-CN"/>
        </w:rPr>
        <w:t>项目调整：项目执行进度有序推进，完成绩效目标100%，无应采取未采取收回预算、年末根据资金使用进度调整结余资金为其他项目报财政审核后执行，得4分；</w:t>
      </w:r>
      <w:r>
        <w:rPr>
          <w:rFonts w:hint="eastAsia" w:ascii="仿宋_GB2312" w:cs="仿宋_GB2312"/>
          <w:b/>
          <w:bCs/>
          <w:color w:val="auto"/>
          <w:sz w:val="32"/>
          <w:szCs w:val="32"/>
          <w:lang w:val="en-US" w:eastAsia="zh-CN"/>
        </w:rPr>
        <w:t>三是</w:t>
      </w:r>
      <w:r>
        <w:rPr>
          <w:rFonts w:hint="eastAsia" w:ascii="仿宋_GB2312" w:cs="仿宋_GB2312"/>
          <w:color w:val="auto"/>
          <w:sz w:val="32"/>
          <w:szCs w:val="32"/>
          <w:lang w:val="en-US" w:eastAsia="zh-CN"/>
        </w:rPr>
        <w:t>执行结果：预算执行完成各项目标，</w:t>
      </w:r>
      <w:r>
        <w:rPr>
          <w:rFonts w:hint="eastAsia"/>
          <w:lang w:val="en-US" w:eastAsia="zh-CN"/>
        </w:rPr>
        <w:t>但</w:t>
      </w:r>
      <w:r>
        <w:rPr>
          <w:rFonts w:hint="eastAsia" w:ascii="仿宋_GB2312" w:cs="仿宋_GB2312"/>
          <w:color w:val="auto"/>
          <w:sz w:val="32"/>
          <w:szCs w:val="32"/>
          <w:lang w:val="en-US" w:eastAsia="zh-CN"/>
        </w:rPr>
        <w:t>部门项目多涉及人员补助类项目，导致资金支付进度上半年支付进度慢，下半年集中支付率较高，故扣2分，得2分。项目执行总体自评得分</w:t>
      </w:r>
      <w:r>
        <w:rPr>
          <w:rFonts w:ascii="仿宋_GB2312" w:cs="仿宋_GB2312"/>
          <w:color w:val="auto"/>
          <w:sz w:val="32"/>
          <w:szCs w:val="32"/>
          <w:lang w:val="en-US" w:eastAsia="zh-CN"/>
        </w:rPr>
        <w:t>8</w:t>
      </w:r>
      <w:r>
        <w:rPr>
          <w:rFonts w:hint="eastAsia" w:ascii="仿宋_GB2312" w:cs="仿宋_GB2312"/>
          <w:color w:val="auto"/>
          <w:sz w:val="32"/>
          <w:szCs w:val="32"/>
          <w:lang w:val="en-US" w:eastAsia="zh-CN"/>
        </w:rPr>
        <w:t>分。</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rPr>
          <w:rFonts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3.</w:t>
      </w:r>
      <w:r>
        <w:rPr>
          <w:rFonts w:hint="eastAsia" w:ascii="楷体_GB2312" w:eastAsia="楷体_GB2312" w:cs="楷体_GB2312"/>
          <w:color w:val="000000"/>
          <w:kern w:val="0"/>
          <w:szCs w:val="32"/>
          <w:highlight w:val="none"/>
          <w:shd w:val="clear" w:color="auto" w:fill="FFFFFF"/>
          <w:lang w:val="zh-CN"/>
        </w:rPr>
        <w:t>目标实现。</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rPr>
          <w:rFonts w:hint="eastAsia" w:ascii="楷体_GB2312" w:hAnsi="楷体_GB2312" w:eastAsia="仿宋_GB2312" w:cs="楷体_GB2312"/>
          <w:color w:val="000000"/>
          <w:kern w:val="0"/>
          <w:szCs w:val="32"/>
          <w:highlight w:val="none"/>
          <w:shd w:val="clear" w:color="auto" w:fill="FFFFFF"/>
          <w:lang w:val="en-US" w:eastAsia="zh-CN"/>
        </w:rPr>
      </w:pPr>
      <w:r>
        <w:rPr>
          <w:rFonts w:ascii="仿宋_GB2312" w:cs="仿宋_GB2312"/>
          <w:b/>
          <w:bCs/>
          <w:color w:val="auto"/>
          <w:sz w:val="32"/>
          <w:szCs w:val="32"/>
          <w:lang w:val="en-US" w:eastAsia="zh-CN"/>
        </w:rPr>
        <w:t>一</w:t>
      </w:r>
      <w:r>
        <w:rPr>
          <w:rFonts w:hint="eastAsia" w:ascii="仿宋_GB2312" w:cs="仿宋_GB2312"/>
          <w:b/>
          <w:bCs/>
          <w:color w:val="auto"/>
          <w:sz w:val="32"/>
          <w:szCs w:val="32"/>
          <w:lang w:val="en-US" w:eastAsia="zh-CN"/>
        </w:rPr>
        <w:t>是</w:t>
      </w:r>
      <w:r>
        <w:rPr>
          <w:rFonts w:hint="eastAsia" w:ascii="仿宋_GB2312" w:cs="仿宋_GB2312"/>
          <w:color w:val="auto"/>
          <w:sz w:val="32"/>
          <w:szCs w:val="32"/>
          <w:lang w:val="en-US" w:eastAsia="zh-CN"/>
        </w:rPr>
        <w:t>目标完成：</w:t>
      </w:r>
      <w:r>
        <w:rPr>
          <w:rFonts w:ascii="仿宋_GB2312" w:cs="仿宋_GB2312"/>
          <w:color w:val="auto"/>
          <w:sz w:val="32"/>
          <w:szCs w:val="32"/>
          <w:lang w:val="en-US" w:eastAsia="zh-CN"/>
        </w:rPr>
        <w:t>年初</w:t>
      </w:r>
      <w:r>
        <w:rPr>
          <w:rFonts w:hint="eastAsia" w:ascii="仿宋_GB2312" w:cs="仿宋_GB2312"/>
          <w:color w:val="auto"/>
          <w:sz w:val="32"/>
          <w:szCs w:val="32"/>
          <w:lang w:val="en-US" w:eastAsia="zh-CN"/>
        </w:rPr>
        <w:t>目标设立清晰，</w:t>
      </w:r>
      <w:r>
        <w:rPr>
          <w:rFonts w:ascii="仿宋_GB2312" w:cs="仿宋_GB2312"/>
          <w:color w:val="auto"/>
          <w:sz w:val="32"/>
          <w:szCs w:val="32"/>
          <w:lang w:val="en-US" w:eastAsia="zh-CN"/>
        </w:rPr>
        <w:t>年底未完成三老人员体检工作，导致三老人员体检费执行率差，目标未实现，自评</w:t>
      </w:r>
      <w:r>
        <w:rPr>
          <w:rFonts w:hint="eastAsia" w:ascii="仿宋_GB2312" w:cs="仿宋_GB2312"/>
          <w:color w:val="auto"/>
          <w:sz w:val="32"/>
          <w:szCs w:val="32"/>
          <w:lang w:val="en-US" w:eastAsia="zh-CN"/>
        </w:rPr>
        <w:t>得</w:t>
      </w:r>
      <w:r>
        <w:rPr>
          <w:rFonts w:ascii="仿宋_GB2312" w:cs="仿宋_GB2312"/>
          <w:color w:val="auto"/>
          <w:sz w:val="32"/>
          <w:szCs w:val="32"/>
          <w:lang w:val="en-US" w:eastAsia="zh-CN"/>
        </w:rPr>
        <w:t>3</w:t>
      </w:r>
      <w:r>
        <w:rPr>
          <w:rFonts w:hint="eastAsia" w:ascii="仿宋_GB2312" w:cs="仿宋_GB2312"/>
          <w:color w:val="auto"/>
          <w:sz w:val="32"/>
          <w:szCs w:val="32"/>
          <w:lang w:val="en-US" w:eastAsia="zh-CN"/>
        </w:rPr>
        <w:t>分</w:t>
      </w:r>
      <w:r>
        <w:rPr>
          <w:rFonts w:ascii="仿宋_GB2312" w:cs="仿宋_GB2312"/>
          <w:color w:val="auto"/>
          <w:sz w:val="32"/>
          <w:szCs w:val="32"/>
          <w:lang w:val="en-US" w:eastAsia="zh-CN"/>
        </w:rPr>
        <w:t>，</w:t>
      </w:r>
      <w:r>
        <w:rPr>
          <w:rFonts w:hint="eastAsia" w:cs="Times New Roman"/>
          <w:color w:val="000000"/>
          <w:kern w:val="0"/>
          <w:sz w:val="32"/>
          <w:szCs w:val="32"/>
          <w:highlight w:val="none"/>
          <w:shd w:val="clear" w:color="auto" w:fill="FFFFFF"/>
          <w:lang w:val="en-US" w:eastAsia="zh-CN" w:bidi="ar-SA"/>
        </w:rPr>
        <w:t>自评得</w:t>
      </w:r>
      <w:r>
        <w:rPr>
          <w:rFonts w:cs="Times New Roman"/>
          <w:color w:val="000000"/>
          <w:kern w:val="0"/>
          <w:sz w:val="32"/>
          <w:szCs w:val="32"/>
          <w:highlight w:val="none"/>
          <w:shd w:val="clear" w:color="auto" w:fill="FFFFFF"/>
          <w:lang w:val="en-US" w:eastAsia="zh-CN" w:bidi="ar-SA"/>
        </w:rPr>
        <w:t>3分，</w:t>
      </w:r>
      <w:r>
        <w:rPr>
          <w:rFonts w:ascii="仿宋_GB2312" w:cs="仿宋_GB2312"/>
          <w:color w:val="auto"/>
          <w:sz w:val="32"/>
          <w:szCs w:val="32"/>
          <w:lang w:val="en-US" w:eastAsia="zh-CN"/>
        </w:rPr>
        <w:t>扣1分。</w:t>
      </w:r>
      <w:r>
        <w:rPr>
          <w:rFonts w:ascii="楷体_GB2312" w:eastAsia="楷体_GB2312" w:cs="楷体_GB2312"/>
          <w:b/>
          <w:bCs/>
          <w:color w:val="000000"/>
          <w:kern w:val="0"/>
          <w:szCs w:val="32"/>
          <w:highlight w:val="none"/>
          <w:shd w:val="clear" w:color="auto" w:fill="FFFFFF"/>
          <w:lang w:val="zh-CN"/>
        </w:rPr>
        <w:t>二</w:t>
      </w:r>
      <w:r>
        <w:rPr>
          <w:rFonts w:hint="eastAsia" w:ascii="楷体_GB2312" w:eastAsia="楷体_GB2312" w:cs="楷体_GB2312"/>
          <w:b/>
          <w:bCs/>
          <w:color w:val="000000"/>
          <w:kern w:val="0"/>
          <w:szCs w:val="32"/>
          <w:highlight w:val="none"/>
          <w:shd w:val="clear" w:color="auto" w:fill="FFFFFF"/>
          <w:lang w:val="zh-CN"/>
        </w:rPr>
        <w:t>是</w:t>
      </w:r>
      <w:r>
        <w:rPr>
          <w:rFonts w:hint="eastAsia" w:ascii="楷体_GB2312" w:eastAsia="楷体_GB2312" w:cs="楷体_GB2312"/>
          <w:color w:val="000000"/>
          <w:kern w:val="0"/>
          <w:szCs w:val="32"/>
          <w:highlight w:val="none"/>
          <w:shd w:val="clear" w:color="auto" w:fill="FFFFFF"/>
          <w:lang w:val="zh-CN"/>
        </w:rPr>
        <w:t>目标偏离：</w:t>
      </w:r>
      <w:r>
        <w:rPr>
          <w:rFonts w:hint="eastAsia" w:cs="Times New Roman"/>
          <w:color w:val="000000"/>
          <w:kern w:val="0"/>
          <w:szCs w:val="32"/>
          <w:highlight w:val="none"/>
          <w:shd w:val="clear" w:color="auto" w:fill="FFFFFF"/>
          <w:lang w:val="zh-CN"/>
        </w:rPr>
        <w:t>预算项目绩效目标与实际有偏差，如</w:t>
      </w:r>
      <w:r>
        <w:rPr>
          <w:rFonts w:cs="Times New Roman"/>
          <w:color w:val="000000"/>
          <w:kern w:val="0"/>
          <w:szCs w:val="32"/>
          <w:highlight w:val="none"/>
          <w:shd w:val="clear" w:color="auto" w:fill="FFFFFF"/>
          <w:lang w:val="zh-CN"/>
        </w:rPr>
        <w:t>选调生到村任职专项资金与计划方案有偏差，导致专项资金结余率较高；关心帮扶人数每年申报无法精确预测，导致人数有偏差</w:t>
      </w:r>
      <w:r>
        <w:rPr>
          <w:rFonts w:hint="eastAsia" w:cs="Times New Roman"/>
          <w:color w:val="000000"/>
          <w:kern w:val="0"/>
          <w:szCs w:val="32"/>
          <w:highlight w:val="none"/>
          <w:shd w:val="clear" w:color="auto" w:fill="FFFFFF"/>
          <w:lang w:val="en-US" w:eastAsia="zh-CN"/>
        </w:rPr>
        <w:t>。其余项目均按目标完成无偏差，</w:t>
      </w:r>
      <w:r>
        <w:rPr>
          <w:rFonts w:ascii="仿宋_GB2312" w:cs="仿宋_GB2312"/>
          <w:color w:val="auto"/>
          <w:sz w:val="32"/>
          <w:szCs w:val="32"/>
          <w:lang w:val="en-US" w:eastAsia="zh-CN"/>
        </w:rPr>
        <w:t>自评</w:t>
      </w:r>
      <w:r>
        <w:rPr>
          <w:rFonts w:hint="eastAsia" w:ascii="仿宋_GB2312" w:cs="仿宋_GB2312"/>
          <w:color w:val="auto"/>
          <w:sz w:val="32"/>
          <w:szCs w:val="32"/>
          <w:lang w:val="en-US" w:eastAsia="zh-CN"/>
        </w:rPr>
        <w:t>得</w:t>
      </w:r>
      <w:r>
        <w:rPr>
          <w:rFonts w:ascii="仿宋_GB2312" w:cs="仿宋_GB2312"/>
          <w:color w:val="auto"/>
          <w:sz w:val="32"/>
          <w:szCs w:val="32"/>
          <w:lang w:val="en-US" w:eastAsia="zh-CN"/>
        </w:rPr>
        <w:t>3</w:t>
      </w:r>
      <w:r>
        <w:rPr>
          <w:rFonts w:hint="eastAsia" w:ascii="仿宋_GB2312" w:cs="仿宋_GB2312"/>
          <w:color w:val="auto"/>
          <w:sz w:val="32"/>
          <w:szCs w:val="32"/>
          <w:lang w:val="en-US" w:eastAsia="zh-CN"/>
        </w:rPr>
        <w:t>分</w:t>
      </w:r>
      <w:r>
        <w:rPr>
          <w:rFonts w:ascii="仿宋_GB2312" w:cs="仿宋_GB2312"/>
          <w:color w:val="auto"/>
          <w:sz w:val="32"/>
          <w:szCs w:val="32"/>
          <w:lang w:val="en-US" w:eastAsia="zh-CN"/>
        </w:rPr>
        <w:t>，</w:t>
      </w:r>
      <w:r>
        <w:rPr>
          <w:rFonts w:hint="eastAsia" w:cs="Times New Roman"/>
          <w:color w:val="000000"/>
          <w:kern w:val="0"/>
          <w:szCs w:val="32"/>
          <w:highlight w:val="none"/>
          <w:shd w:val="clear" w:color="auto" w:fill="FFFFFF"/>
          <w:lang w:val="en-US" w:eastAsia="zh-CN"/>
        </w:rPr>
        <w:t>故扣1分。</w:t>
      </w:r>
      <w:r>
        <w:rPr>
          <w:rFonts w:cs="Times New Roman"/>
          <w:color w:val="000000"/>
          <w:kern w:val="0"/>
          <w:szCs w:val="32"/>
          <w:highlight w:val="none"/>
          <w:shd w:val="clear" w:color="auto" w:fill="FFFFFF"/>
          <w:lang w:val="en-US" w:eastAsia="zh-CN"/>
        </w:rPr>
        <w:t>三</w:t>
      </w:r>
      <w:r>
        <w:rPr>
          <w:rFonts w:hint="eastAsia" w:cs="Times New Roman"/>
          <w:b/>
          <w:bCs/>
          <w:color w:val="000000"/>
          <w:kern w:val="0"/>
          <w:szCs w:val="32"/>
          <w:highlight w:val="none"/>
          <w:shd w:val="clear" w:color="auto" w:fill="FFFFFF"/>
          <w:lang w:val="en-US" w:eastAsia="zh-CN"/>
        </w:rPr>
        <w:t>是</w:t>
      </w:r>
      <w:r>
        <w:rPr>
          <w:rFonts w:hint="eastAsia" w:cs="Times New Roman"/>
          <w:color w:val="000000"/>
          <w:kern w:val="0"/>
          <w:szCs w:val="32"/>
          <w:highlight w:val="none"/>
          <w:shd w:val="clear" w:color="auto" w:fill="FFFFFF"/>
          <w:lang w:val="en-US" w:eastAsia="zh-CN"/>
        </w:rPr>
        <w:t>项目实现效果好，补助对象满意、项目执行好评率高、</w:t>
      </w:r>
      <w:r>
        <w:rPr>
          <w:rFonts w:cs="Times New Roman"/>
          <w:color w:val="000000"/>
          <w:kern w:val="0"/>
          <w:szCs w:val="32"/>
          <w:highlight w:val="none"/>
          <w:shd w:val="clear" w:color="auto" w:fill="FFFFFF"/>
          <w:lang w:val="en-US" w:eastAsia="zh-CN"/>
        </w:rPr>
        <w:t>绩效</w:t>
      </w:r>
      <w:r>
        <w:rPr>
          <w:rFonts w:hint="eastAsia" w:cs="Times New Roman"/>
          <w:color w:val="000000"/>
          <w:kern w:val="0"/>
          <w:szCs w:val="32"/>
          <w:highlight w:val="none"/>
          <w:shd w:val="clear" w:color="auto" w:fill="FFFFFF"/>
          <w:lang w:val="en-US" w:eastAsia="zh-CN"/>
        </w:rPr>
        <w:t>目标</w:t>
      </w:r>
      <w:r>
        <w:rPr>
          <w:rFonts w:cs="Times New Roman"/>
          <w:color w:val="000000"/>
          <w:kern w:val="0"/>
          <w:szCs w:val="32"/>
          <w:highlight w:val="none"/>
          <w:shd w:val="clear" w:color="auto" w:fill="FFFFFF"/>
          <w:lang w:val="en-US" w:eastAsia="zh-CN"/>
        </w:rPr>
        <w:t>效益好</w:t>
      </w:r>
      <w:r>
        <w:rPr>
          <w:rFonts w:hint="eastAsia" w:cs="Times New Roman"/>
          <w:color w:val="000000"/>
          <w:kern w:val="0"/>
          <w:szCs w:val="32"/>
          <w:highlight w:val="none"/>
          <w:shd w:val="clear" w:color="auto" w:fill="FFFFFF"/>
          <w:lang w:val="en-US" w:eastAsia="zh-CN"/>
        </w:rPr>
        <w:t>。3</w:t>
      </w:r>
      <w:r>
        <w:rPr>
          <w:rFonts w:hint="eastAsia" w:cs="Times New Roman"/>
          <w:color w:val="000000"/>
          <w:kern w:val="0"/>
          <w:szCs w:val="32"/>
          <w:highlight w:val="none"/>
          <w:shd w:val="clear" w:color="auto" w:fill="FFFFFF"/>
          <w:lang w:val="zh-CN"/>
        </w:rPr>
        <w:t>个</w:t>
      </w:r>
      <w:r>
        <w:rPr>
          <w:rFonts w:cs="Times New Roman"/>
          <w:color w:val="000000"/>
          <w:kern w:val="0"/>
          <w:szCs w:val="32"/>
          <w:highlight w:val="none"/>
          <w:shd w:val="clear" w:color="auto" w:fill="FFFFFF"/>
          <w:lang w:val="zh-CN"/>
        </w:rPr>
        <w:t>大类</w:t>
      </w:r>
      <w:r>
        <w:rPr>
          <w:rFonts w:hint="eastAsia" w:cs="Times New Roman"/>
          <w:color w:val="000000"/>
          <w:kern w:val="0"/>
          <w:szCs w:val="32"/>
          <w:highlight w:val="none"/>
          <w:shd w:val="clear" w:color="auto" w:fill="FFFFFF"/>
          <w:lang w:val="zh-CN"/>
        </w:rPr>
        <w:t>项目指标实际完成均达到预期指标，</w:t>
      </w:r>
      <w:r>
        <w:rPr>
          <w:rFonts w:cs="Times New Roman"/>
          <w:color w:val="000000"/>
          <w:kern w:val="0"/>
          <w:szCs w:val="32"/>
          <w:highlight w:val="none"/>
          <w:shd w:val="clear" w:color="auto" w:fill="FFFFFF"/>
          <w:lang w:val="zh-CN"/>
        </w:rPr>
        <w:t>资金支付无拖欠、无浪费，</w:t>
      </w:r>
      <w:r>
        <w:rPr>
          <w:rFonts w:hint="eastAsia" w:cs="Times New Roman"/>
          <w:color w:val="000000"/>
          <w:kern w:val="0"/>
          <w:sz w:val="32"/>
          <w:szCs w:val="32"/>
          <w:highlight w:val="none"/>
          <w:shd w:val="clear" w:color="auto" w:fill="FFFFFF"/>
          <w:lang w:val="en-US" w:eastAsia="zh-CN" w:bidi="ar-SA"/>
        </w:rPr>
        <w:t>自评得</w:t>
      </w:r>
      <w:r>
        <w:rPr>
          <w:rFonts w:cs="Times New Roman"/>
          <w:color w:val="000000"/>
          <w:kern w:val="0"/>
          <w:sz w:val="32"/>
          <w:szCs w:val="32"/>
          <w:highlight w:val="none"/>
          <w:shd w:val="clear" w:color="auto" w:fill="FFFFFF"/>
          <w:lang w:val="en-US" w:eastAsia="zh-CN" w:bidi="ar-SA"/>
        </w:rPr>
        <w:t>3分。</w:t>
      </w:r>
      <w:r>
        <w:rPr>
          <w:rFonts w:hint="eastAsia" w:cs="Times New Roman"/>
          <w:color w:val="000000"/>
          <w:kern w:val="0"/>
          <w:szCs w:val="32"/>
          <w:highlight w:val="none"/>
          <w:shd w:val="clear" w:color="auto" w:fill="FFFFFF"/>
          <w:lang w:val="zh-CN"/>
        </w:rPr>
        <w:t>目标实现总体自评得分：</w:t>
      </w:r>
      <w:r>
        <w:rPr>
          <w:rFonts w:cs="Times New Roman"/>
          <w:color w:val="000000"/>
          <w:kern w:val="0"/>
          <w:szCs w:val="32"/>
          <w:highlight w:val="none"/>
          <w:shd w:val="clear" w:color="auto" w:fill="FFFFFF"/>
          <w:lang w:val="zh-CN"/>
        </w:rPr>
        <w:t>9</w:t>
      </w:r>
      <w:r>
        <w:rPr>
          <w:rFonts w:hint="eastAsia" w:cs="Times New Roman"/>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snapToGrid w:val="0"/>
        <w:spacing w:beforeAutospacing="0" w:afterAutospacing="0" w:line="560" w:lineRule="exact"/>
        <w:ind w:firstLine="642" w:firstLineChars="200"/>
        <w:textAlignment w:val="auto"/>
        <w:rPr>
          <w:rFonts w:hint="eastAsia" w:ascii="Times New Roman" w:hAnsi="Times New Roman" w:eastAsia="楷体_GB2312" w:cs="Times New Roman"/>
          <w:b/>
          <w:bCs/>
          <w:szCs w:val="32"/>
          <w:lang w:val="zh-CN"/>
        </w:rPr>
      </w:pPr>
      <w:r>
        <w:rPr>
          <w:rFonts w:ascii="Times New Roman" w:hAnsi="Times New Roman" w:eastAsia="楷体_GB2312" w:cs="Times New Roman"/>
          <w:b/>
          <w:bCs/>
          <w:color w:val="000000"/>
          <w:kern w:val="0"/>
          <w:szCs w:val="32"/>
          <w:highlight w:val="none"/>
          <w:shd w:val="clear" w:color="auto" w:fill="FFFFFF"/>
          <w:lang w:val="zh-CN"/>
        </w:rPr>
        <w:t>（</w:t>
      </w:r>
      <w:r>
        <w:rPr>
          <w:rFonts w:hint="eastAsia" w:eastAsia="楷体_GB2312" w:cs="Times New Roman"/>
          <w:b/>
          <w:bCs/>
          <w:color w:val="000000"/>
          <w:kern w:val="0"/>
          <w:szCs w:val="32"/>
          <w:highlight w:val="none"/>
          <w:shd w:val="clear" w:color="auto" w:fill="FFFFFF"/>
          <w:lang w:val="zh-CN"/>
        </w:rPr>
        <w:t>三</w:t>
      </w:r>
      <w:r>
        <w:rPr>
          <w:rFonts w:ascii="Times New Roman" w:hAnsi="Times New Roman" w:eastAsia="楷体_GB2312" w:cs="Times New Roman"/>
          <w:b/>
          <w:bCs/>
          <w:color w:val="000000"/>
          <w:kern w:val="0"/>
          <w:szCs w:val="32"/>
          <w:highlight w:val="none"/>
          <w:shd w:val="clear" w:color="auto" w:fill="FFFFFF"/>
          <w:lang w:val="zh-CN"/>
        </w:rPr>
        <w:t>）</w:t>
      </w:r>
      <w:r>
        <w:rPr>
          <w:rFonts w:ascii="Times New Roman" w:hAnsi="Times New Roman" w:eastAsia="楷体_GB2312" w:cs="Times New Roman"/>
          <w:b/>
          <w:bCs/>
          <w:szCs w:val="32"/>
          <w:lang w:val="zh-CN"/>
        </w:rPr>
        <w:t>绩效结果应用情况</w:t>
      </w:r>
      <w:r>
        <w:rPr>
          <w:rFonts w:hint="eastAsia" w:ascii="Times New Roman" w:hAnsi="Times New Roman" w:eastAsia="楷体_GB2312" w:cs="Times New Roman"/>
          <w:b/>
          <w:bCs/>
          <w:szCs w:val="32"/>
          <w:lang w:val="zh-CN"/>
        </w:rPr>
        <w:t>。</w:t>
      </w:r>
    </w:p>
    <w:p>
      <w:pPr>
        <w:keepNext w:val="0"/>
        <w:keepLines w:val="0"/>
        <w:pageBreakBefore w:val="0"/>
        <w:widowControl w:val="0"/>
        <w:kinsoku/>
        <w:wordWrap/>
        <w:overflowPunct/>
        <w:topLinePunct w:val="0"/>
        <w:autoSpaceDE/>
        <w:autoSpaceDN/>
        <w:bidi w:val="0"/>
        <w:snapToGrid w:val="0"/>
        <w:spacing w:beforeAutospacing="0" w:afterAutospacing="0" w:line="560" w:lineRule="exact"/>
        <w:ind w:firstLine="640" w:firstLineChars="200"/>
        <w:textAlignment w:val="auto"/>
        <w:rPr>
          <w:rFonts w:hint="eastAsia" w:cs="Times New Roman"/>
          <w:color w:val="000000"/>
          <w:kern w:val="0"/>
          <w:szCs w:val="32"/>
          <w:highlight w:val="none"/>
          <w:shd w:val="clear" w:color="auto" w:fill="FFFFFF"/>
          <w:lang w:val="zh-CN" w:eastAsia="zh-CN"/>
        </w:rPr>
      </w:pPr>
      <w:r>
        <w:rPr>
          <w:rFonts w:hint="eastAsia" w:ascii="楷体_GB2312" w:eastAsia="楷体_GB2312" w:cs="楷体_GB2312"/>
          <w:color w:val="000000"/>
          <w:kern w:val="0"/>
          <w:sz w:val="32"/>
          <w:szCs w:val="32"/>
          <w:highlight w:val="none"/>
          <w:shd w:val="clear" w:color="auto" w:fill="FFFFFF"/>
          <w:lang w:val="en-US" w:eastAsia="zh-CN" w:bidi="ar-SA"/>
        </w:rPr>
        <w:t>1.</w:t>
      </w:r>
      <w:r>
        <w:rPr>
          <w:rFonts w:hint="eastAsia" w:ascii="Times New Roman" w:hAnsi="Times New Roman" w:cs="Times New Roman"/>
          <w:color w:val="000000"/>
          <w:kern w:val="0"/>
          <w:szCs w:val="32"/>
          <w:highlight w:val="none"/>
          <w:shd w:val="clear" w:color="auto" w:fill="FFFFFF"/>
          <w:lang w:val="zh-CN" w:eastAsia="zh-CN"/>
        </w:rPr>
        <w:t>围绕内部应用情况</w:t>
      </w:r>
      <w:r>
        <w:rPr>
          <w:rFonts w:hint="eastAsia" w:cs="Times New Roman"/>
          <w:color w:val="000000"/>
          <w:kern w:val="0"/>
          <w:szCs w:val="32"/>
          <w:highlight w:val="none"/>
          <w:shd w:val="clear" w:color="auto" w:fill="FFFFFF"/>
          <w:lang w:val="zh-CN" w:eastAsia="zh-CN"/>
        </w:rPr>
        <w:t>：通过绩效目标的制定和评定，逐步完善部门的内控制度。</w:t>
      </w:r>
    </w:p>
    <w:p>
      <w:pPr>
        <w:keepNext w:val="0"/>
        <w:keepLines w:val="0"/>
        <w:pageBreakBefore w:val="0"/>
        <w:widowControl w:val="0"/>
        <w:kinsoku/>
        <w:wordWrap/>
        <w:overflowPunct/>
        <w:topLinePunct w:val="0"/>
        <w:autoSpaceDE/>
        <w:autoSpaceDN/>
        <w:bidi w:val="0"/>
        <w:snapToGrid w:val="0"/>
        <w:spacing w:beforeAutospacing="0" w:afterAutospacing="0" w:line="560" w:lineRule="exact"/>
        <w:ind w:firstLine="640" w:firstLineChars="200"/>
        <w:textAlignment w:val="auto"/>
        <w:rPr>
          <w:rFonts w:hint="eastAsia" w:cs="Times New Roman"/>
          <w:color w:val="000000"/>
          <w:kern w:val="0"/>
          <w:szCs w:val="32"/>
          <w:highlight w:val="none"/>
          <w:shd w:val="clear" w:color="auto" w:fill="FFFFFF"/>
          <w:lang w:val="zh-CN" w:eastAsia="zh-CN"/>
        </w:rPr>
      </w:pPr>
      <w:r>
        <w:rPr>
          <w:rFonts w:hint="eastAsia" w:cs="Times New Roman"/>
          <w:color w:val="000000"/>
          <w:kern w:val="0"/>
          <w:szCs w:val="32"/>
          <w:highlight w:val="none"/>
          <w:shd w:val="clear" w:color="auto" w:fill="FFFFFF"/>
          <w:lang w:val="en-US" w:eastAsia="zh-CN"/>
        </w:rPr>
        <w:t>2.</w:t>
      </w:r>
      <w:r>
        <w:rPr>
          <w:rFonts w:ascii="Times New Roman" w:hAnsi="Times New Roman" w:cs="Times New Roman"/>
          <w:color w:val="000000"/>
          <w:kern w:val="0"/>
          <w:szCs w:val="32"/>
          <w:highlight w:val="none"/>
          <w:shd w:val="clear" w:color="auto" w:fill="FFFFFF"/>
          <w:lang w:val="zh-CN" w:eastAsia="zh-CN"/>
        </w:rPr>
        <w:t>信息公开情况</w:t>
      </w:r>
      <w:r>
        <w:rPr>
          <w:rFonts w:hint="eastAsia" w:cs="Times New Roman"/>
          <w:color w:val="000000"/>
          <w:kern w:val="0"/>
          <w:szCs w:val="32"/>
          <w:highlight w:val="none"/>
          <w:shd w:val="clear" w:color="auto" w:fill="FFFFFF"/>
          <w:lang w:val="zh-CN" w:eastAsia="zh-CN"/>
        </w:rPr>
        <w:t>：信息公开完整真实，均按照财政要求及时公开预决算等信息。</w:t>
      </w:r>
    </w:p>
    <w:p>
      <w:pPr>
        <w:keepNext w:val="0"/>
        <w:keepLines w:val="0"/>
        <w:pageBreakBefore w:val="0"/>
        <w:widowControl w:val="0"/>
        <w:kinsoku/>
        <w:wordWrap/>
        <w:overflowPunct/>
        <w:topLinePunct w:val="0"/>
        <w:autoSpaceDE/>
        <w:autoSpaceDN/>
        <w:bidi w:val="0"/>
        <w:snapToGrid w:val="0"/>
        <w:spacing w:beforeAutospacing="0" w:afterAutospacing="0" w:line="560" w:lineRule="exact"/>
        <w:ind w:firstLine="640" w:firstLineChars="200"/>
        <w:textAlignment w:val="auto"/>
        <w:rPr>
          <w:rFonts w:ascii="仿宋_GB2312" w:eastAsia="仿宋_GB2312" w:cs="仿宋_GB2312"/>
          <w:b/>
          <w:bCs w:val="0"/>
          <w:szCs w:val="32"/>
          <w:lang w:val="en-US"/>
        </w:rPr>
      </w:pPr>
      <w:r>
        <w:rPr>
          <w:rFonts w:hint="eastAsia" w:cs="Times New Roman"/>
          <w:color w:val="000000"/>
          <w:kern w:val="0"/>
          <w:szCs w:val="32"/>
          <w:highlight w:val="none"/>
          <w:shd w:val="clear" w:color="auto" w:fill="FFFFFF"/>
          <w:lang w:val="en-US" w:eastAsia="zh-CN"/>
        </w:rPr>
        <w:t>3.</w:t>
      </w:r>
      <w:r>
        <w:rPr>
          <w:rFonts w:ascii="Times New Roman" w:hAnsi="Times New Roman" w:cs="Times New Roman"/>
          <w:color w:val="000000"/>
          <w:kern w:val="0"/>
          <w:szCs w:val="32"/>
          <w:highlight w:val="none"/>
          <w:shd w:val="clear" w:color="auto" w:fill="FFFFFF"/>
          <w:lang w:val="zh-CN" w:eastAsia="zh-CN"/>
        </w:rPr>
        <w:t>整改反馈情况</w:t>
      </w:r>
      <w:r>
        <w:rPr>
          <w:rFonts w:hint="eastAsia" w:cs="Times New Roman"/>
          <w:color w:val="000000"/>
          <w:kern w:val="0"/>
          <w:szCs w:val="32"/>
          <w:highlight w:val="none"/>
          <w:shd w:val="clear" w:color="auto" w:fill="FFFFFF"/>
          <w:lang w:val="zh-CN" w:eastAsia="zh-CN"/>
        </w:rPr>
        <w:t>进行分析：我单位</w:t>
      </w:r>
      <w:r>
        <w:rPr>
          <w:rFonts w:hint="eastAsia" w:cs="Times New Roman"/>
          <w:color w:val="000000"/>
          <w:kern w:val="0"/>
          <w:szCs w:val="32"/>
          <w:highlight w:val="none"/>
          <w:shd w:val="clear" w:color="auto" w:fill="FFFFFF"/>
          <w:lang w:val="en-US" w:eastAsia="zh-CN"/>
        </w:rPr>
        <w:t>202</w:t>
      </w:r>
      <w:r>
        <w:rPr>
          <w:rFonts w:cs="Times New Roman"/>
          <w:color w:val="000000"/>
          <w:kern w:val="0"/>
          <w:szCs w:val="32"/>
          <w:highlight w:val="none"/>
          <w:shd w:val="clear" w:color="auto" w:fill="FFFFFF"/>
          <w:lang w:val="en-US" w:eastAsia="zh-CN"/>
        </w:rPr>
        <w:t>5年接受县审计和财政绩效评价检查，根据反馈问题已</w:t>
      </w:r>
      <w:r>
        <w:rPr>
          <w:rFonts w:hint="eastAsia" w:cs="Times New Roman"/>
          <w:color w:val="000000"/>
          <w:kern w:val="0"/>
          <w:szCs w:val="32"/>
          <w:highlight w:val="none"/>
          <w:shd w:val="clear" w:color="auto" w:fill="FFFFFF"/>
          <w:lang w:val="en-US" w:eastAsia="zh-CN"/>
        </w:rPr>
        <w:t>及时整改，严格</w:t>
      </w:r>
      <w:r>
        <w:rPr>
          <w:rFonts w:cs="Times New Roman"/>
          <w:color w:val="000000"/>
          <w:kern w:val="0"/>
          <w:szCs w:val="32"/>
          <w:highlight w:val="none"/>
          <w:shd w:val="clear" w:color="auto" w:fill="FFFFFF"/>
          <w:lang w:val="en-US" w:eastAsia="zh-CN"/>
        </w:rPr>
        <w:t>规范部机关财务管理相关工作</w:t>
      </w:r>
      <w:r>
        <w:rPr>
          <w:rFonts w:hint="eastAsia" w:cs="Times New Roman"/>
          <w:color w:val="000000"/>
          <w:kern w:val="0"/>
          <w:szCs w:val="32"/>
          <w:highlight w:val="none"/>
          <w:shd w:val="clear" w:color="auto" w:fill="FFFFFF"/>
          <w:lang w:val="en-US" w:eastAsia="zh-CN"/>
        </w:rPr>
        <w:t>。</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200"/>
        <w:contextualSpacing/>
        <w:jc w:val="left"/>
        <w:textAlignment w:val="auto"/>
        <w:outlineLvl w:val="9"/>
        <w:rPr>
          <w:rFonts w:ascii="Times New Roman" w:hAnsi="Times New Roman" w:eastAsia="黑体" w:cs="Times New Roman"/>
          <w:color w:val="000000"/>
          <w:kern w:val="0"/>
          <w:szCs w:val="32"/>
          <w:highlight w:val="none"/>
          <w:shd w:val="clear" w:color="auto" w:fill="FFFFFF"/>
        </w:rPr>
      </w:pPr>
      <w:r>
        <w:rPr>
          <w:rFonts w:ascii="Times New Roman" w:hAnsi="Times New Roman" w:eastAsia="黑体" w:cs="Times New Roman"/>
          <w:color w:val="000000"/>
          <w:kern w:val="0"/>
          <w:szCs w:val="32"/>
          <w:highlight w:val="none"/>
          <w:shd w:val="clear" w:color="auto" w:fill="FFFFFF"/>
          <w:lang w:eastAsia="zh-CN"/>
        </w:rPr>
        <w:t>四、</w:t>
      </w:r>
      <w:r>
        <w:rPr>
          <w:rFonts w:ascii="Times New Roman" w:hAnsi="Times New Roman" w:eastAsia="黑体" w:cs="Times New Roman"/>
          <w:color w:val="000000"/>
          <w:kern w:val="0"/>
          <w:szCs w:val="32"/>
          <w:highlight w:val="none"/>
          <w:shd w:val="clear" w:color="auto" w:fill="FFFFFF"/>
        </w:rPr>
        <w:t>评价结论及建议</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2" w:firstLineChars="200"/>
        <w:contextualSpacing/>
        <w:jc w:val="left"/>
        <w:textAlignment w:val="auto"/>
        <w:outlineLvl w:val="9"/>
        <w:rPr>
          <w:rFonts w:hint="eastAsia" w:ascii="仿宋_GB2312" w:cs="仿宋_GB2312"/>
          <w:b w:val="0"/>
          <w:bCs w:val="0"/>
          <w:kern w:val="0"/>
          <w:position w:val="0"/>
          <w:sz w:val="32"/>
          <w:szCs w:val="32"/>
          <w:highlight w:val="none"/>
          <w:lang w:val="en-US" w:eastAsia="zh-CN" w:bidi="ar-SA"/>
        </w:rPr>
      </w:pPr>
      <w:r>
        <w:rPr>
          <w:rFonts w:ascii="Times New Roman" w:hAnsi="Times New Roman" w:eastAsia="楷体_GB2312" w:cs="Times New Roman"/>
          <w:b/>
          <w:bCs/>
          <w:color w:val="000000"/>
          <w:kern w:val="0"/>
          <w:szCs w:val="32"/>
          <w:highlight w:val="none"/>
          <w:shd w:val="clear" w:color="auto" w:fill="FFFFFF"/>
          <w:lang w:val="zh-CN"/>
        </w:rPr>
        <w:t>（一）评价结论。</w:t>
      </w:r>
      <w:r>
        <w:rPr>
          <w:rFonts w:hint="eastAsia" w:ascii="仿宋_GB2312" w:cs="仿宋_GB2312"/>
          <w:b w:val="0"/>
          <w:bCs w:val="0"/>
          <w:kern w:val="0"/>
          <w:position w:val="0"/>
          <w:sz w:val="32"/>
          <w:szCs w:val="32"/>
          <w:highlight w:val="none"/>
          <w:lang w:val="en-US" w:eastAsia="zh-CN" w:bidi="ar-SA"/>
        </w:rPr>
        <w:t>202</w:t>
      </w:r>
      <w:r>
        <w:rPr>
          <w:rFonts w:ascii="仿宋_GB2312" w:cs="仿宋_GB2312"/>
          <w:b w:val="0"/>
          <w:bCs w:val="0"/>
          <w:kern w:val="0"/>
          <w:position w:val="0"/>
          <w:sz w:val="32"/>
          <w:szCs w:val="32"/>
          <w:highlight w:val="none"/>
          <w:lang w:val="en-US" w:eastAsia="zh-CN" w:bidi="ar-SA"/>
        </w:rPr>
        <w:t>5</w:t>
      </w:r>
      <w:r>
        <w:rPr>
          <w:rFonts w:hint="eastAsia" w:ascii="仿宋_GB2312" w:cs="仿宋_GB2312"/>
          <w:b w:val="0"/>
          <w:bCs w:val="0"/>
          <w:kern w:val="0"/>
          <w:position w:val="0"/>
          <w:sz w:val="32"/>
          <w:szCs w:val="32"/>
          <w:highlight w:val="none"/>
          <w:lang w:val="en-US" w:eastAsia="zh-CN" w:bidi="ar-SA"/>
        </w:rPr>
        <w:t>年我部门在人大监督、巡视巡查、审计监督中未出现相关问题。在检查中积极配合对被评价部门。本部门在202</w:t>
      </w:r>
      <w:r>
        <w:rPr>
          <w:rFonts w:ascii="仿宋_GB2312" w:cs="仿宋_GB2312"/>
          <w:b w:val="0"/>
          <w:bCs w:val="0"/>
          <w:kern w:val="0"/>
          <w:position w:val="0"/>
          <w:sz w:val="32"/>
          <w:szCs w:val="32"/>
          <w:highlight w:val="none"/>
          <w:lang w:val="en-US" w:eastAsia="zh-CN" w:bidi="ar-SA"/>
        </w:rPr>
        <w:t>5</w:t>
      </w:r>
      <w:r>
        <w:rPr>
          <w:rFonts w:hint="eastAsia" w:ascii="仿宋_GB2312" w:cs="仿宋_GB2312"/>
          <w:b w:val="0"/>
          <w:bCs w:val="0"/>
          <w:kern w:val="0"/>
          <w:position w:val="0"/>
          <w:sz w:val="32"/>
          <w:szCs w:val="32"/>
          <w:highlight w:val="none"/>
          <w:lang w:val="en-US" w:eastAsia="zh-CN" w:bidi="ar-SA"/>
        </w:rPr>
        <w:t>年度自评得分：</w:t>
      </w:r>
      <w:r>
        <w:rPr>
          <w:rFonts w:ascii="仿宋_GB2312" w:cs="仿宋_GB2312"/>
          <w:b w:val="0"/>
          <w:bCs w:val="0"/>
          <w:kern w:val="0"/>
          <w:position w:val="0"/>
          <w:sz w:val="32"/>
          <w:szCs w:val="32"/>
          <w:highlight w:val="none"/>
          <w:lang w:val="en-US" w:eastAsia="zh-CN" w:bidi="ar-SA"/>
        </w:rPr>
        <w:t>87分</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rPr>
          <w:rFonts w:hint="eastAsia" w:ascii="宋体" w:eastAsia="宋体" w:cs="宋体"/>
          <w:i w:val="0"/>
          <w:caps w:val="0"/>
          <w:smallCaps w:val="0"/>
          <w:color w:val="000000"/>
          <w:spacing w:val="0"/>
          <w:sz w:val="24"/>
          <w:szCs w:val="24"/>
        </w:rPr>
      </w:pPr>
      <w:r>
        <w:rPr>
          <w:rFonts w:ascii="Times New Roman" w:hAnsi="Times New Roman" w:eastAsia="楷体_GB2312" w:cs="Times New Roman"/>
          <w:b/>
          <w:bCs/>
          <w:color w:val="000000"/>
          <w:kern w:val="0"/>
          <w:szCs w:val="32"/>
          <w:highlight w:val="none"/>
          <w:shd w:val="clear" w:color="auto" w:fill="FFFFFF"/>
          <w:lang w:val="zh-CN"/>
        </w:rPr>
        <w:t>（二）存在问题。</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200"/>
        <w:contextualSpacing/>
        <w:jc w:val="left"/>
        <w:textAlignment w:val="auto"/>
        <w:outlineLvl w:val="9"/>
        <w:rPr>
          <w:rFonts w:hint="eastAsia" w:ascii="仿宋_GB2312" w:cs="仿宋_GB2312"/>
          <w:b w:val="0"/>
          <w:bCs w:val="0"/>
          <w:kern w:val="0"/>
          <w:position w:val="0"/>
          <w:sz w:val="32"/>
          <w:szCs w:val="32"/>
          <w:highlight w:val="none"/>
          <w:lang w:val="en-US" w:eastAsia="zh-CN" w:bidi="ar-SA"/>
        </w:rPr>
      </w:pPr>
      <w:r>
        <w:rPr>
          <w:rFonts w:hint="eastAsia" w:ascii="仿宋_GB2312" w:cs="仿宋_GB2312"/>
          <w:b w:val="0"/>
          <w:bCs w:val="0"/>
          <w:kern w:val="0"/>
          <w:position w:val="0"/>
          <w:sz w:val="32"/>
          <w:szCs w:val="32"/>
          <w:highlight w:val="none"/>
          <w:lang w:val="en-US" w:eastAsia="zh-CN" w:bidi="ar-SA"/>
        </w:rPr>
        <w:t>一是预算编制准确度有待提高，存在中期追加、期末追减情况；二是固定资产卡片有未及时更新情况，</w:t>
      </w:r>
      <w:r>
        <w:rPr>
          <w:rFonts w:ascii="仿宋_GB2312" w:cs="仿宋_GB2312"/>
          <w:b w:val="0"/>
          <w:bCs w:val="0"/>
          <w:kern w:val="0"/>
          <w:position w:val="0"/>
          <w:sz w:val="32"/>
          <w:szCs w:val="32"/>
          <w:highlight w:val="none"/>
          <w:lang w:val="en-US" w:eastAsia="zh-CN" w:bidi="ar-SA"/>
        </w:rPr>
        <w:t>报废不及时，</w:t>
      </w:r>
      <w:r>
        <w:rPr>
          <w:rFonts w:hint="eastAsia" w:ascii="仿宋_GB2312" w:cs="仿宋_GB2312"/>
          <w:b w:val="0"/>
          <w:bCs w:val="0"/>
          <w:kern w:val="0"/>
          <w:position w:val="0"/>
          <w:sz w:val="32"/>
          <w:szCs w:val="32"/>
          <w:highlight w:val="none"/>
          <w:lang w:val="en-US" w:eastAsia="zh-CN" w:bidi="ar-SA"/>
        </w:rPr>
        <w:t>有待完善；三是预算执行进度有待提高</w:t>
      </w:r>
      <w:r>
        <w:rPr>
          <w:rFonts w:ascii="仿宋_GB2312" w:cs="仿宋_GB2312"/>
          <w:b w:val="0"/>
          <w:bCs w:val="0"/>
          <w:kern w:val="0"/>
          <w:position w:val="0"/>
          <w:sz w:val="32"/>
          <w:szCs w:val="32"/>
          <w:highlight w:val="none"/>
          <w:lang w:val="en-US" w:eastAsia="zh-CN" w:bidi="ar-SA"/>
        </w:rPr>
        <w:t>；四是项目绩效目标设定不够精细和完整。</w:t>
      </w:r>
    </w:p>
    <w:p>
      <w:pPr>
        <w:pStyle w:val="1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642" w:firstLineChars="200"/>
        <w:rPr>
          <w:rFonts w:ascii="Times New Roman" w:hAnsi="Times New Roman" w:eastAsia="楷体_GB2312" w:cs="Times New Roman"/>
          <w:b/>
          <w:bCs/>
          <w:color w:val="000000"/>
          <w:kern w:val="0"/>
          <w:szCs w:val="32"/>
          <w:highlight w:val="none"/>
          <w:shd w:val="clear" w:color="auto" w:fill="FFFFFF"/>
          <w:lang w:val="zh-CN" w:eastAsia="zh-CN"/>
        </w:rPr>
      </w:pPr>
      <w:r>
        <w:rPr>
          <w:rFonts w:ascii="Times New Roman" w:hAnsi="Times New Roman" w:eastAsia="楷体_GB2312" w:cs="Times New Roman"/>
          <w:b/>
          <w:bCs/>
          <w:color w:val="000000"/>
          <w:kern w:val="0"/>
          <w:szCs w:val="32"/>
          <w:highlight w:val="none"/>
          <w:shd w:val="clear" w:color="auto" w:fill="FFFFFF"/>
          <w:lang w:val="zh-CN" w:eastAsia="zh-CN"/>
        </w:rPr>
        <w:t>改进建议。</w:t>
      </w:r>
      <w:bookmarkStart w:id="0" w:name="_Hlk110546638"/>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60" w:lineRule="exact"/>
        <w:ind w:left="0" w:right="0" w:firstLine="640" w:firstLineChars="200"/>
        <w:rPr>
          <w:rFonts w:hint="eastAsia" w:ascii="仿宋_GB2312" w:eastAsia="仿宋_GB2312" w:cs="仿宋_GB2312"/>
          <w:b w:val="0"/>
          <w:bCs w:val="0"/>
          <w:kern w:val="0"/>
          <w:position w:val="0"/>
          <w:sz w:val="32"/>
          <w:szCs w:val="32"/>
          <w:highlight w:val="none"/>
          <w:lang w:val="en-US" w:eastAsia="zh-CN" w:bidi="ar-SA"/>
        </w:rPr>
      </w:pPr>
      <w:r>
        <w:rPr>
          <w:rFonts w:hint="eastAsia" w:ascii="仿宋_GB2312" w:eastAsia="仿宋_GB2312" w:cs="仿宋_GB2312"/>
          <w:b w:val="0"/>
          <w:bCs w:val="0"/>
          <w:kern w:val="0"/>
          <w:position w:val="0"/>
          <w:sz w:val="32"/>
          <w:szCs w:val="32"/>
          <w:highlight w:val="none"/>
          <w:lang w:val="en-US" w:eastAsia="zh-CN" w:bidi="ar-SA"/>
        </w:rPr>
        <w:t>一是加强每月预算执行监控，及时督促相关科室推进项目执行。二是通过近年预决算数据对比，科学编制预算，未雨绸缪尽量做好年度规划，降低经费追加减比例。三是及时更新固定资产卡片，提高单位成本费用准确度。四是财政加大对绩效工作培训力度。</w:t>
      </w:r>
    </w:p>
    <w:bookmarkEnd w:id="0"/>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contextualSpacing/>
        <w:jc w:val="left"/>
        <w:textAlignment w:val="auto"/>
        <w:outlineLvl w:val="9"/>
        <w:rPr>
          <w:rFonts w:ascii="仿宋_GB2312" w:eastAsia="仿宋_GB2312" w:cs="仿宋_GB2312"/>
          <w:b w:val="0"/>
          <w:bCs w:val="0"/>
          <w:kern w:val="0"/>
          <w:position w:val="0"/>
          <w:sz w:val="32"/>
          <w:szCs w:val="32"/>
          <w:highlight w:val="none"/>
          <w:lang w:val="zh-CN" w:eastAsia="zh-CN" w:bidi="ar-SA"/>
        </w:rPr>
      </w:pPr>
    </w:p>
    <w:p>
      <w:pPr>
        <w:keepNext w:val="0"/>
        <w:keepLines w:val="0"/>
        <w:pageBreakBefore w:val="0"/>
        <w:widowControl w:val="0"/>
        <w:kinsoku/>
        <w:wordWrap/>
        <w:overflowPunct/>
        <w:topLinePunct w:val="0"/>
        <w:autoSpaceDE/>
        <w:autoSpaceDN/>
        <w:bidi w:val="0"/>
        <w:spacing w:beforeAutospacing="0" w:afterAutospacing="0" w:line="560" w:lineRule="exact"/>
        <w:contextualSpacing/>
        <w:textAlignment w:val="auto"/>
        <w:outlineLvl w:val="9"/>
        <w:rPr>
          <w:rFonts w:ascii="Times New Roman" w:hAnsi="Times New Roman" w:eastAsia="黑体" w:cs="Times New Roman"/>
          <w:szCs w:val="32"/>
          <w:highlight w:val="none"/>
          <w:lang w:val="en-US" w:eastAsia="zh-CN"/>
        </w:rPr>
      </w:pPr>
    </w:p>
    <w:p>
      <w:pPr>
        <w:spacing w:line="578" w:lineRule="exact"/>
        <w:ind w:firstLine="640" w:firstLineChars="200"/>
        <w:jc w:val="left"/>
        <w:rPr>
          <w:szCs w:val="32"/>
        </w:rPr>
      </w:pPr>
      <w:r>
        <w:rPr>
          <w:color w:val="000000"/>
          <w:kern w:val="0"/>
          <w:szCs w:val="32"/>
          <w:shd w:val="clear" w:color="auto" w:fill="FFFFFF"/>
        </w:rPr>
        <w:t>附表：</w:t>
      </w:r>
      <w:r>
        <w:rPr>
          <w:rFonts w:hint="eastAsia"/>
          <w:color w:val="000000"/>
          <w:kern w:val="0"/>
          <w:szCs w:val="32"/>
          <w:shd w:val="clear" w:color="auto" w:fill="FFFFFF"/>
        </w:rPr>
        <w:t>1.</w:t>
      </w:r>
      <w:r>
        <w:rPr>
          <w:rFonts w:hint="eastAsia"/>
          <w:szCs w:val="32"/>
        </w:rPr>
        <w:t>部门预算绩效自评打分表</w:t>
      </w:r>
    </w:p>
    <w:p>
      <w:pPr>
        <w:spacing w:line="578" w:lineRule="exact"/>
        <w:ind w:firstLine="1600" w:firstLineChars="500"/>
        <w:jc w:val="left"/>
        <w:rPr>
          <w:color w:val="000000"/>
          <w:kern w:val="0"/>
          <w:szCs w:val="32"/>
          <w:shd w:val="clear" w:color="auto" w:fill="FFFFFF"/>
        </w:rPr>
      </w:pPr>
      <w:r>
        <w:rPr>
          <w:rFonts w:hint="eastAsia"/>
          <w:szCs w:val="32"/>
        </w:rPr>
        <w:t>2.</w:t>
      </w:r>
      <w:r>
        <w:rPr>
          <w:color w:val="000000"/>
          <w:kern w:val="0"/>
          <w:szCs w:val="32"/>
          <w:shd w:val="clear" w:color="auto" w:fill="FFFFFF"/>
        </w:rPr>
        <w:t>部门整体</w:t>
      </w:r>
      <w:r>
        <w:rPr>
          <w:rFonts w:hint="eastAsia"/>
          <w:color w:val="000000"/>
          <w:kern w:val="0"/>
          <w:szCs w:val="32"/>
          <w:shd w:val="clear" w:color="auto" w:fill="FFFFFF"/>
        </w:rPr>
        <w:t>支出</w:t>
      </w:r>
      <w:r>
        <w:rPr>
          <w:color w:val="000000"/>
          <w:kern w:val="0"/>
          <w:szCs w:val="32"/>
          <w:shd w:val="clear" w:color="auto" w:fill="FFFFFF"/>
        </w:rPr>
        <w:t>绩效目标完成情况自评表</w:t>
      </w:r>
    </w:p>
    <w:p>
      <w:pPr>
        <w:spacing w:line="578" w:lineRule="exact"/>
        <w:jc w:val="left"/>
        <w:rPr>
          <w:rFonts w:eastAsia="黑体"/>
        </w:rPr>
      </w:pPr>
      <w:r>
        <w:rPr>
          <w:rFonts w:eastAsia="黑体"/>
        </w:rPr>
        <w:t>附表</w:t>
      </w:r>
      <w:r>
        <w:rPr>
          <w:rFonts w:hint="eastAsia" w:eastAsia="黑体"/>
        </w:rPr>
        <w:t>1</w:t>
      </w:r>
    </w:p>
    <w:p>
      <w:pPr>
        <w:widowControl/>
        <w:spacing w:line="600" w:lineRule="exact"/>
        <w:jc w:val="center"/>
        <w:textAlignment w:val="center"/>
        <w:rPr>
          <w:rFonts w:eastAsia="方正小标宋简体"/>
          <w:color w:val="000000"/>
          <w:kern w:val="0"/>
          <w:sz w:val="44"/>
          <w:szCs w:val="44"/>
        </w:rPr>
      </w:pPr>
    </w:p>
    <w:p>
      <w:pPr>
        <w:widowControl/>
        <w:spacing w:line="600"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16"/>
        <w:tblW w:w="1091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97"/>
        <w:gridCol w:w="1201"/>
        <w:gridCol w:w="1929"/>
        <w:gridCol w:w="717"/>
        <w:gridCol w:w="4760"/>
        <w:gridCol w:w="730"/>
        <w:gridCol w:w="4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绩效评价指标指标分值</w:t>
            </w:r>
          </w:p>
        </w:tc>
        <w:tc>
          <w:tcPr>
            <w:tcW w:w="47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指标解释</w:t>
            </w:r>
          </w:p>
        </w:tc>
        <w:tc>
          <w:tcPr>
            <w:tcW w:w="730" w:type="dxa"/>
            <w:vMerge w:val="restart"/>
            <w:tcBorders>
              <w:top w:val="single" w:color="000000" w:sz="4" w:space="0"/>
              <w:left w:val="single" w:color="000000" w:sz="4" w:space="0"/>
              <w:right w:val="single" w:color="000000" w:sz="4" w:space="0"/>
            </w:tcBorders>
            <w:shd w:val="clear" w:color="auto" w:fill="auto"/>
            <w:noWrap/>
            <w:vAlign w:val="center"/>
          </w:tcPr>
          <w:p>
            <w:pPr>
              <w:widowControl/>
              <w:spacing w:line="240" w:lineRule="exact"/>
              <w:jc w:val="center"/>
              <w:textAlignment w:val="center"/>
              <w:rPr>
                <w:rFonts w:ascii="黑体" w:eastAsia="黑体" w:cs="黑体"/>
                <w:color w:val="000000"/>
                <w:kern w:val="0"/>
                <w:sz w:val="24"/>
              </w:rPr>
            </w:pPr>
            <w:r>
              <w:rPr>
                <w:rFonts w:hint="eastAsia" w:ascii="黑体" w:eastAsia="黑体" w:cs="黑体"/>
                <w:color w:val="000000"/>
                <w:kern w:val="0"/>
                <w:sz w:val="24"/>
              </w:rPr>
              <w:t>自评得分</w:t>
            </w:r>
          </w:p>
        </w:tc>
        <w:tc>
          <w:tcPr>
            <w:tcW w:w="478" w:type="dxa"/>
            <w:vMerge w:val="restart"/>
            <w:tcBorders>
              <w:top w:val="single" w:color="000000" w:sz="4" w:space="0"/>
              <w:left w:val="single" w:color="000000" w:sz="4" w:space="0"/>
              <w:right w:val="single" w:color="000000" w:sz="4" w:space="0"/>
            </w:tcBorders>
            <w:shd w:val="clear" w:color="auto" w:fill="auto"/>
            <w:noWrap/>
            <w:vAlign w:val="center"/>
          </w:tcPr>
          <w:p>
            <w:pPr>
              <w:widowControl/>
              <w:spacing w:line="240" w:lineRule="exact"/>
              <w:jc w:val="center"/>
              <w:textAlignment w:val="center"/>
              <w:rPr>
                <w:rFonts w:ascii="黑体" w:eastAsia="黑体" w:cs="黑体"/>
                <w:color w:val="000000"/>
                <w:kern w:val="0"/>
                <w:sz w:val="24"/>
              </w:rPr>
            </w:pPr>
            <w:r>
              <w:rPr>
                <w:rFonts w:hint="eastAsia" w:ascii="黑体" w:eastAsia="黑体" w:cs="黑体"/>
                <w:color w:val="000000"/>
                <w:kern w:val="0"/>
                <w:sz w:val="24"/>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二级指标</w:t>
            </w: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三级指标</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指标</w:t>
            </w:r>
            <w:r>
              <w:rPr>
                <w:rFonts w:hint="eastAsia" w:ascii="黑体" w:eastAsia="黑体" w:cs="黑体"/>
                <w:color w:val="000000"/>
                <w:kern w:val="0"/>
                <w:sz w:val="24"/>
              </w:rPr>
              <w:br w:type="textWrapping"/>
            </w:r>
            <w:r>
              <w:rPr>
                <w:rFonts w:hint="eastAsia" w:ascii="黑体" w:eastAsia="黑体" w:cs="黑体"/>
                <w:color w:val="000000"/>
                <w:kern w:val="0"/>
                <w:sz w:val="24"/>
              </w:rPr>
              <w:t>分值</w:t>
            </w:r>
          </w:p>
        </w:tc>
        <w:tc>
          <w:tcPr>
            <w:tcW w:w="47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730" w:type="dxa"/>
            <w:vMerge w:val="continue"/>
            <w:tcBorders>
              <w:left w:val="single" w:color="000000" w:sz="4" w:space="0"/>
              <w:bottom w:val="single" w:color="000000" w:sz="4" w:space="0"/>
              <w:right w:val="single" w:color="000000" w:sz="4" w:space="0"/>
            </w:tcBorders>
            <w:shd w:val="clear" w:color="auto" w:fill="auto"/>
            <w:noWrap/>
            <w:vAlign w:val="center"/>
          </w:tcPr>
          <w:p/>
        </w:tc>
        <w:tc>
          <w:tcPr>
            <w:tcW w:w="478" w:type="dxa"/>
            <w:vMerge w:val="continue"/>
            <w:tcBorders>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 w:hRule="atLeast"/>
          <w:jc w:val="center"/>
        </w:trPr>
        <w:tc>
          <w:tcPr>
            <w:tcW w:w="1097" w:type="dxa"/>
            <w:vMerge w:val="restart"/>
            <w:tcBorders>
              <w:top w:val="single" w:color="000000" w:sz="4" w:space="0"/>
              <w:left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总体绩效（65分）</w:t>
            </w: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履职效能</w:t>
            </w:r>
            <w:r>
              <w:rPr>
                <w:rFonts w:hint="eastAsia" w:ascii="宋体" w:eastAsia="宋体" w:cs="宋体"/>
                <w:b/>
                <w:color w:val="000000"/>
                <w:kern w:val="0"/>
                <w:sz w:val="24"/>
              </w:rPr>
              <w:br w:type="textWrapping"/>
            </w:r>
            <w:r>
              <w:rPr>
                <w:rFonts w:hint="eastAsia" w:ascii="宋体" w:eastAsia="宋体" w:cs="宋体"/>
                <w:b/>
                <w:color w:val="000000"/>
                <w:kern w:val="0"/>
                <w:sz w:val="24"/>
              </w:rPr>
              <w:t>（15分）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ascii="宋体" w:eastAsia="宋体" w:cs="宋体"/>
                <w:color w:val="000000"/>
                <w:sz w:val="24"/>
              </w:rPr>
              <w:t>人才专项履职效果</w:t>
            </w:r>
          </w:p>
        </w:tc>
        <w:tc>
          <w:tcPr>
            <w:tcW w:w="717" w:type="dxa"/>
            <w:vMerge w:val="restart"/>
            <w:tcBorders>
              <w:top w:val="nil"/>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15</w:t>
            </w:r>
          </w:p>
        </w:tc>
        <w:tc>
          <w:tcPr>
            <w:tcW w:w="47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部门整体绩效目标中选定3-5个核心职能目标，反映该项职能目标完成效果情况</w:t>
            </w:r>
          </w:p>
        </w:tc>
        <w:tc>
          <w:tcPr>
            <w:tcW w:w="73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15</w:t>
            </w:r>
          </w:p>
        </w:tc>
        <w:tc>
          <w:tcPr>
            <w:tcW w:w="47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 w:hRule="atLeast"/>
          <w:jc w:val="center"/>
        </w:trPr>
        <w:tc>
          <w:tcPr>
            <w:tcW w:w="1097" w:type="dxa"/>
            <w:vMerge w:val="continue"/>
            <w:tcBorders>
              <w:top w:val="single" w:color="000000" w:sz="4" w:space="0"/>
              <w:left w:val="single" w:color="000000" w:sz="4" w:space="0"/>
              <w:right w:val="single" w:color="000000" w:sz="4" w:space="0"/>
            </w:tcBorders>
            <w:shd w:val="clear" w:color="auto" w:fill="auto"/>
            <w:noWrap/>
            <w:vAlign w:val="center"/>
          </w:tc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党建工作履职效果</w:t>
            </w:r>
          </w:p>
        </w:tc>
        <w:tc>
          <w:tcPr>
            <w:tcW w:w="717"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47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4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 w:hRule="atLeast"/>
          <w:jc w:val="center"/>
        </w:trPr>
        <w:tc>
          <w:tcPr>
            <w:tcW w:w="1097" w:type="dxa"/>
            <w:vMerge w:val="continue"/>
            <w:tcBorders>
              <w:top w:val="single" w:color="000000" w:sz="4" w:space="0"/>
              <w:left w:val="single" w:color="000000" w:sz="4" w:space="0"/>
              <w:right w:val="single" w:color="000000" w:sz="4" w:space="0"/>
            </w:tcBorders>
            <w:shd w:val="clear" w:color="auto" w:fill="auto"/>
            <w:noWrap/>
            <w:vAlign w:val="center"/>
          </w:tc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老干部及关工委履职效果</w:t>
            </w:r>
          </w:p>
        </w:tc>
        <w:tc>
          <w:tcPr>
            <w:tcW w:w="717"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47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4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jc w:val="center"/>
        </w:trPr>
        <w:tc>
          <w:tcPr>
            <w:tcW w:w="1097" w:type="dxa"/>
            <w:vMerge w:val="continue"/>
            <w:tcBorders>
              <w:left w:val="single" w:color="000000" w:sz="4" w:space="0"/>
              <w:right w:val="single" w:color="000000" w:sz="4" w:space="0"/>
            </w:tcBorders>
            <w:shd w:val="clear" w:color="auto" w:fill="auto"/>
            <w:noWrap/>
            <w:vAlign w:val="center"/>
          </w:tcPr>
          <w:p/>
        </w:tc>
        <w:tc>
          <w:tcPr>
            <w:tcW w:w="1201" w:type="dxa"/>
            <w:vMerge w:val="restart"/>
            <w:tcBorders>
              <w:top w:val="single" w:color="000000" w:sz="4" w:space="0"/>
              <w:left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预算管理</w:t>
            </w:r>
            <w:r>
              <w:rPr>
                <w:rFonts w:hint="eastAsia" w:ascii="宋体" w:eastAsia="宋体" w:cs="宋体"/>
                <w:b/>
                <w:color w:val="000000"/>
                <w:kern w:val="0"/>
                <w:sz w:val="24"/>
              </w:rPr>
              <w:br w:type="textWrapping"/>
            </w:r>
            <w:r>
              <w:rPr>
                <w:rFonts w:hint="eastAsia" w:ascii="宋体" w:eastAsia="宋体" w:cs="宋体"/>
                <w:b/>
                <w:color w:val="000000"/>
                <w:kern w:val="0"/>
                <w:sz w:val="24"/>
              </w:rPr>
              <w:t>（25分）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预算编制质量</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8</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部门是否严格按要求编制年初部门预算，年初预算编制的科学性和准确性</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8</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noWrap/>
            <w:vAlign w:val="center"/>
          </w:tcPr>
          <w:p/>
        </w:tc>
        <w:tc>
          <w:tcPr>
            <w:tcW w:w="1201" w:type="dxa"/>
            <w:vMerge w:val="continue"/>
            <w:tcBorders>
              <w:left w:val="single" w:color="000000" w:sz="4" w:space="0"/>
              <w:right w:val="single" w:color="000000" w:sz="4" w:space="0"/>
            </w:tcBorders>
            <w:shd w:val="clear" w:color="auto" w:fill="auto"/>
            <w:noWrap/>
            <w:vAlign w:val="center"/>
          </w:tc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单位收入统筹</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部门统筹自有收入努力程度</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noWrap/>
            <w:vAlign w:val="center"/>
          </w:tcPr>
          <w:p/>
        </w:tc>
        <w:tc>
          <w:tcPr>
            <w:tcW w:w="1201" w:type="dxa"/>
            <w:vMerge w:val="continue"/>
            <w:tcBorders>
              <w:left w:val="single" w:color="000000" w:sz="4" w:space="0"/>
              <w:right w:val="single" w:color="000000" w:sz="4" w:space="0"/>
            </w:tcBorders>
            <w:shd w:val="clear" w:color="auto" w:fill="auto"/>
            <w:noWrap/>
            <w:vAlign w:val="center"/>
          </w:tc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支出执行管理</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6</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部门1至6月、1至10月预算执行情况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noWrap/>
            <w:vAlign w:val="center"/>
          </w:tcPr>
          <w:p/>
        </w:tc>
        <w:tc>
          <w:tcPr>
            <w:tcW w:w="1201" w:type="dxa"/>
            <w:vMerge w:val="continue"/>
            <w:tcBorders>
              <w:left w:val="single" w:color="000000" w:sz="4" w:space="0"/>
              <w:right w:val="single" w:color="000000" w:sz="4" w:space="0"/>
            </w:tcBorders>
            <w:shd w:val="clear" w:color="auto" w:fill="auto"/>
            <w:noWrap/>
            <w:vAlign w:val="center"/>
          </w:tc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预算年终结余</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部门整体年终预算结余情况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shd w:val="clear" w:color="auto" w:fill="auto"/>
            <w:noWrap/>
            <w:vAlign w:val="center"/>
          </w:tcPr>
          <w:p/>
        </w:tc>
        <w:tc>
          <w:tcPr>
            <w:tcW w:w="1201" w:type="dxa"/>
            <w:vMerge w:val="continue"/>
            <w:tcBorders>
              <w:left w:val="single" w:color="000000" w:sz="4" w:space="0"/>
              <w:right w:val="single" w:color="000000" w:sz="4" w:space="0"/>
            </w:tcBorders>
            <w:shd w:val="clear" w:color="auto" w:fill="auto"/>
            <w:noWrap/>
            <w:vAlign w:val="center"/>
          </w:tc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严控一般性支出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5</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hint="eastAsia" w:ascii="宋体" w:eastAsia="宋体" w:cs="宋体"/>
                <w:color w:val="000000"/>
                <w:kern w:val="0"/>
                <w:sz w:val="24"/>
              </w:rPr>
              <w:t>部门严控“三公”经费、会议、培训、差旅、办节办展、办公设备购置、信息化建设和运维、课题经费、竞赛活动、规划编制一般性支出情况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noWrap/>
            <w:vAlign w:val="center"/>
          </w:tc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财务管理</w:t>
            </w:r>
            <w:r>
              <w:rPr>
                <w:rFonts w:hint="eastAsia" w:ascii="宋体" w:eastAsia="宋体" w:cs="宋体"/>
                <w:b/>
                <w:color w:val="000000"/>
                <w:kern w:val="0"/>
                <w:sz w:val="24"/>
              </w:rPr>
              <w:br w:type="textWrapping"/>
            </w:r>
            <w:r>
              <w:rPr>
                <w:rFonts w:hint="eastAsia" w:ascii="宋体" w:eastAsia="宋体" w:cs="宋体"/>
                <w:b/>
                <w:color w:val="000000"/>
                <w:kern w:val="0"/>
                <w:sz w:val="24"/>
              </w:rPr>
              <w:t>（10分）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财务管理制度</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部门财务管理制度建立情况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noWrap/>
            <w:vAlign w:val="center"/>
          </w:tc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财务岗位设置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部门财务岗位设置是否符合相关财务管理制度要求</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noWrap/>
            <w:vAlign w:val="center"/>
          </w:tc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资金使用规范</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部门资金使用是否符合相关财务管理制度规定</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noWrap/>
            <w:vAlign w:val="center"/>
          </w:tc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资产管理</w:t>
            </w:r>
            <w:r>
              <w:rPr>
                <w:rFonts w:hint="eastAsia" w:ascii="宋体" w:eastAsia="宋体" w:cs="宋体"/>
                <w:b/>
                <w:color w:val="000000"/>
                <w:kern w:val="0"/>
                <w:sz w:val="24"/>
              </w:rPr>
              <w:br w:type="textWrapping"/>
            </w:r>
            <w:r>
              <w:rPr>
                <w:rFonts w:hint="eastAsia" w:asci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人均资产变化率</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部门人均资产变化情况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noWrap/>
            <w:vAlign w:val="center"/>
          </w:tc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资产利用率</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部门资产超最低使用年限情况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1</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noWrap/>
            <w:vAlign w:val="center"/>
          </w:tcP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资产管理</w:t>
            </w:r>
            <w:r>
              <w:rPr>
                <w:rFonts w:hint="eastAsia" w:ascii="宋体" w:eastAsia="宋体" w:cs="宋体"/>
                <w:b/>
                <w:color w:val="000000"/>
                <w:kern w:val="0"/>
                <w:sz w:val="24"/>
              </w:rPr>
              <w:br w:type="textWrapping"/>
            </w:r>
            <w:r>
              <w:rPr>
                <w:rFonts w:hint="eastAsia" w:asci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资产盘活率</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部门闲置一年以上的资产盘活情况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noWrap/>
            <w:vAlign w:val="center"/>
          </w:tc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采购管理</w:t>
            </w:r>
            <w:r>
              <w:rPr>
                <w:rFonts w:hint="eastAsia" w:ascii="宋体" w:eastAsia="宋体" w:cs="宋体"/>
                <w:b/>
                <w:color w:val="000000"/>
                <w:kern w:val="0"/>
                <w:sz w:val="24"/>
              </w:rPr>
              <w:br w:type="textWrapping"/>
            </w:r>
            <w:r>
              <w:rPr>
                <w:rFonts w:hint="eastAsia" w:ascii="宋体" w:eastAsia="宋体" w:cs="宋体"/>
                <w:b/>
                <w:color w:val="000000"/>
                <w:kern w:val="0"/>
                <w:sz w:val="24"/>
              </w:rPr>
              <w:t>（6分）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支持中小企业发展</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部门是否严格执行政府采购促进中小企业发展相关管理办法</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shd w:val="clear" w:color="auto" w:fill="auto"/>
            <w:noWrap/>
            <w:vAlign w:val="center"/>
          </w:tc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采购执行率</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部门政府采购项目资金支付比例情况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项目绩效（35分）</w:t>
            </w:r>
          </w:p>
        </w:tc>
        <w:tc>
          <w:tcPr>
            <w:tcW w:w="1201" w:type="dxa"/>
            <w:vMerge w:val="restart"/>
            <w:tcBorders>
              <w:top w:val="single" w:color="000000" w:sz="4" w:space="0"/>
              <w:left w:val="single" w:color="000000" w:sz="4" w:space="0"/>
              <w:bottom w:val="nil"/>
              <w:right w:val="single" w:color="000000" w:sz="4" w:space="0"/>
            </w:tcBorders>
            <w:shd w:val="clear" w:color="auto" w:fill="auto"/>
            <w:noWrap/>
            <w:vAlign w:val="center"/>
          </w:tcPr>
          <w:p>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项目决策</w:t>
            </w:r>
            <w:r>
              <w:rPr>
                <w:rFonts w:hint="eastAsia" w:ascii="宋体" w:eastAsia="宋体" w:cs="宋体"/>
                <w:b/>
                <w:color w:val="000000"/>
                <w:kern w:val="0"/>
                <w:sz w:val="24"/>
              </w:rPr>
              <w:br w:type="textWrapping"/>
            </w:r>
            <w:r>
              <w:rPr>
                <w:rFonts w:hint="eastAsia" w:asci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决策程序</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部门预算项目设立是否按规定履行评估论证、申报程序</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1" w:type="dxa"/>
            <w:vMerge w:val="continue"/>
            <w:tcBorders>
              <w:top w:val="single" w:color="000000" w:sz="4" w:space="0"/>
              <w:left w:val="single" w:color="000000" w:sz="4" w:space="0"/>
              <w:bottom w:val="nil"/>
              <w:right w:val="single" w:color="000000" w:sz="4" w:space="0"/>
            </w:tcBorders>
            <w:shd w:val="clear" w:color="auto" w:fill="auto"/>
            <w:noWrap/>
            <w:vAlign w:val="center"/>
          </w:tc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目标设置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部门预算项目绩效目标与计划期内的任务量、预算安排的资金量匹配情况，绩效目标设置是否科学合理、规范完整、量化细化、预算匹配</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1" w:type="dxa"/>
            <w:vMerge w:val="continue"/>
            <w:tcBorders>
              <w:top w:val="single" w:color="000000" w:sz="4" w:space="0"/>
              <w:left w:val="single" w:color="000000" w:sz="4" w:space="0"/>
              <w:bottom w:val="nil"/>
              <w:right w:val="single" w:color="000000" w:sz="4" w:space="0"/>
            </w:tcBorders>
            <w:shd w:val="clear" w:color="auto" w:fill="auto"/>
            <w:noWrap/>
            <w:vAlign w:val="center"/>
          </w:tc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项目入库</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部门预算项目是否在规定时间完成项目入库</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1" w:type="dxa"/>
            <w:vMerge w:val="restart"/>
            <w:tcBorders>
              <w:top w:val="single" w:color="000000" w:sz="4" w:space="0"/>
              <w:left w:val="single" w:color="000000" w:sz="4" w:space="0"/>
              <w:bottom w:val="nil"/>
              <w:right w:val="single" w:color="000000" w:sz="4" w:space="0"/>
            </w:tcBorders>
            <w:shd w:val="clear" w:color="auto" w:fill="auto"/>
            <w:noWrap/>
            <w:vAlign w:val="center"/>
          </w:tcPr>
          <w:p>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项目执行</w:t>
            </w:r>
            <w:r>
              <w:rPr>
                <w:rFonts w:hint="eastAsia" w:ascii="宋体" w:eastAsia="宋体" w:cs="宋体"/>
                <w:b/>
                <w:color w:val="000000"/>
                <w:kern w:val="0"/>
                <w:sz w:val="24"/>
              </w:rPr>
              <w:br w:type="textWrapping"/>
            </w:r>
            <w:r>
              <w:rPr>
                <w:rFonts w:hint="eastAsia" w:asci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执行同向</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部门预算项目实际列支内容是否与绩效目标设置方向相符</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1" w:type="dxa"/>
            <w:vMerge w:val="continue"/>
            <w:tcBorders>
              <w:top w:val="single" w:color="000000" w:sz="4" w:space="0"/>
              <w:left w:val="single" w:color="000000" w:sz="4" w:space="0"/>
              <w:bottom w:val="nil"/>
              <w:right w:val="single" w:color="000000" w:sz="4" w:space="0"/>
            </w:tcBorders>
            <w:shd w:val="clear" w:color="auto" w:fill="auto"/>
            <w:noWrap/>
            <w:vAlign w:val="center"/>
          </w:tcPr>
          <w:p/>
        </w:tc>
        <w:tc>
          <w:tcPr>
            <w:tcW w:w="1929" w:type="dxa"/>
            <w:tcBorders>
              <w:top w:val="single" w:color="000000" w:sz="4" w:space="0"/>
              <w:left w:val="single" w:color="000000" w:sz="4" w:space="0"/>
              <w:bottom w:val="nil"/>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项目调整</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部门预算项目是否采取对应调整措施</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1" w:type="dxa"/>
            <w:vMerge w:val="continue"/>
            <w:tcBorders>
              <w:top w:val="single" w:color="000000" w:sz="4" w:space="0"/>
              <w:left w:val="single" w:color="000000" w:sz="4" w:space="0"/>
              <w:bottom w:val="nil"/>
              <w:right w:val="single" w:color="000000" w:sz="4" w:space="0"/>
            </w:tcBorders>
            <w:shd w:val="clear" w:color="auto" w:fill="auto"/>
            <w:noWrap/>
            <w:vAlign w:val="center"/>
          </w:tc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执行结果</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部门预算项目预算执行情况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目标实现</w:t>
            </w:r>
            <w:r>
              <w:rPr>
                <w:rFonts w:hint="eastAsia" w:ascii="宋体" w:eastAsia="宋体" w:cs="宋体"/>
                <w:b/>
                <w:color w:val="000000"/>
                <w:kern w:val="0"/>
                <w:sz w:val="24"/>
              </w:rPr>
              <w:br w:type="textWrapping"/>
            </w:r>
            <w:r>
              <w:rPr>
                <w:rFonts w:hint="eastAsia" w:ascii="宋体" w:eastAsia="宋体" w:cs="宋体"/>
                <w:b/>
                <w:color w:val="000000"/>
                <w:kern w:val="0"/>
                <w:sz w:val="24"/>
              </w:rPr>
              <w:t>（11分）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目标完成</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部门预算项目绩效目标数量指标完成情况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目标偏离</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部门预算项目绩效目标数量指标实现程度与预期目标的偏离情况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实现效果</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部门预算项目绩效目标效益指标实施效果</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b/>
                <w:color w:val="000000"/>
                <w:sz w:val="24"/>
              </w:rPr>
            </w:pPr>
            <w:r>
              <w:rPr>
                <w:rFonts w:hint="eastAsia" w:ascii="宋体" w:eastAsia="宋体" w:cs="宋体"/>
                <w:b/>
                <w:color w:val="000000"/>
                <w:kern w:val="0"/>
                <w:sz w:val="24"/>
              </w:rPr>
              <w:t>扣分项</w:t>
            </w:r>
            <w:r>
              <w:rPr>
                <w:rFonts w:hint="eastAsia" w:ascii="宋体" w:eastAsia="宋体" w:cs="宋体"/>
                <w:b/>
                <w:color w:val="000000"/>
                <w:kern w:val="0"/>
                <w:sz w:val="24"/>
              </w:rPr>
              <w:br w:type="textWrapping"/>
            </w:r>
            <w:r>
              <w:rPr>
                <w:rFonts w:hint="eastAsia" w:ascii="宋体" w:eastAsia="宋体" w:cs="宋体"/>
                <w:b/>
                <w:color w:val="000000"/>
                <w:kern w:val="0"/>
                <w:sz w:val="24"/>
              </w:rPr>
              <w:t>（10分）</w:t>
            </w:r>
          </w:p>
        </w:tc>
        <w:tc>
          <w:tcPr>
            <w:tcW w:w="31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被评价部门配合度</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eastAsia="宋体" w:cs="宋体"/>
                <w:color w:val="000000"/>
                <w:sz w:val="24"/>
              </w:rPr>
            </w:pPr>
            <w:r>
              <w:rPr>
                <w:rFonts w:hint="eastAsia" w:ascii="宋体" w:eastAsia="宋体" w:cs="宋体"/>
                <w:color w:val="000000"/>
                <w:kern w:val="0"/>
                <w:sz w:val="24"/>
              </w:rPr>
              <w:t>-</w:t>
            </w:r>
          </w:p>
        </w:tc>
        <w:tc>
          <w:tcPr>
            <w:tcW w:w="4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sz w:val="24"/>
              </w:rPr>
            </w:pPr>
            <w:r>
              <w:rPr>
                <w:rFonts w:hint="eastAsia" w:ascii="宋体" w:eastAsia="宋体" w:cs="宋体"/>
                <w:color w:val="000000"/>
                <w:kern w:val="0"/>
                <w:sz w:val="24"/>
              </w:rPr>
              <w:t>被评价对象工作配合情况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r>
              <w:rPr>
                <w:rFonts w:ascii="宋体" w:eastAsia="宋体" w:cs="宋体"/>
                <w:color w:val="000000"/>
                <w:kern w:val="0"/>
                <w:sz w:val="24"/>
              </w:rPr>
              <w:t>0</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eastAsia="宋体" w:cs="宋体"/>
                <w:color w:val="000000"/>
                <w:kern w:val="0"/>
                <w:sz w:val="24"/>
              </w:rPr>
            </w:pPr>
          </w:p>
        </w:tc>
      </w:tr>
    </w:tbl>
    <w:p>
      <w:pPr>
        <w:pStyle w:val="19"/>
        <w:spacing w:line="20" w:lineRule="exact"/>
      </w:pPr>
    </w:p>
    <w:p>
      <w:pPr>
        <w:spacing w:line="20" w:lineRule="exact"/>
        <w:rPr>
          <w:rFonts w:eastAsia="黑体"/>
        </w:rPr>
      </w:pPr>
      <w:r>
        <w:rPr>
          <w:rFonts w:eastAsia="黑体"/>
        </w:rPr>
        <w:br w:type="page"/>
      </w:r>
    </w:p>
    <w:p>
      <w:pPr>
        <w:spacing w:line="578" w:lineRule="exact"/>
        <w:jc w:val="left"/>
        <w:rPr>
          <w:rFonts w:eastAsia="黑体"/>
        </w:rPr>
      </w:pPr>
      <w:r>
        <w:rPr>
          <w:rFonts w:eastAsia="黑体"/>
        </w:rPr>
        <w:t>附表</w:t>
      </w:r>
      <w:r>
        <w:rPr>
          <w:rFonts w:hint="eastAsia" w:eastAsia="黑体"/>
        </w:rPr>
        <w:t>2</w:t>
      </w:r>
    </w:p>
    <w:p>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部门整体</w:t>
      </w:r>
      <w:r>
        <w:rPr>
          <w:rFonts w:hint="eastAsia" w:eastAsia="方正小标宋简体"/>
          <w:color w:val="000000"/>
          <w:kern w:val="0"/>
          <w:sz w:val="44"/>
          <w:szCs w:val="44"/>
        </w:rPr>
        <w:t>支出</w:t>
      </w:r>
      <w:r>
        <w:rPr>
          <w:rFonts w:eastAsia="方正小标宋简体"/>
          <w:color w:val="000000"/>
          <w:kern w:val="0"/>
          <w:sz w:val="44"/>
          <w:szCs w:val="44"/>
        </w:rPr>
        <w:t>绩效目标完成情况自评表</w:t>
      </w:r>
    </w:p>
    <w:tbl>
      <w:tblPr>
        <w:tblStyle w:val="16"/>
        <w:tblW w:w="96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1"/>
        <w:gridCol w:w="593"/>
        <w:gridCol w:w="803"/>
        <w:gridCol w:w="1246"/>
        <w:gridCol w:w="803"/>
        <w:gridCol w:w="777"/>
        <w:gridCol w:w="1018"/>
        <w:gridCol w:w="1045"/>
        <w:gridCol w:w="1111"/>
        <w:gridCol w:w="19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pPr>
              <w:rPr>
                <w:rFonts w:ascii="宋体" w:eastAsia="宋体" w:cs="宋体"/>
                <w:color w:val="000000"/>
                <w:kern w:val="0"/>
                <w:sz w:val="24"/>
              </w:rPr>
            </w:pPr>
            <w:r>
              <w:rPr>
                <w:rFonts w:eastAsia="黑体"/>
                <w:sz w:val="24"/>
              </w:rPr>
              <w:br w:type="page"/>
            </w:r>
            <w:r>
              <w:rPr>
                <w:rFonts w:hint="eastAsia" w:ascii="宋体" w:eastAsia="宋体" w:cs="宋体"/>
                <w:color w:val="000000"/>
                <w:kern w:val="0"/>
                <w:sz w:val="24"/>
              </w:rPr>
              <w:t>部门名称</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lang w:eastAsia="zh-CN"/>
              </w:rPr>
              <w:t>中共黑水县委组织部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年度部门整体预算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资金总额</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财政拨款</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其他资金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收入预算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pPr>
              <w:widowControl/>
              <w:spacing w:line="240" w:lineRule="exact"/>
              <w:jc w:val="center"/>
              <w:textAlignment w:val="center"/>
              <w:rPr>
                <w:rFonts w:ascii="宋体" w:eastAsia="宋体" w:cs="宋体"/>
                <w:color w:val="000000"/>
                <w:kern w:val="0"/>
                <w:sz w:val="24"/>
              </w:rPr>
            </w:pP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支出预算</w:t>
            </w:r>
          </w:p>
        </w:tc>
        <w:tc>
          <w:tcPr>
            <w:tcW w:w="2049" w:type="dxa"/>
            <w:gridSpan w:val="2"/>
            <w:tcBorders>
              <w:top w:val="single" w:color="000000" w:sz="4" w:space="0"/>
              <w:left w:val="single" w:color="auto"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18588750.4</w:t>
            </w:r>
          </w:p>
        </w:tc>
        <w:tc>
          <w:tcPr>
            <w:tcW w:w="1795" w:type="dxa"/>
            <w:gridSpan w:val="2"/>
            <w:tcBorders>
              <w:top w:val="single" w:color="auto"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18588750.4</w:t>
            </w:r>
          </w:p>
        </w:tc>
        <w:tc>
          <w:tcPr>
            <w:tcW w:w="4087" w:type="dxa"/>
            <w:gridSpan w:val="3"/>
            <w:tcBorders>
              <w:top w:val="single" w:color="auto"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二级指标</w:t>
            </w:r>
          </w:p>
        </w:tc>
        <w:tc>
          <w:tcPr>
            <w:tcW w:w="1246"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三级指标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指标值</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指标设置参考值</w:t>
            </w:r>
          </w:p>
        </w:tc>
        <w:tc>
          <w:tcPr>
            <w:tcW w:w="1931" w:type="dxa"/>
            <w:vMerge w:val="restart"/>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指标实际完成值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246"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77" w:type="dxa"/>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三年</w:t>
            </w:r>
          </w:p>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均值</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2023</w:t>
            </w:r>
            <w:r>
              <w:rPr>
                <w:rFonts w:ascii="宋体" w:eastAsia="宋体" w:cs="宋体"/>
                <w:color w:val="000000"/>
                <w:kern w:val="0"/>
                <w:sz w:val="24"/>
              </w:rPr>
              <w:t>年</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2024</w:t>
            </w:r>
            <w:r>
              <w:rPr>
                <w:rFonts w:ascii="宋体" w:eastAsia="宋体" w:cs="宋体"/>
                <w:color w:val="000000"/>
                <w:kern w:val="0"/>
                <w:sz w:val="24"/>
              </w:rPr>
              <w:t>年</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2025</w:t>
            </w:r>
            <w:r>
              <w:rPr>
                <w:rFonts w:ascii="宋体" w:eastAsia="宋体" w:cs="宋体"/>
                <w:color w:val="000000"/>
                <w:kern w:val="0"/>
                <w:sz w:val="24"/>
              </w:rPr>
              <w:t>年</w:t>
            </w:r>
          </w:p>
        </w:tc>
        <w:tc>
          <w:tcPr>
            <w:tcW w:w="1931" w:type="dxa"/>
            <w:vMerge w:val="continue"/>
            <w:tcBorders>
              <w:left w:val="single" w:color="000000" w:sz="4" w:space="0"/>
              <w:right w:val="single" w:color="000000" w:sz="4" w:space="0"/>
            </w:tcBorders>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预算管理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财政拨款</w:t>
            </w:r>
            <w:r>
              <w:rPr>
                <w:rFonts w:ascii="宋体" w:eastAsia="宋体" w:cs="宋体"/>
                <w:color w:val="000000"/>
                <w:kern w:val="0"/>
                <w:sz w:val="24"/>
              </w:rPr>
              <w:t>预算编制偏离度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w:t>
            </w:r>
            <w:r>
              <w:rPr>
                <w:rFonts w:ascii="宋体" w:eastAsia="宋体" w:cs="宋体"/>
                <w:color w:val="000000"/>
                <w:kern w:val="0"/>
                <w:sz w:val="24"/>
              </w:rPr>
              <w:t>125</w:t>
            </w:r>
            <w:r>
              <w:rPr>
                <w:rFonts w:hint="eastAsia" w:ascii="宋体" w:eastAsia="宋体" w:cs="宋体"/>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125.07%</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164%</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120%</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89.69%</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89.69%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单位收入统筹度</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=100</w:t>
            </w:r>
            <w:r>
              <w:rPr>
                <w:rFonts w:hint="eastAsia" w:ascii="宋体" w:eastAsia="宋体" w:cs="宋体"/>
                <w:color w:val="000000"/>
                <w:kern w:val="0"/>
                <w:sz w:val="24"/>
              </w:rPr>
              <w:t>x%</w:t>
            </w:r>
          </w:p>
        </w:tc>
        <w:tc>
          <w:tcPr>
            <w:tcW w:w="77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100%</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100%</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100%</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100%</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预算年终结余</w:t>
            </w:r>
            <w:r>
              <w:rPr>
                <w:rFonts w:ascii="宋体" w:eastAsia="宋体" w:cs="宋体"/>
                <w:color w:val="000000"/>
                <w:kern w:val="0"/>
                <w:sz w:val="24"/>
              </w:rPr>
              <w:t>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w:t>
            </w:r>
            <w:r>
              <w:rPr>
                <w:rFonts w:ascii="宋体" w:eastAsia="宋体" w:cs="宋体"/>
                <w:color w:val="000000"/>
                <w:kern w:val="0"/>
                <w:sz w:val="24"/>
              </w:rPr>
              <w:t>1.66</w:t>
            </w:r>
            <w:r>
              <w:rPr>
                <w:rFonts w:hint="eastAsia" w:ascii="宋体" w:eastAsia="宋体" w:cs="宋体"/>
                <w:color w:val="000000"/>
                <w:kern w:val="0"/>
                <w:sz w:val="24"/>
              </w:rPr>
              <w:t>x%</w:t>
            </w:r>
          </w:p>
        </w:tc>
        <w:tc>
          <w:tcPr>
            <w:tcW w:w="77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1.66%</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1.5%</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1.02%</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2.45%</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2.45%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一般性支出</w:t>
            </w:r>
            <w:r>
              <w:rPr>
                <w:rFonts w:ascii="宋体" w:eastAsia="宋体" w:cs="宋体"/>
                <w:color w:val="000000"/>
                <w:kern w:val="0"/>
                <w:sz w:val="24"/>
              </w:rPr>
              <w:t>金额</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w:t>
            </w:r>
            <w:r>
              <w:rPr>
                <w:rFonts w:ascii="宋体" w:eastAsia="宋体" w:cs="宋体"/>
                <w:color w:val="000000"/>
                <w:kern w:val="0"/>
                <w:sz w:val="24"/>
              </w:rPr>
              <w:t>280.96万元</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280.96为上年一般性支出金额</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405.96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财务管理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财务管理规范</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x</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x</w:t>
            </w:r>
            <w:r>
              <w:rPr>
                <w:rFonts w:ascii="宋体" w:eastAsia="宋体" w:cs="宋体"/>
                <w:color w:val="000000"/>
                <w:kern w:val="0"/>
                <w:sz w:val="24"/>
              </w:rPr>
              <w:t>为“优”“良”“中”或“差”</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资产管理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资产配置预算偏离度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=0%</w:t>
            </w:r>
          </w:p>
        </w:tc>
        <w:tc>
          <w:tcPr>
            <w:tcW w:w="77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0%</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0%</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0%</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0%</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采购管理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采购执行率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=100</w:t>
            </w:r>
            <w:r>
              <w:rPr>
                <w:rFonts w:hint="eastAsia" w:ascii="宋体" w:eastAsia="宋体" w:cs="宋体"/>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100%</w:t>
            </w:r>
          </w:p>
        </w:tc>
        <w:tc>
          <w:tcPr>
            <w:tcW w:w="101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100%</w:t>
            </w:r>
          </w:p>
        </w:tc>
        <w:tc>
          <w:tcPr>
            <w:tcW w:w="104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100%</w:t>
            </w:r>
          </w:p>
        </w:tc>
        <w:tc>
          <w:tcPr>
            <w:tcW w:w="111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100%</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5"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履职效能</w:t>
            </w:r>
          </w:p>
        </w:tc>
        <w:tc>
          <w:tcPr>
            <w:tcW w:w="59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一级指标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二级指标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三级指标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指标值（包含数字及文字描述）</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hint="eastAsia" w:ascii="宋体" w:eastAsia="宋体" w:cs="宋体"/>
                <w:color w:val="000000"/>
                <w:kern w:val="0"/>
                <w:sz w:val="24"/>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时效指标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预计各项经费在年底12前支付完毕。</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支付在年底决算前，支付率大于等于90%。</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三老人员慰问及体检人数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全县预计110名三老人员，每人每年4800元补助。每年可按申报人数进行体检，男400元，女500元标准。</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109人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vMerge w:val="continue"/>
            <w:tcBorders>
              <w:top w:val="single" w:color="000000" w:sz="4" w:space="0"/>
              <w:left w:val="single" w:color="000000" w:sz="4" w:space="0"/>
              <w:bottom w:val="single" w:color="000000" w:sz="4" w:space="0"/>
              <w:right w:val="single" w:color="000000" w:sz="4" w:space="0"/>
            </w:tcBorders>
            <w:noWrap/>
            <w:vAlign w:val="center"/>
          </w:tcPr>
          <w:p/>
        </w:tc>
        <w:tc>
          <w:tcPr>
            <w:vMerge w:val="continue"/>
            <w:tcBorders>
              <w:top w:val="single" w:color="000000" w:sz="4" w:space="0"/>
              <w:left w:val="single" w:color="000000" w:sz="4" w:space="0"/>
              <w:bottom w:val="single" w:color="000000" w:sz="4" w:space="0"/>
              <w:right w:val="single" w:color="000000" w:sz="4" w:space="0"/>
            </w:tcBorders>
            <w:noWrap/>
            <w:vAlign w:val="center"/>
          </w:tc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春节慰问老干部、援藏干部及高层次人才人数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2025年春节预计慰问1600人，包括援藏干部及高层次人才。</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1600人次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vMerge w:val="continue"/>
            <w:tcBorders>
              <w:top w:val="single" w:color="000000" w:sz="4" w:space="0"/>
              <w:left w:val="single" w:color="000000" w:sz="4" w:space="0"/>
              <w:bottom w:val="single" w:color="000000" w:sz="4" w:space="0"/>
              <w:right w:val="single" w:color="000000" w:sz="4" w:space="0"/>
            </w:tcBorders>
            <w:noWrap/>
            <w:vAlign w:val="center"/>
          </w:tcPr>
          <w:p/>
        </w:tc>
        <w:tc>
          <w:tcPr>
            <w:vMerge w:val="continue"/>
            <w:tcBorders>
              <w:top w:val="single" w:color="000000" w:sz="4" w:space="0"/>
              <w:left w:val="single" w:color="000000" w:sz="4" w:space="0"/>
              <w:bottom w:val="single" w:color="000000" w:sz="4" w:space="0"/>
              <w:right w:val="single" w:color="000000" w:sz="4" w:space="0"/>
            </w:tcBorders>
            <w:noWrap/>
            <w:vAlign w:val="center"/>
          </w:tc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党建工作驻村工作人数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全县190名驻村干部发放补贴及工作经费。</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190人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vMerge w:val="continue"/>
            <w:tcBorders>
              <w:top w:val="single" w:color="000000" w:sz="4" w:space="0"/>
              <w:left w:val="single" w:color="000000" w:sz="4" w:space="0"/>
              <w:bottom w:val="single" w:color="000000" w:sz="4" w:space="0"/>
              <w:right w:val="single" w:color="000000" w:sz="4" w:space="0"/>
            </w:tcBorders>
            <w:noWrap/>
            <w:vAlign w:val="center"/>
          </w:tcPr>
          <w:p/>
        </w:tc>
        <w:tc>
          <w:tcPr>
            <w:vMerge w:val="continue"/>
            <w:tcBorders>
              <w:top w:val="single" w:color="000000" w:sz="4" w:space="0"/>
              <w:left w:val="single" w:color="000000" w:sz="4" w:space="0"/>
              <w:bottom w:val="single" w:color="000000" w:sz="4" w:space="0"/>
              <w:right w:val="single" w:color="000000" w:sz="4" w:space="0"/>
            </w:tcBorders>
            <w:noWrap/>
            <w:vAlign w:val="center"/>
          </w:tc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全年开展培训次数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预计开展培训大于等于18次，受惠1500人次。</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39期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离退休干部管理人数及活动次数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全县共计1250名退休干部，预计每年开展20次以上活动。</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25次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老干部管理慰问及活动质量</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活动举办质量高，好评率大于等于90%。</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培训质量受好评率，受益对象收获率。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好评率及收获率大于等于90%。</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满意度指标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党建工作政策覆盖率及受好评率高</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政策覆盖率大于等于98%，受益对象好评率大于等于99%。</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jc w:val="center"/>
        </w:trPr>
        <w:tc>
          <w:tcPr>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全县党建引领工作质量高，基层治理和谐带动社会经济发展，</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基层治理和谐度高、全县经济稳步推进，人才等事业发展稳定。</w:t>
            </w:r>
          </w:p>
        </w:tc>
        <w:tc>
          <w:tcPr>
            <w:tcW w:w="1931"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eastAsia="宋体" w:cs="宋体"/>
                <w:color w:val="000000"/>
                <w:kern w:val="0"/>
                <w:sz w:val="24"/>
              </w:rPr>
            </w:pPr>
            <w:r>
              <w:rPr>
                <w:rFonts w:ascii="宋体" w:eastAsia="宋体" w:cs="宋体"/>
                <w:color w:val="000000"/>
                <w:kern w:val="0"/>
                <w:sz w:val="24"/>
              </w:rPr>
              <w:t>稳定</w:t>
            </w:r>
          </w:p>
        </w:tc>
      </w:tr>
    </w:tbl>
    <w:p>
      <w:pPr>
        <w:rPr>
          <w:rFonts w:eastAsia="黑体"/>
          <w:sz w:val="24"/>
        </w:rPr>
      </w:pPr>
    </w:p>
    <w:p>
      <w:pPr>
        <w:rPr>
          <w:rFonts w:ascii="Times New Roman" w:hAnsi="Times New Roman" w:eastAsia="黑体" w:cs="Times New Roman"/>
          <w:sz w:val="24"/>
          <w:szCs w:val="24"/>
          <w:highlight w:val="none"/>
          <w:lang w:val="en-US" w:eastAsia="zh-CN"/>
        </w:rPr>
      </w:pPr>
    </w:p>
    <w:sectPr>
      <w:headerReference r:id="rId3" w:type="default"/>
      <w:footerReference r:id="rId4" w:type="default"/>
      <w:pgSz w:w="11906" w:h="16838"/>
      <w:pgMar w:top="2098" w:right="1474" w:bottom="1984" w:left="1587" w:header="851" w:footer="992" w:gutter="0"/>
      <w:pgNumType w:fmt="numberInDash"/>
      <w:cols w:space="72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00007A87" w:usb1="80000000" w:usb2="00000008"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
    <w:altName w:val="DejaVu Sans"/>
    <w:panose1 w:val="00000000000000000000"/>
    <w:charset w:val="00"/>
    <w:family w:val="roman"/>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 w:name="方正小标宋简体">
    <w:altName w:val="方正小标宋_GBK"/>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819785" cy="464185"/>
              <wp:effectExtent l="0" t="0" r="0" b="0"/>
              <wp:wrapNone/>
              <wp:docPr id="1" name="文本框 2"/>
              <wp:cNvGraphicFramePr/>
              <a:graphic xmlns:a="http://schemas.openxmlformats.org/drawingml/2006/main">
                <a:graphicData uri="http://schemas.microsoft.com/office/word/2010/wordprocessingShape">
                  <wps:wsp>
                    <wps:cNvSpPr/>
                    <wps:spPr>
                      <a:xfrm>
                        <a:off x="0" y="0"/>
                        <a:ext cx="819911" cy="464134"/>
                      </a:xfrm>
                      <a:prstGeom prst="rect">
                        <a:avLst/>
                      </a:prstGeom>
                      <a:noFill/>
                      <a:ln w="6350" cap="flat" cmpd="sng">
                        <a:noFill/>
                        <a:prstDash val="solid"/>
                        <a:round/>
                      </a:ln>
                    </wps:spPr>
                    <wps:txbx>
                      <w:txbxContent>
                        <w:p>
                          <w:pPr>
                            <w:pStyle w:val="11"/>
                            <w:ind w:right="451" w:rightChars="141"/>
                            <w:jc w:val="right"/>
                            <w:rPr>
                              <w:rFonts w:hint="eastAsia" w:ascii="宋体"/>
                              <w:sz w:val="28"/>
                              <w:szCs w:val="28"/>
                            </w:rPr>
                          </w:pPr>
                          <w:r>
                            <w:rPr>
                              <w:rFonts w:ascii="宋体"/>
                              <w:sz w:val="28"/>
                              <w:szCs w:val="28"/>
                            </w:rPr>
                            <w:fldChar w:fldCharType="begin"/>
                          </w:r>
                          <w:r>
                            <w:rPr>
                              <w:rFonts w:ascii="宋体"/>
                              <w:sz w:val="28"/>
                              <w:szCs w:val="28"/>
                            </w:rPr>
                            <w:instrText xml:space="preserve">PAGE   \* MERGEFORMAT</w:instrText>
                          </w:r>
                          <w:r>
                            <w:rPr>
                              <w:rFonts w:ascii="宋体"/>
                              <w:sz w:val="28"/>
                              <w:szCs w:val="28"/>
                            </w:rPr>
                            <w:fldChar w:fldCharType="separate"/>
                          </w:r>
                          <w:r>
                            <w:rPr>
                              <w:rFonts w:ascii="宋体"/>
                              <w:sz w:val="28"/>
                              <w:szCs w:val="28"/>
                              <w:lang w:val="zh-CN"/>
                            </w:rPr>
                            <w:t>-</w:t>
                          </w:r>
                          <w:r>
                            <w:rPr>
                              <w:rFonts w:ascii="宋体"/>
                              <w:sz w:val="28"/>
                              <w:szCs w:val="28"/>
                            </w:rPr>
                            <w:t xml:space="preserve"> 3 -</w:t>
                          </w:r>
                          <w:r>
                            <w:rPr>
                              <w:rFonts w:ascii="宋体"/>
                              <w:sz w:val="28"/>
                              <w:szCs w:val="28"/>
                            </w:rPr>
                            <w:fldChar w:fldCharType="end"/>
                          </w:r>
                        </w:p>
                        <w:p/>
                      </w:txbxContent>
                    </wps:txbx>
                    <wps:bodyPr vert="horz" wrap="none" lIns="0" tIns="0" rIns="0" bIns="0" anchor="t" anchorCtr="0" upright="0">
                      <a:spAutoFit/>
                    </wps:bodyPr>
                  </wps:wsp>
                </a:graphicData>
              </a:graphic>
            </wp:anchor>
          </w:drawing>
        </mc:Choice>
        <mc:Fallback>
          <w:pict>
            <v:rect id="文本框 2" o:spid="_x0000_s1026" o:spt="1" style="position:absolute;left:0pt;margin-top:0pt;height:36.55pt;width:64.55pt;mso-position-horizontal:outside;mso-position-horizontal-relative:margin;mso-wrap-style:none;z-index:251659264;mso-width-relative:page;mso-height-relative:page;" filled="f" stroked="f" coordsize="21600,21600" o:gfxdata="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BYAAABkcnMvUEsBAhQAFAAAAAgAh07iQN80orjYAAAABAEA&#10;AA8AAAAAAAAAAQAgAAAAOAAAAGRycy9kb3ducmV2LnhtbFBLAQIUABQAAAAIAIdO4kC4HPeMBAIA&#10;APQDAAAOAAAAAAAAAAEAIAAAAD0BAABkcnMvZTJvRG9jLnhtbFBLBQYAAAAABgAGAFkBAACzBQAA&#10;AAA=&#10;">
              <v:fill on="f" focussize="0,0"/>
              <v:stroke on="f" weight="0.5pt" joinstyle="round"/>
              <v:imagedata o:title=""/>
              <o:lock v:ext="edit" aspectratio="f"/>
              <v:textbox inset="0mm,0mm,0mm,0mm" style="mso-fit-shape-to-text:t;">
                <w:txbxContent>
                  <w:p>
                    <w:pPr>
                      <w:pStyle w:val="11"/>
                      <w:ind w:right="451" w:rightChars="141"/>
                      <w:jc w:val="right"/>
                      <w:rPr>
                        <w:rFonts w:hint="eastAsia" w:ascii="宋体"/>
                        <w:sz w:val="28"/>
                        <w:szCs w:val="28"/>
                      </w:rPr>
                    </w:pPr>
                    <w:r>
                      <w:rPr>
                        <w:rFonts w:ascii="宋体"/>
                        <w:sz w:val="28"/>
                        <w:szCs w:val="28"/>
                      </w:rPr>
                      <w:fldChar w:fldCharType="begin"/>
                    </w:r>
                    <w:r>
                      <w:rPr>
                        <w:rFonts w:ascii="宋体"/>
                        <w:sz w:val="28"/>
                        <w:szCs w:val="28"/>
                      </w:rPr>
                      <w:instrText xml:space="preserve">PAGE   \* MERGEFORMAT</w:instrText>
                    </w:r>
                    <w:r>
                      <w:rPr>
                        <w:rFonts w:ascii="宋体"/>
                        <w:sz w:val="28"/>
                        <w:szCs w:val="28"/>
                      </w:rPr>
                      <w:fldChar w:fldCharType="separate"/>
                    </w:r>
                    <w:r>
                      <w:rPr>
                        <w:rFonts w:ascii="宋体"/>
                        <w:sz w:val="28"/>
                        <w:szCs w:val="28"/>
                        <w:lang w:val="zh-CN"/>
                      </w:rPr>
                      <w:t>-</w:t>
                    </w:r>
                    <w:r>
                      <w:rPr>
                        <w:rFonts w:ascii="宋体"/>
                        <w:sz w:val="28"/>
                        <w:szCs w:val="28"/>
                      </w:rPr>
                      <w:t xml:space="preserve"> 3 -</w:t>
                    </w:r>
                    <w:r>
                      <w:rPr>
                        <w:rFonts w:ascii="宋体"/>
                        <w:sz w:val="28"/>
                        <w:szCs w:val="28"/>
                      </w:rPr>
                      <w:fldChar w:fldCharType="end"/>
                    </w:r>
                  </w:p>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93FE8E"/>
    <w:multiLevelType w:val="singleLevel"/>
    <w:tmpl w:val="1593FE8E"/>
    <w:lvl w:ilvl="0" w:tentative="0">
      <w:start w:val="2"/>
      <w:numFmt w:val="chineseCounting"/>
      <w:suff w:val="nothing"/>
      <w:lvlText w:val="（%1）"/>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60"/>
  <w:drawingGridVerticalSpacing w:val="435"/>
  <w:displayHorizontalDrawingGridEvery w:val="1"/>
  <w:displayVerticalDrawingGridEvery w:val="1"/>
  <w:noPunctuationKerning w:val="1"/>
  <w:characterSpacingControl w:val="compressPunctuation"/>
  <w:compat>
    <w:spaceForUL/>
    <w:balanceSingleByteDoubleByteWidth/>
    <w:ulTrailSpace/>
    <w:doNotExpandShiftReturn/>
    <w:adjustLineHeightInTable/>
    <w:useFELayout/>
    <w:doNotUseIndentAsNumberingTabStop/>
    <w:useAltKinsokuLineBreakRules/>
    <w:compatSetting w:name="compatibilityMode" w:uri="http://schemas.microsoft.com/office/word" w:val="14"/>
  </w:compat>
  <w:rsids>
    <w:rsidRoot w:val="00000000"/>
    <w:rsid w:val="0F9F36F7"/>
    <w:rsid w:val="1B9FEE86"/>
    <w:rsid w:val="5D97471E"/>
    <w:rsid w:val="5FAB0416"/>
    <w:rsid w:val="66EA3DB8"/>
    <w:rsid w:val="79EFF265"/>
    <w:rsid w:val="7FFB7F92"/>
    <w:rsid w:val="9B7FB566"/>
    <w:rsid w:val="AEDF4736"/>
    <w:rsid w:val="C74E062C"/>
    <w:rsid w:val="DBFE6452"/>
    <w:rsid w:val="EFFF87FC"/>
    <w:rsid w:val="F3FF15FB"/>
    <w:rsid w:val="FDAE56A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3">
    <w:name w:val="heading 1"/>
    <w:basedOn w:val="1"/>
    <w:next w:val="1"/>
    <w:qFormat/>
    <w:uiPriority w:val="0"/>
    <w:pPr>
      <w:keepNext/>
      <w:keepLines/>
      <w:widowControl w:val="0"/>
      <w:spacing w:before="340" w:after="330" w:line="578" w:lineRule="auto"/>
      <w:outlineLvl w:val="0"/>
    </w:pPr>
    <w:rPr>
      <w:b/>
      <w:bCs/>
      <w:kern w:val="44"/>
      <w:sz w:val="44"/>
    </w:rPr>
  </w:style>
  <w:style w:type="paragraph" w:styleId="4">
    <w:name w:val="heading 2"/>
    <w:basedOn w:val="1"/>
    <w:next w:val="1"/>
    <w:qFormat/>
    <w:uiPriority w:val="0"/>
    <w:pPr>
      <w:keepNext/>
      <w:keepLines/>
      <w:widowControl w:val="0"/>
      <w:spacing w:before="260" w:after="260" w:line="415" w:lineRule="auto"/>
      <w:outlineLvl w:val="1"/>
    </w:pPr>
    <w:rPr>
      <w:rFonts w:ascii="Times New Roman" w:hAnsi="Times New Roman" w:eastAsia="黑体"/>
      <w:b/>
      <w:sz w:val="32"/>
    </w:rPr>
  </w:style>
  <w:style w:type="paragraph" w:styleId="5">
    <w:name w:val="heading 3"/>
    <w:basedOn w:val="1"/>
    <w:next w:val="1"/>
    <w:qFormat/>
    <w:uiPriority w:val="0"/>
    <w:pPr>
      <w:keepNext/>
      <w:keepLines/>
      <w:widowControl w:val="0"/>
      <w:spacing w:before="260" w:after="260" w:line="415" w:lineRule="auto"/>
      <w:outlineLvl w:val="2"/>
    </w:pPr>
    <w:rPr>
      <w:b/>
      <w:sz w:val="32"/>
    </w:rPr>
  </w:style>
  <w:style w:type="character" w:default="1" w:styleId="17">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table of figures"/>
    <w:basedOn w:val="1"/>
    <w:next w:val="1"/>
    <w:qFormat/>
    <w:uiPriority w:val="0"/>
    <w:pPr>
      <w:widowControl w:val="0"/>
      <w:spacing w:before="100" w:beforeAutospacing="1" w:after="100" w:afterAutospacing="1"/>
      <w:ind w:left="400" w:leftChars="200" w:hanging="200" w:hangingChars="200"/>
      <w:jc w:val="both"/>
    </w:pPr>
    <w:rPr>
      <w:rFonts w:ascii="Calibri" w:hAnsi="Calibri" w:eastAsia="宋体" w:cs="Times New Roman"/>
      <w:kern w:val="0"/>
      <w:sz w:val="20"/>
      <w:szCs w:val="21"/>
      <w:lang w:val="en-US" w:eastAsia="zh-CN" w:bidi="ar-SA"/>
    </w:rPr>
  </w:style>
  <w:style w:type="paragraph" w:styleId="6">
    <w:name w:val="Normal Indent"/>
    <w:basedOn w:val="1"/>
    <w:next w:val="1"/>
    <w:qFormat/>
    <w:uiPriority w:val="0"/>
    <w:pPr>
      <w:spacing w:before="50" w:beforeLines="50" w:line="360" w:lineRule="auto"/>
      <w:ind w:firstLine="200" w:firstLineChars="200"/>
    </w:pPr>
    <w:rPr>
      <w:rFonts w:eastAsia="仿宋"/>
      <w:sz w:val="24"/>
      <w:szCs w:val="23"/>
      <w:lang w:eastAsia="ar-SA"/>
    </w:rPr>
  </w:style>
  <w:style w:type="paragraph" w:styleId="7">
    <w:name w:val="Document Map"/>
    <w:basedOn w:val="1"/>
    <w:qFormat/>
    <w:uiPriority w:val="0"/>
    <w:rPr>
      <w:rFonts w:ascii="宋体" w:eastAsia="宋体"/>
      <w:sz w:val="18"/>
      <w:szCs w:val="18"/>
    </w:rPr>
  </w:style>
  <w:style w:type="paragraph" w:styleId="8">
    <w:name w:val="Body Text"/>
    <w:basedOn w:val="1"/>
    <w:next w:val="1"/>
    <w:qFormat/>
    <w:uiPriority w:val="0"/>
    <w:pPr>
      <w:spacing w:after="120"/>
    </w:pPr>
  </w:style>
  <w:style w:type="paragraph" w:styleId="9">
    <w:name w:val="Body Text Indent"/>
    <w:basedOn w:val="1"/>
    <w:qFormat/>
    <w:uiPriority w:val="0"/>
    <w:pPr>
      <w:spacing w:after="120"/>
      <w:ind w:left="200" w:leftChars="200"/>
    </w:pPr>
    <w:rPr>
      <w:rFonts w:ascii="仿宋_GB2312"/>
      <w:szCs w:val="32"/>
    </w:rPr>
  </w:style>
  <w:style w:type="paragraph" w:styleId="10">
    <w:name w:val="Balloon Text"/>
    <w:basedOn w:val="1"/>
    <w:qFormat/>
    <w:uiPriority w:val="0"/>
    <w:rPr>
      <w:sz w:val="18"/>
      <w:szCs w:val="18"/>
    </w:rPr>
  </w:style>
  <w:style w:type="paragraph" w:styleId="11">
    <w:name w:val="footer"/>
    <w:basedOn w:val="1"/>
    <w:qFormat/>
    <w:uiPriority w:val="0"/>
    <w:pPr>
      <w:tabs>
        <w:tab w:val="center" w:pos="4153"/>
        <w:tab w:val="right" w:pos="8306"/>
      </w:tabs>
      <w:snapToGrid w:val="0"/>
      <w:jc w:val="left"/>
    </w:pPr>
    <w:rPr>
      <w:rFonts w:eastAsia="宋体"/>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13">
    <w:name w:val="toc 1"/>
    <w:basedOn w:val="1"/>
    <w:next w:val="1"/>
    <w:qFormat/>
    <w:uiPriority w:val="0"/>
  </w:style>
  <w:style w:type="paragraph" w:styleId="14">
    <w:name w:val="Normal (Web)"/>
    <w:basedOn w:val="1"/>
    <w:qFormat/>
    <w:uiPriority w:val="0"/>
    <w:pPr>
      <w:spacing w:before="100" w:beforeAutospacing="1" w:after="100" w:afterAutospacing="1"/>
    </w:pPr>
  </w:style>
  <w:style w:type="paragraph" w:styleId="15">
    <w:name w:val="Body Text First Indent 2"/>
    <w:basedOn w:val="9"/>
    <w:qFormat/>
    <w:uiPriority w:val="0"/>
    <w:pPr>
      <w:ind w:firstLine="200" w:firstLineChars="200"/>
    </w:pPr>
  </w:style>
  <w:style w:type="character" w:styleId="18">
    <w:name w:val="page number"/>
    <w:basedOn w:val="17"/>
    <w:qFormat/>
    <w:uiPriority w:val="0"/>
  </w:style>
  <w:style w:type="paragraph" w:customStyle="1" w:styleId="19">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20">
    <w:name w:val="四号正文"/>
    <w:basedOn w:val="1"/>
    <w:qFormat/>
    <w:uiPriority w:val="0"/>
    <w:pPr>
      <w:spacing w:line="360" w:lineRule="auto"/>
    </w:pPr>
    <w:rPr>
      <w:rFonts w:ascii="??" w:hAnsi="??" w:eastAsia="宋体" w:cs="宋体"/>
      <w:color w:val="000000"/>
      <w:kern w:val="0"/>
      <w:sz w:val="28"/>
      <w:szCs w:val="21"/>
    </w:rPr>
  </w:style>
  <w:style w:type="paragraph" w:customStyle="1" w:styleId="21">
    <w:name w:val="a"/>
    <w:basedOn w:val="1"/>
    <w:qFormat/>
    <w:uiPriority w:val="0"/>
    <w:pPr>
      <w:widowControl/>
      <w:spacing w:before="100" w:beforeAutospacing="1" w:after="100" w:afterAutospacing="1"/>
      <w:jc w:val="left"/>
    </w:pPr>
    <w:rPr>
      <w:rFonts w:ascii="宋体" w:eastAsia="宋体" w:cs="宋体"/>
      <w:kern w:val="0"/>
      <w:sz w:val="24"/>
    </w:rPr>
  </w:style>
  <w:style w:type="character" w:customStyle="1" w:styleId="22">
    <w:name w:val="font31"/>
    <w:basedOn w:val="17"/>
    <w:qFormat/>
    <w:uiPriority w:val="0"/>
    <w:rPr>
      <w:rFonts w:ascii="宋体" w:eastAsia="宋体" w:cs="宋体"/>
      <w:color w:val="000000"/>
      <w:sz w:val="24"/>
      <w:szCs w:val="24"/>
      <w:u w:val="none"/>
    </w:rPr>
  </w:style>
  <w:style w:type="character" w:customStyle="1" w:styleId="23">
    <w:name w:val="font51"/>
    <w:basedOn w:val="17"/>
    <w:qFormat/>
    <w:uiPriority w:val="0"/>
    <w:rPr>
      <w:rFonts w:ascii="Wingdings 2" w:hAnsi="Wingdings 2" w:eastAsia="Wingdings 2" w:cs="Wingdings 2"/>
      <w:color w:val="000000"/>
      <w:sz w:val="18"/>
      <w:szCs w:val="18"/>
      <w:u w:val="none"/>
    </w:rPr>
  </w:style>
  <w:style w:type="character" w:customStyle="1" w:styleId="24">
    <w:name w:val="font01"/>
    <w:basedOn w:val="17"/>
    <w:qFormat/>
    <w:uiPriority w:val="0"/>
    <w:rPr>
      <w:rFonts w:ascii="宋体" w:eastAsia="宋体" w:cs="宋体"/>
      <w:color w:val="000000"/>
      <w:sz w:val="18"/>
      <w:szCs w:val="18"/>
      <w:u w:val="none"/>
    </w:rPr>
  </w:style>
  <w:style w:type="character" w:customStyle="1" w:styleId="25">
    <w:name w:val="font41"/>
    <w:basedOn w:val="17"/>
    <w:qFormat/>
    <w:uiPriority w:val="0"/>
    <w:rPr>
      <w:rFonts w:ascii="宋体" w:eastAsia="宋体" w:cs="宋体"/>
      <w:color w:val="000000"/>
      <w:sz w:val="18"/>
      <w:szCs w:val="18"/>
      <w:u w:val="none"/>
    </w:rPr>
  </w:style>
  <w:style w:type="paragraph" w:customStyle="1" w:styleId="26">
    <w:name w:val="文章正文"/>
    <w:qFormat/>
    <w:uiPriority w:val="0"/>
    <w:pPr>
      <w:adjustRightInd w:val="0"/>
      <w:snapToGrid w:val="0"/>
      <w:spacing w:line="560" w:lineRule="exact"/>
      <w:ind w:firstLine="200" w:firstLineChars="200"/>
      <w:jc w:val="both"/>
    </w:pPr>
    <w:rPr>
      <w:rFonts w:ascii="Times New Roman" w:hAnsi="Times New Roman" w:eastAsia="仿宋_GB2312" w:cs="Times New Roman"/>
      <w:sz w:val="32"/>
      <w:szCs w:val="20"/>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PSZX</Company>
  <Pages>28</Pages>
  <Words>9899</Words>
  <Characters>11190</Characters>
  <Lines>2003</Lines>
  <Paragraphs>1121</Paragraphs>
  <TotalTime>0</TotalTime>
  <ScaleCrop>false</ScaleCrop>
  <LinksUpToDate>false</LinksUpToDate>
  <CharactersWithSpaces>11252</CharactersWithSpaces>
  <Application>WPS Office_11.1.0.10702_F1E327BC-269C-435d-A152-05C5408002CA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2019-05-30T03:06:00Z</dcterms:created>
  <dc:creator>陈萍</dc:creator>
  <cp:lastModifiedBy>user</cp:lastModifiedBy>
  <cp:lastPrinted>2025-09-08T18:33:00Z</cp:lastPrinted>
  <dcterms:modified xsi:type="dcterms:W3CDTF">2026-08-19T11:35:49Z</dcterms:modified>
  <dc:title>区域性就业培训基地建设项目</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A51A36801428E9B041879466C62AECE8</vt:lpwstr>
  </property>
</Properties>
</file>