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33" w:lineRule="exact"/>
        <w:ind w:right="25"/>
        <w:jc w:val="center"/>
      </w:pPr>
      <w:r>
        <w:rPr>
          <w:rFonts w:hint="eastAsia" w:ascii="方正小标宋_GBK" w:eastAsia="方正小标宋_GBK"/>
          <w:b/>
          <w:color w:val="FF0000"/>
          <w:sz w:val="90"/>
        </w:rPr>
        <w:t>中共黑水县委宣传部</w:t>
      </w:r>
    </w:p>
    <w:p>
      <w:pPr>
        <w:pStyle w:val="2"/>
        <w:spacing w:before="11"/>
        <w:rPr>
          <w:rFonts w:ascii="Times New Roman" w:eastAsia="方正小标宋简体"/>
          <w:bCs/>
          <w:sz w:val="44"/>
          <w:szCs w:val="44"/>
          <w:shd w:val="clear" w:color="auto" w:fill="FFFFFF"/>
          <w:lang w:eastAsia="zh-CN"/>
        </w:rPr>
      </w:pPr>
      <w:r>
        <mc:AlternateContent>
          <mc:Choice Requires="wpg">
            <w:drawing>
              <wp:anchor distT="0" distB="0" distL="114300" distR="114300" simplePos="0" relativeHeight="251659264" behindDoc="1" locked="0" layoutInCell="1" allowOverlap="1">
                <wp:simplePos x="0" y="0"/>
                <wp:positionH relativeFrom="page">
                  <wp:posOffset>979805</wp:posOffset>
                </wp:positionH>
                <wp:positionV relativeFrom="paragraph">
                  <wp:posOffset>267335</wp:posOffset>
                </wp:positionV>
                <wp:extent cx="5601970" cy="71120"/>
                <wp:effectExtent l="0" t="0" r="6350" b="5080"/>
                <wp:wrapTopAndBottom/>
                <wp:docPr id="1" name="组合 3"/>
                <wp:cNvGraphicFramePr/>
                <a:graphic xmlns:a="http://schemas.openxmlformats.org/drawingml/2006/main">
                  <a:graphicData uri="http://schemas.microsoft.com/office/word/2010/wordprocessingGroup">
                    <wpg:wgp>
                      <wpg:cNvGrpSpPr/>
                      <wpg:grpSpPr>
                        <a:xfrm>
                          <a:off x="0" y="0"/>
                          <a:ext cx="5601970" cy="71120"/>
                          <a:chOff x="1544" y="422"/>
                          <a:chExt cx="8822" cy="112"/>
                        </a:xfrm>
                        <a:effectLst/>
                      </wpg:grpSpPr>
                      <wps:wsp>
                        <wps:cNvPr id="3" name="直接连接符 1"/>
                        <wps:cNvCnPr/>
                        <wps:spPr>
                          <a:xfrm>
                            <a:off x="1544" y="452"/>
                            <a:ext cx="8822" cy="0"/>
                          </a:xfrm>
                          <a:prstGeom prst="line">
                            <a:avLst/>
                          </a:prstGeom>
                          <a:ln w="38100" cap="flat" cmpd="sng">
                            <a:solidFill>
                              <a:srgbClr val="FF0000"/>
                            </a:solidFill>
                            <a:prstDash val="solid"/>
                            <a:headEnd type="none" w="med" len="med"/>
                            <a:tailEnd type="none" w="med" len="med"/>
                          </a:ln>
                          <a:effectLst/>
                        </wps:spPr>
                        <wps:bodyPr upright="1"/>
                      </wps:wsp>
                      <wps:wsp>
                        <wps:cNvPr id="4" name="直接连接符 2"/>
                        <wps:cNvCnPr/>
                        <wps:spPr>
                          <a:xfrm>
                            <a:off x="1544" y="524"/>
                            <a:ext cx="8822" cy="0"/>
                          </a:xfrm>
                          <a:prstGeom prst="line">
                            <a:avLst/>
                          </a:prstGeom>
                          <a:ln w="12700" cap="flat" cmpd="sng">
                            <a:solidFill>
                              <a:srgbClr val="FF0000"/>
                            </a:solidFill>
                            <a:prstDash val="solid"/>
                            <a:headEnd type="none" w="med" len="med"/>
                            <a:tailEnd type="none" w="med" len="med"/>
                          </a:ln>
                          <a:effectLst/>
                        </wps:spPr>
                        <wps:bodyPr upright="1"/>
                      </wps:wsp>
                    </wpg:wgp>
                  </a:graphicData>
                </a:graphic>
              </wp:anchor>
            </w:drawing>
          </mc:Choice>
          <mc:Fallback>
            <w:pict>
              <v:group id="组合 3" o:spid="_x0000_s1026" o:spt="203" style="position:absolute;left:0pt;margin-left:77.15pt;margin-top:21.05pt;height:5.6pt;width:441.1pt;mso-position-horizontal-relative:page;mso-wrap-distance-bottom:0pt;mso-wrap-distance-top:0pt;z-index:-251657216;mso-width-relative:page;mso-height-relative:page;" coordorigin="1544,422" coordsize="8822,112" o:gfxdata="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BYAAABk&#10;cnMvUEsBAhQAFAAAAAgAh07iQCWPL2nZAAAACgEAAA8AAAAAAAAAAQAgAAAAOAAAAGRycy9kb3du&#10;cmV2LnhtbFBLAQIUABQAAAAIAIdO4kCNS9OHkwIAAEcHAAAOAAAAAAAAAAEAIAAAAD4BAABkcnMv&#10;ZTJvRG9jLnhtbFBLBQYAAAAABgAGAFkBAABDBgAAAAA=&#10;">
                <o:lock v:ext="edit" aspectratio="f"/>
                <v:line id="直接连接符 1" o:spid="_x0000_s1026" o:spt="20" style="position:absolute;left:1544;top:452;height:0;width:8822;" filled="f" stroked="t" coordsize="21600,21600" o:gfxdata="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NQEVvwAAANoAAAAPAAAAAAAAAAEAIAAAADgAAABkcnMvZG93bnJl&#10;di54bWxQSwECFAAUAAAACACHTuJAMy8FnjsAAAA5AAAAEAAAAAAAAAABACAAAAAkAQAAZHJzL3No&#10;YXBleG1sLnhtbFBLBQYAAAAABgAGAFsBAADOAwAAAAA=&#10;">
                  <v:fill on="f" focussize="0,0"/>
                  <v:stroke weight="3pt" color="#FF0000" joinstyle="round"/>
                  <v:imagedata o:title=""/>
                  <o:lock v:ext="edit" aspectratio="f"/>
                </v:line>
                <v:line id="直接连接符 2" o:spid="_x0000_s1026" o:spt="20" style="position:absolute;left:1544;top:524;height:0;width:8822;" filled="f" stroked="t" coordsize="21600,21600" o:gfxdata="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uFm4r0AAADaAAAADwAAAAAAAAABACAAAAA4AAAAZHJzL2Rvd25yZXYu&#10;eG1sUEsBAhQAFAAAAAgAh07iQDMvBZ47AAAAOQAAABAAAAAAAAAAAQAgAAAAIgEAAGRycy9zaGFw&#10;ZXhtbC54bWxQSwUGAAAAAAYABgBbAQAAzAMAAAAA&#10;">
                  <v:fill on="f" focussize="0,0"/>
                  <v:stroke weight="1pt" color="#FF0000" joinstyle="round"/>
                  <v:imagedata o:title=""/>
                  <o:lock v:ext="edit" aspectratio="f"/>
                </v:line>
                <w10:wrap type="topAndBottom"/>
              </v:group>
            </w:pict>
          </mc:Fallback>
        </mc:AlternateContent>
      </w:r>
    </w:p>
    <w:p>
      <w:pPr>
        <w:widowControl/>
        <w:spacing w:line="560" w:lineRule="exact"/>
        <w:jc w:val="center"/>
        <w:rPr>
          <w:rFonts w:hint="eastAsia" w:eastAsia="方正小标宋简体"/>
          <w:bCs/>
          <w:sz w:val="44"/>
          <w:szCs w:val="44"/>
          <w:shd w:val="clear" w:color="auto" w:fill="FFFFFF"/>
          <w:lang w:eastAsia="zh-CN"/>
        </w:rPr>
      </w:pPr>
      <w:r>
        <w:rPr>
          <w:rFonts w:hint="eastAsia" w:eastAsia="方正小标宋简体"/>
          <w:bCs/>
          <w:sz w:val="44"/>
          <w:szCs w:val="44"/>
          <w:shd w:val="clear" w:color="auto" w:fill="FFFFFF"/>
        </w:rPr>
        <w:t>中共黑水县委宣传部</w:t>
      </w:r>
      <w:r>
        <w:rPr>
          <w:rFonts w:hint="eastAsia" w:eastAsia="方正小标宋简体"/>
          <w:bCs/>
          <w:sz w:val="44"/>
          <w:szCs w:val="44"/>
          <w:shd w:val="clear" w:color="auto" w:fill="FFFFFF"/>
          <w:lang w:eastAsia="zh-CN"/>
        </w:rPr>
        <w:t>（</w:t>
      </w:r>
      <w:r>
        <w:rPr>
          <w:rFonts w:hint="eastAsia" w:eastAsia="方正小标宋简体"/>
          <w:bCs/>
          <w:sz w:val="44"/>
          <w:szCs w:val="44"/>
          <w:shd w:val="clear" w:color="auto" w:fill="FFFFFF"/>
          <w:lang w:val="en-US" w:eastAsia="zh-CN"/>
        </w:rPr>
        <w:t>事业</w:t>
      </w:r>
      <w:r>
        <w:rPr>
          <w:rFonts w:hint="eastAsia" w:eastAsia="方正小标宋简体"/>
          <w:bCs/>
          <w:sz w:val="44"/>
          <w:szCs w:val="44"/>
          <w:shd w:val="clear" w:color="auto" w:fill="FFFFFF"/>
          <w:lang w:eastAsia="zh-CN"/>
        </w:rPr>
        <w:t>）</w:t>
      </w:r>
    </w:p>
    <w:p>
      <w:pPr>
        <w:widowControl/>
        <w:spacing w:line="560" w:lineRule="exact"/>
        <w:jc w:val="center"/>
        <w:rPr>
          <w:szCs w:val="32"/>
          <w:shd w:val="clear" w:color="auto" w:fill="FFFFFF"/>
        </w:rPr>
      </w:pPr>
      <w:r>
        <w:rPr>
          <w:rFonts w:hint="eastAsia" w:eastAsia="方正小标宋简体"/>
          <w:bCs/>
          <w:sz w:val="44"/>
          <w:szCs w:val="44"/>
          <w:shd w:val="clear" w:color="auto" w:fill="FFFFFF"/>
        </w:rPr>
        <w:t>2023年财政支出绩效评价报告</w:t>
      </w:r>
    </w:p>
    <w:p>
      <w:pPr>
        <w:widowControl/>
        <w:adjustRightInd w:val="0"/>
        <w:snapToGrid w:val="0"/>
        <w:spacing w:line="56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60" w:lineRule="exact"/>
        <w:ind w:firstLine="640" w:firstLineChars="200"/>
        <w:contextualSpacing/>
        <w:jc w:val="left"/>
        <w:rPr>
          <w:szCs w:val="32"/>
        </w:rPr>
      </w:pPr>
      <w:r>
        <w:rPr>
          <w:rFonts w:hint="eastAsia" w:eastAsia="黑体"/>
          <w:color w:val="000000"/>
          <w:kern w:val="0"/>
          <w:szCs w:val="32"/>
          <w:shd w:val="clear" w:color="auto" w:fill="FFFFFF"/>
          <w:lang w:val="zh-CN"/>
        </w:rPr>
        <w:t>一、</w:t>
      </w:r>
      <w:r>
        <w:rPr>
          <w:rFonts w:eastAsia="黑体"/>
          <w:color w:val="000000"/>
          <w:kern w:val="0"/>
          <w:szCs w:val="32"/>
          <w:shd w:val="clear" w:color="auto" w:fill="FFFFFF"/>
          <w:lang w:val="zh-CN"/>
        </w:rPr>
        <w:t>部门（单位）基本情况</w:t>
      </w:r>
    </w:p>
    <w:p>
      <w:pPr>
        <w:spacing w:line="560" w:lineRule="exact"/>
        <w:ind w:firstLine="600"/>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（一）</w:t>
      </w:r>
      <w:r>
        <w:rPr>
          <w:rFonts w:eastAsia="楷体_GB2312"/>
          <w:b/>
          <w:bCs/>
          <w:color w:val="000000"/>
          <w:kern w:val="0"/>
          <w:szCs w:val="32"/>
          <w:shd w:val="clear" w:color="auto" w:fill="FFFFFF"/>
          <w:lang w:val="zh-CN"/>
        </w:rPr>
        <w:t>机构组成。</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中共黑水县委宣传部事业总编制12名，其中：县文联4名，互联网信息中心8名。在职人员总数9人，其中：</w:t>
      </w:r>
      <w:r>
        <w:rPr>
          <w:rFonts w:hint="eastAsia" w:ascii="仿宋_GB2312" w:hAnsi="仿宋_GB2312" w:cs="仿宋_GB2312"/>
          <w:szCs w:val="32"/>
          <w:lang w:val="en-US" w:eastAsia="zh-CN"/>
        </w:rPr>
        <w:t>县文联3人，互联网信息中心6人</w:t>
      </w:r>
      <w:r>
        <w:rPr>
          <w:rFonts w:hint="eastAsia" w:ascii="仿宋_GB2312" w:hAnsi="仿宋_GB2312" w:cs="仿宋_GB2312"/>
          <w:szCs w:val="32"/>
        </w:rPr>
        <w:t>。</w:t>
      </w:r>
    </w:p>
    <w:p>
      <w:pPr>
        <w:spacing w:line="560" w:lineRule="exact"/>
        <w:ind w:firstLine="642" w:firstLineChars="200"/>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rPr>
        <w:t>(二）</w:t>
      </w:r>
      <w:r>
        <w:rPr>
          <w:rFonts w:eastAsia="楷体_GB2312"/>
          <w:b/>
          <w:bCs/>
          <w:color w:val="000000"/>
          <w:kern w:val="0"/>
          <w:szCs w:val="32"/>
          <w:shd w:val="clear" w:color="auto" w:fill="FFFFFF"/>
          <w:lang w:val="zh-CN"/>
        </w:rPr>
        <w:t>机构职能</w:t>
      </w:r>
      <w:r>
        <w:rPr>
          <w:rFonts w:hint="eastAsia" w:eastAsia="楷体_GB2312"/>
          <w:b/>
          <w:bCs/>
          <w:color w:val="000000"/>
          <w:kern w:val="0"/>
          <w:szCs w:val="32"/>
          <w:shd w:val="clear" w:color="auto" w:fill="FFFFFF"/>
          <w:lang w:val="zh-CN"/>
        </w:rPr>
        <w:t>。</w:t>
      </w:r>
    </w:p>
    <w:p>
      <w:pPr>
        <w:pStyle w:val="7"/>
        <w:widowControl/>
        <w:snapToGrid w:val="0"/>
        <w:spacing w:before="0" w:beforeAutospacing="0" w:after="0" w:afterAutospacing="0"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中共黑水县委宣传部是黑水县委负责宣传思想工作的综合职能部门，主要职责是在县委统一领导下，研究全县的宣传思想工作动态，安排部署全县的宣传思想、精神文明建设等工作，组织实施理论研究、理论学习、理论宣传和对外宣传以及新闻报道等工作；负责引导社会舆论和加强网络建设监管，指导文化体育工作，协调精神产品的生产和文化市场的管理以及群众思想教育等工作</w:t>
      </w:r>
      <w:r>
        <w:rPr>
          <w:rFonts w:hint="eastAsia" w:ascii="仿宋_GB2312" w:hAnsi="仿宋_GB2312" w:cs="仿宋_GB2312"/>
          <w:szCs w:val="32"/>
        </w:rPr>
        <w:t>。</w:t>
      </w:r>
    </w:p>
    <w:p>
      <w:pPr>
        <w:spacing w:line="560" w:lineRule="exac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r>
        <w:rPr>
          <w:rFonts w:hint="eastAsia" w:eastAsia="楷体_GB2312"/>
          <w:b/>
          <w:bCs/>
          <w:color w:val="000000"/>
          <w:kern w:val="0"/>
          <w:szCs w:val="32"/>
          <w:shd w:val="clear" w:color="auto" w:fill="FFFFFF"/>
          <w:lang w:val="zh-CN"/>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中共黑水县委宣传部事业总编制12名，其中：县文联4名，互联网信息中心8名。在职人员总数9人，其中：</w:t>
      </w:r>
      <w:r>
        <w:rPr>
          <w:rFonts w:hint="eastAsia" w:ascii="仿宋_GB2312" w:hAnsi="仿宋_GB2312" w:cs="仿宋_GB2312"/>
          <w:szCs w:val="32"/>
          <w:lang w:val="en-US" w:eastAsia="zh-CN"/>
        </w:rPr>
        <w:t>县文联3人，互联网信息中心6人</w:t>
      </w:r>
      <w:r>
        <w:rPr>
          <w:rFonts w:hint="eastAsia" w:ascii="仿宋_GB2312" w:hAnsi="仿宋_GB2312" w:cs="仿宋_GB2312"/>
          <w:szCs w:val="32"/>
        </w:rPr>
        <w:t>。</w:t>
      </w:r>
    </w:p>
    <w:p>
      <w:pPr>
        <w:widowControl/>
        <w:adjustRightInd w:val="0"/>
        <w:snapToGrid w:val="0"/>
        <w:spacing w:line="56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widowControl/>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收入情况</w:t>
      </w:r>
      <w:r>
        <w:rPr>
          <w:rFonts w:eastAsia="楷体_GB2312"/>
          <w:b/>
          <w:bCs/>
          <w:color w:val="000000"/>
          <w:kern w:val="0"/>
          <w:szCs w:val="32"/>
          <w:shd w:val="clear" w:color="auto" w:fill="FFFFFF"/>
          <w:lang w:val="zh-CN"/>
        </w:rPr>
        <w:t>。</w:t>
      </w:r>
    </w:p>
    <w:p>
      <w:pPr>
        <w:widowControl/>
        <w:adjustRightInd w:val="0"/>
        <w:snapToGrid w:val="0"/>
        <w:spacing w:line="560" w:lineRule="exact"/>
        <w:ind w:firstLine="640" w:firstLineChars="200"/>
        <w:contextualSpacing/>
        <w:jc w:val="left"/>
        <w:rPr>
          <w:rFonts w:ascii="仿宋_GB2312" w:hAnsi="仿宋_GB2312" w:cs="仿宋_GB2312"/>
          <w:szCs w:val="32"/>
        </w:rPr>
      </w:pPr>
      <w:r>
        <w:rPr>
          <w:rFonts w:hint="eastAsia" w:ascii="仿宋_GB2312" w:hAnsi="仿宋_GB2312" w:cs="仿宋_GB2312"/>
          <w:color w:val="000000"/>
          <w:kern w:val="0"/>
          <w:szCs w:val="32"/>
        </w:rPr>
        <w:t>2023年度</w:t>
      </w:r>
      <w:r>
        <w:rPr>
          <w:rFonts w:hint="eastAsia" w:ascii="仿宋_GB2312" w:hAnsi="仿宋_GB2312" w:cs="仿宋_GB2312"/>
          <w:color w:val="000000"/>
          <w:kern w:val="0"/>
          <w:szCs w:val="32"/>
          <w:lang w:val="en-US" w:eastAsia="zh-CN"/>
        </w:rPr>
        <w:t>事业</w:t>
      </w:r>
      <w:r>
        <w:rPr>
          <w:rFonts w:hint="eastAsia" w:ascii="仿宋_GB2312" w:hAnsi="仿宋_GB2312" w:cs="仿宋_GB2312"/>
          <w:color w:val="000000"/>
          <w:kern w:val="0"/>
          <w:szCs w:val="32"/>
          <w:lang w:val="zh-CN"/>
        </w:rPr>
        <w:t>财政资金总收入</w:t>
      </w:r>
      <w:r>
        <w:rPr>
          <w:rFonts w:hint="eastAsia" w:ascii="仿宋_GB2312" w:hAnsi="仿宋_GB2312" w:cs="仿宋_GB2312"/>
          <w:color w:val="000000"/>
          <w:kern w:val="0"/>
          <w:szCs w:val="32"/>
          <w:lang w:val="en-US" w:eastAsia="zh-CN"/>
        </w:rPr>
        <w:t>198.63</w:t>
      </w:r>
      <w:r>
        <w:rPr>
          <w:rFonts w:hint="eastAsia" w:ascii="仿宋_GB2312" w:hAnsi="仿宋_GB2312" w:cs="仿宋_GB2312"/>
          <w:color w:val="000000"/>
          <w:kern w:val="0"/>
          <w:szCs w:val="32"/>
          <w:lang w:val="zh-CN"/>
        </w:rPr>
        <w:t>万元</w:t>
      </w:r>
      <w:r>
        <w:rPr>
          <w:rFonts w:hint="eastAsia" w:ascii="仿宋_GB2312" w:hAnsi="仿宋_GB2312" w:cs="仿宋_GB2312"/>
          <w:color w:val="000000"/>
          <w:kern w:val="0"/>
          <w:szCs w:val="32"/>
        </w:rPr>
        <w:t>,年初预算</w:t>
      </w:r>
      <w:r>
        <w:rPr>
          <w:rFonts w:hint="eastAsia" w:ascii="仿宋_GB2312" w:hAnsi="仿宋_GB2312" w:cs="仿宋_GB2312"/>
          <w:szCs w:val="32"/>
          <w:lang w:val="en-US" w:eastAsia="zh-CN"/>
        </w:rPr>
        <w:t>149.15</w:t>
      </w:r>
      <w:r>
        <w:rPr>
          <w:rFonts w:hint="eastAsia" w:ascii="仿宋_GB2312" w:hAnsi="仿宋_GB2312" w:cs="仿宋_GB2312"/>
          <w:color w:val="000000"/>
          <w:kern w:val="0"/>
          <w:szCs w:val="32"/>
        </w:rPr>
        <w:t>万元，调整预算</w:t>
      </w:r>
      <w:r>
        <w:rPr>
          <w:rFonts w:hint="eastAsia" w:ascii="仿宋_GB2312" w:hAnsi="仿宋_GB2312" w:cs="仿宋_GB2312"/>
          <w:color w:val="000000"/>
          <w:kern w:val="0"/>
          <w:szCs w:val="32"/>
          <w:lang w:val="en-US" w:eastAsia="zh-CN"/>
        </w:rPr>
        <w:t>198.63</w:t>
      </w:r>
      <w:r>
        <w:rPr>
          <w:rFonts w:hint="eastAsia" w:ascii="仿宋_GB2312" w:hAnsi="仿宋_GB2312" w:cs="仿宋_GB2312"/>
          <w:color w:val="000000"/>
          <w:kern w:val="0"/>
          <w:szCs w:val="32"/>
        </w:rPr>
        <w:t>万元</w:t>
      </w:r>
      <w:r>
        <w:rPr>
          <w:rFonts w:hint="eastAsia" w:ascii="仿宋_GB2312" w:hAnsi="仿宋_GB2312" w:cs="仿宋_GB2312"/>
          <w:szCs w:val="32"/>
        </w:rPr>
        <w:t>；其中当年财政拨款收入</w:t>
      </w:r>
      <w:r>
        <w:rPr>
          <w:rFonts w:hint="eastAsia" w:ascii="仿宋_GB2312" w:hAnsi="仿宋_GB2312" w:cs="仿宋_GB2312"/>
          <w:color w:val="000000"/>
          <w:kern w:val="0"/>
          <w:szCs w:val="32"/>
          <w:lang w:val="en-US" w:eastAsia="zh-CN"/>
        </w:rPr>
        <w:t>198.63</w:t>
      </w:r>
      <w:r>
        <w:rPr>
          <w:rFonts w:hint="eastAsia" w:ascii="仿宋_GB2312" w:hAnsi="仿宋_GB2312" w:cs="仿宋_GB2312"/>
          <w:color w:val="000000"/>
          <w:kern w:val="0"/>
          <w:szCs w:val="32"/>
          <w:lang w:val="zh-CN"/>
        </w:rPr>
        <w:t>万元</w:t>
      </w:r>
      <w:r>
        <w:rPr>
          <w:rFonts w:hint="eastAsia" w:ascii="仿宋_GB2312" w:hAnsi="仿宋_GB2312" w:cs="仿宋_GB2312"/>
          <w:szCs w:val="32"/>
        </w:rPr>
        <w:t>，占总收入100%。决算报表收入</w:t>
      </w:r>
      <w:r>
        <w:rPr>
          <w:rFonts w:hint="eastAsia" w:ascii="仿宋_GB2312" w:hAnsi="仿宋_GB2312" w:cs="仿宋_GB2312"/>
          <w:color w:val="000000"/>
          <w:kern w:val="0"/>
          <w:szCs w:val="32"/>
          <w:lang w:val="en-US" w:eastAsia="zh-CN"/>
        </w:rPr>
        <w:t>198.63</w:t>
      </w:r>
      <w:r>
        <w:rPr>
          <w:rFonts w:hint="eastAsia" w:ascii="仿宋_GB2312" w:hAnsi="仿宋_GB2312" w:cs="仿宋_GB2312"/>
          <w:color w:val="000000"/>
          <w:kern w:val="0"/>
          <w:szCs w:val="32"/>
          <w:lang w:val="zh-CN"/>
        </w:rPr>
        <w:t>万元。</w:t>
      </w:r>
    </w:p>
    <w:p>
      <w:pPr>
        <w:widowControl/>
        <w:numPr>
          <w:ilvl w:val="0"/>
          <w:numId w:val="1"/>
        </w:num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支出情况</w:t>
      </w:r>
      <w:r>
        <w:rPr>
          <w:rFonts w:eastAsia="楷体_GB2312"/>
          <w:b/>
          <w:bCs/>
          <w:color w:val="000000"/>
          <w:kern w:val="0"/>
          <w:szCs w:val="32"/>
          <w:shd w:val="clear" w:color="auto" w:fill="FFFFFF"/>
          <w:lang w:val="zh-CN"/>
        </w:rPr>
        <w:t>。</w:t>
      </w:r>
    </w:p>
    <w:p>
      <w:pPr>
        <w:pStyle w:val="7"/>
        <w:shd w:val="clear" w:color="auto" w:fill="FFFFFF"/>
        <w:spacing w:beforeAutospacing="0" w:afterAutospacing="0"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2023年度</w:t>
      </w:r>
      <w:r>
        <w:rPr>
          <w:rFonts w:hint="eastAsia" w:ascii="仿宋_GB2312" w:hAnsi="仿宋_GB2312" w:cs="仿宋_GB2312"/>
          <w:color w:val="000000"/>
          <w:kern w:val="0"/>
          <w:szCs w:val="32"/>
          <w:lang w:val="zh-CN"/>
        </w:rPr>
        <w:t>部门财政资金总支出</w:t>
      </w:r>
      <w:r>
        <w:rPr>
          <w:rFonts w:hint="eastAsia" w:ascii="仿宋_GB2312" w:hAnsi="仿宋_GB2312" w:cs="仿宋_GB2312"/>
          <w:color w:val="000000"/>
          <w:kern w:val="0"/>
          <w:szCs w:val="32"/>
          <w:lang w:val="en-US" w:eastAsia="zh-CN"/>
        </w:rPr>
        <w:t>198.63</w:t>
      </w:r>
      <w:r>
        <w:rPr>
          <w:rFonts w:hint="eastAsia" w:ascii="仿宋_GB2312" w:hAnsi="仿宋_GB2312" w:cs="仿宋_GB2312"/>
          <w:color w:val="000000"/>
          <w:kern w:val="0"/>
          <w:szCs w:val="32"/>
          <w:lang w:val="zh-CN"/>
        </w:rPr>
        <w:t>万元</w:t>
      </w:r>
      <w:r>
        <w:rPr>
          <w:rFonts w:hint="eastAsia" w:ascii="仿宋_GB2312" w:hAnsi="仿宋_GB2312" w:cs="仿宋_GB2312"/>
          <w:szCs w:val="32"/>
        </w:rPr>
        <w:t>；其中当年财政拨款支出</w:t>
      </w:r>
      <w:r>
        <w:rPr>
          <w:rFonts w:hint="eastAsia" w:ascii="仿宋_GB2312" w:hAnsi="仿宋_GB2312" w:cs="仿宋_GB2312"/>
          <w:color w:val="000000"/>
          <w:kern w:val="0"/>
          <w:szCs w:val="32"/>
          <w:lang w:val="en-US" w:eastAsia="zh-CN"/>
        </w:rPr>
        <w:t>198.63</w:t>
      </w:r>
      <w:r>
        <w:rPr>
          <w:rFonts w:hint="eastAsia" w:ascii="仿宋_GB2312" w:hAnsi="仿宋_GB2312" w:cs="仿宋_GB2312"/>
          <w:color w:val="000000"/>
          <w:kern w:val="0"/>
          <w:szCs w:val="32"/>
          <w:lang w:val="zh-CN"/>
        </w:rPr>
        <w:t>万元</w:t>
      </w:r>
      <w:r>
        <w:rPr>
          <w:rFonts w:hint="eastAsia" w:ascii="仿宋_GB2312" w:hAnsi="仿宋_GB2312" w:cs="仿宋_GB2312"/>
          <w:szCs w:val="32"/>
        </w:rPr>
        <w:t>，占总收入100%。</w:t>
      </w:r>
      <w:r>
        <w:rPr>
          <w:rFonts w:hint="eastAsia" w:ascii="仿宋_GB2312" w:hAnsi="仿宋_GB2312" w:cs="仿宋_GB2312"/>
          <w:color w:val="000000"/>
          <w:kern w:val="0"/>
          <w:szCs w:val="32"/>
          <w:lang w:val="zh-CN"/>
        </w:rPr>
        <w:t>人员类经费</w:t>
      </w:r>
      <w:r>
        <w:rPr>
          <w:rFonts w:hint="eastAsia" w:ascii="仿宋_GB2312" w:hAnsi="仿宋_GB2312" w:cs="仿宋_GB2312"/>
          <w:color w:val="000000"/>
          <w:kern w:val="0"/>
          <w:szCs w:val="32"/>
          <w:lang w:val="en-US" w:eastAsia="zh-CN"/>
        </w:rPr>
        <w:t>179.63</w:t>
      </w:r>
      <w:r>
        <w:rPr>
          <w:rFonts w:hint="eastAsia" w:ascii="仿宋_GB2312" w:hAnsi="仿宋_GB2312" w:cs="仿宋_GB2312"/>
          <w:color w:val="000000"/>
          <w:kern w:val="0"/>
          <w:szCs w:val="32"/>
        </w:rPr>
        <w:t>万元，公用经费</w:t>
      </w:r>
      <w:r>
        <w:rPr>
          <w:rFonts w:hint="eastAsia" w:ascii="仿宋_GB2312" w:hAnsi="仿宋_GB2312" w:cs="仿宋_GB2312"/>
          <w:color w:val="000000"/>
          <w:kern w:val="0"/>
          <w:szCs w:val="32"/>
          <w:lang w:val="en-US" w:eastAsia="zh-CN"/>
        </w:rPr>
        <w:t>19</w:t>
      </w:r>
      <w:r>
        <w:rPr>
          <w:rFonts w:hint="eastAsia" w:ascii="仿宋_GB2312" w:hAnsi="仿宋_GB2312" w:cs="仿宋_GB2312"/>
          <w:color w:val="000000"/>
          <w:kern w:val="0"/>
          <w:szCs w:val="32"/>
        </w:rPr>
        <w:t>万元，项目经费</w:t>
      </w:r>
      <w:r>
        <w:rPr>
          <w:rFonts w:hint="eastAsia" w:ascii="仿宋_GB2312" w:hAnsi="仿宋_GB2312" w:cs="仿宋_GB2312"/>
          <w:color w:val="000000"/>
          <w:kern w:val="0"/>
          <w:szCs w:val="32"/>
          <w:lang w:val="en-US" w:eastAsia="zh-CN"/>
        </w:rPr>
        <w:t>0</w:t>
      </w:r>
      <w:r>
        <w:rPr>
          <w:rFonts w:hint="eastAsia" w:ascii="仿宋_GB2312" w:hAnsi="仿宋_GB2312" w:cs="仿宋_GB2312"/>
          <w:color w:val="000000"/>
          <w:kern w:val="0"/>
          <w:szCs w:val="32"/>
        </w:rPr>
        <w:t>万元。总支出与决算数相等。</w:t>
      </w:r>
    </w:p>
    <w:p>
      <w:pPr>
        <w:pStyle w:val="7"/>
        <w:shd w:val="clear" w:color="auto" w:fill="FFFFFF"/>
        <w:spacing w:beforeAutospacing="0" w:afterAutospacing="0"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lang w:val="zh-CN"/>
        </w:rPr>
        <w:t>主要包括：一般公共服务支出</w:t>
      </w:r>
      <w:r>
        <w:rPr>
          <w:rFonts w:hint="eastAsia" w:ascii="仿宋_GB2312" w:hAnsi="仿宋_GB2312" w:cs="仿宋_GB2312"/>
          <w:color w:val="000000"/>
          <w:kern w:val="0"/>
          <w:szCs w:val="32"/>
          <w:lang w:val="en-US" w:eastAsia="zh-CN"/>
        </w:rPr>
        <w:t>149.15</w:t>
      </w:r>
      <w:r>
        <w:rPr>
          <w:rFonts w:hint="eastAsia" w:ascii="仿宋_GB2312" w:hAnsi="仿宋_GB2312" w:cs="仿宋_GB2312"/>
          <w:color w:val="000000"/>
          <w:kern w:val="0"/>
          <w:szCs w:val="32"/>
          <w:lang w:val="zh-CN"/>
        </w:rPr>
        <w:t>万元、社会保障和就业支出</w:t>
      </w:r>
      <w:r>
        <w:rPr>
          <w:rFonts w:hint="eastAsia" w:ascii="仿宋_GB2312" w:hAnsi="仿宋_GB2312" w:cs="仿宋_GB2312"/>
          <w:color w:val="000000"/>
          <w:kern w:val="0"/>
          <w:szCs w:val="32"/>
          <w:lang w:val="en-US" w:eastAsia="zh-CN"/>
        </w:rPr>
        <w:t>26.24</w:t>
      </w:r>
      <w:r>
        <w:rPr>
          <w:rFonts w:hint="eastAsia" w:ascii="仿宋_GB2312" w:hAnsi="仿宋_GB2312" w:cs="仿宋_GB2312"/>
          <w:color w:val="000000"/>
          <w:kern w:val="0"/>
          <w:szCs w:val="32"/>
          <w:lang w:val="zh-CN"/>
        </w:rPr>
        <w:t>万元、卫生健康支出</w:t>
      </w:r>
      <w:r>
        <w:rPr>
          <w:rFonts w:hint="eastAsia" w:ascii="仿宋_GB2312" w:hAnsi="仿宋_GB2312" w:cs="仿宋_GB2312"/>
          <w:color w:val="000000"/>
          <w:kern w:val="0"/>
          <w:szCs w:val="32"/>
          <w:lang w:val="en-US" w:eastAsia="zh-CN"/>
        </w:rPr>
        <w:t>9.72</w:t>
      </w:r>
      <w:r>
        <w:rPr>
          <w:rFonts w:hint="eastAsia" w:ascii="仿宋_GB2312" w:hAnsi="仿宋_GB2312" w:cs="仿宋_GB2312"/>
          <w:color w:val="000000"/>
          <w:kern w:val="0"/>
          <w:szCs w:val="32"/>
          <w:lang w:val="zh-CN"/>
        </w:rPr>
        <w:t>万元、住房保障支出</w:t>
      </w:r>
      <w:r>
        <w:rPr>
          <w:rFonts w:hint="eastAsia" w:ascii="仿宋_GB2312" w:hAnsi="仿宋_GB2312" w:cs="仿宋_GB2312"/>
          <w:color w:val="000000"/>
          <w:kern w:val="0"/>
          <w:szCs w:val="32"/>
          <w:lang w:val="en-US" w:eastAsia="zh-CN"/>
        </w:rPr>
        <w:t>13.51</w:t>
      </w:r>
      <w:r>
        <w:rPr>
          <w:rFonts w:hint="eastAsia" w:ascii="仿宋_GB2312" w:hAnsi="仿宋_GB2312" w:cs="仿宋_GB2312"/>
          <w:color w:val="000000"/>
          <w:kern w:val="0"/>
          <w:szCs w:val="32"/>
          <w:lang w:val="zh-CN"/>
        </w:rPr>
        <w:t>万元。</w:t>
      </w:r>
    </w:p>
    <w:p>
      <w:pPr>
        <w:widowControl/>
        <w:numPr>
          <w:ilvl w:val="0"/>
          <w:numId w:val="1"/>
        </w:numPr>
        <w:adjustRightInd w:val="0"/>
        <w:snapToGrid w:val="0"/>
        <w:spacing w:line="560" w:lineRule="exact"/>
        <w:ind w:firstLine="642" w:firstLineChars="200"/>
        <w:contextualSpacing/>
        <w:jc w:val="left"/>
        <w:rPr>
          <w:rFonts w:eastAsia="楷体_GB2312"/>
          <w:b/>
          <w:szCs w:val="32"/>
        </w:rPr>
      </w:pPr>
      <w:r>
        <w:rPr>
          <w:rFonts w:eastAsia="楷体_GB2312"/>
          <w:b/>
          <w:szCs w:val="32"/>
        </w:rPr>
        <w:t>结余分配和结转结余情况</w:t>
      </w:r>
      <w:r>
        <w:rPr>
          <w:rFonts w:hint="eastAsia" w:eastAsia="楷体_GB2312"/>
          <w:b/>
          <w:szCs w:val="32"/>
        </w:rPr>
        <w:t>。</w:t>
      </w:r>
    </w:p>
    <w:p>
      <w:pPr>
        <w:widowControl/>
        <w:adjustRightInd w:val="0"/>
        <w:snapToGrid w:val="0"/>
        <w:spacing w:line="560" w:lineRule="exact"/>
        <w:ind w:left="640" w:leftChars="200"/>
        <w:contextualSpacing/>
        <w:jc w:val="left"/>
      </w:pPr>
      <w:r>
        <w:rPr>
          <w:rFonts w:hint="eastAsia"/>
          <w:szCs w:val="32"/>
        </w:rPr>
        <w:t>2023年决算报表</w:t>
      </w:r>
      <w:r>
        <w:rPr>
          <w:color w:val="000000"/>
          <w:kern w:val="0"/>
          <w:szCs w:val="32"/>
          <w:shd w:val="clear" w:color="auto" w:fill="FFFFFF"/>
        </w:rPr>
        <w:t>结转结余</w:t>
      </w:r>
      <w:r>
        <w:rPr>
          <w:rFonts w:hint="eastAsia"/>
          <w:color w:val="000000"/>
          <w:kern w:val="0"/>
          <w:szCs w:val="32"/>
          <w:shd w:val="clear" w:color="auto" w:fill="FFFFFF"/>
        </w:rPr>
        <w:t>为0</w:t>
      </w:r>
      <w:r>
        <w:rPr>
          <w:color w:val="000000"/>
          <w:kern w:val="0"/>
          <w:szCs w:val="32"/>
          <w:shd w:val="clear" w:color="auto" w:fill="FFFFFF"/>
        </w:rPr>
        <w:t>。</w:t>
      </w:r>
    </w:p>
    <w:p>
      <w:pPr>
        <w:widowControl/>
        <w:adjustRightInd w:val="0"/>
        <w:snapToGrid w:val="0"/>
        <w:spacing w:line="560" w:lineRule="exact"/>
        <w:ind w:firstLine="640" w:firstLineChars="200"/>
        <w:contextualSpacing/>
        <w:jc w:val="left"/>
        <w:rPr>
          <w:rFonts w:eastAsia="黑体"/>
          <w:color w:val="000000" w:themeColor="text1"/>
          <w:kern w:val="0"/>
          <w:szCs w:val="32"/>
          <w:shd w:val="clear" w:color="auto" w:fill="FFFFFF"/>
          <w14:textFill>
            <w14:solidFill>
              <w14:schemeClr w14:val="tx1"/>
            </w14:solidFill>
          </w14:textFill>
        </w:rPr>
      </w:pPr>
      <w:r>
        <w:rPr>
          <w:rFonts w:eastAsia="黑体"/>
          <w:color w:val="000000"/>
          <w:kern w:val="0"/>
          <w:szCs w:val="32"/>
          <w:shd w:val="clear" w:color="auto" w:fill="FFFFFF"/>
        </w:rPr>
        <w:t>三、部门预算绩效分析</w:t>
      </w:r>
    </w:p>
    <w:p>
      <w:pPr>
        <w:adjustRightInd w:val="0"/>
        <w:snapToGrid w:val="0"/>
        <w:spacing w:line="560" w:lineRule="exact"/>
        <w:ind w:firstLine="642" w:firstLineChars="200"/>
        <w:contextualSpacing/>
        <w:jc w:val="left"/>
        <w:rPr>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部门预算</w:t>
      </w:r>
      <w:r>
        <w:rPr>
          <w:rFonts w:eastAsia="楷体_GB2312"/>
          <w:b/>
          <w:bCs/>
          <w:color w:val="000000"/>
          <w:kern w:val="0"/>
          <w:szCs w:val="32"/>
          <w:shd w:val="clear" w:color="auto" w:fill="FFFFFF"/>
          <w:lang w:val="zh-CN"/>
        </w:rPr>
        <w:t>总体绩效分析。</w:t>
      </w:r>
    </w:p>
    <w:p>
      <w:pPr>
        <w:adjustRightInd w:val="0"/>
        <w:snapToGrid w:val="0"/>
        <w:spacing w:line="560" w:lineRule="exact"/>
        <w:ind w:firstLine="640" w:firstLineChars="200"/>
        <w:contextualSpacing/>
        <w:jc w:val="left"/>
        <w:rPr>
          <w:rFonts w:ascii="楷体_GB2312" w:hAnsi="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1.</w:t>
      </w:r>
      <w:r>
        <w:rPr>
          <w:rFonts w:hint="eastAsia" w:ascii="楷体_GB2312" w:hAnsi="楷体_GB2312" w:eastAsia="楷体_GB2312" w:cs="楷体_GB2312"/>
          <w:color w:val="000000"/>
          <w:kern w:val="0"/>
          <w:szCs w:val="32"/>
          <w:shd w:val="clear" w:color="auto" w:fill="FFFFFF"/>
          <w:lang w:val="zh-CN"/>
        </w:rPr>
        <w:t>履职效能。</w:t>
      </w:r>
      <w:r>
        <w:rPr>
          <w:rFonts w:hint="eastAsia" w:ascii="楷体_GB2312" w:hAnsi="楷体_GB2312" w:eastAsia="楷体_GB2312" w:cs="楷体_GB2312"/>
          <w:color w:val="000000"/>
          <w:kern w:val="0"/>
          <w:szCs w:val="32"/>
          <w:shd w:val="clear" w:color="auto" w:fill="FFFFFF"/>
          <w:lang w:val="en-US" w:eastAsia="zh-CN"/>
        </w:rPr>
        <w:t>一是</w:t>
      </w:r>
      <w:r>
        <w:rPr>
          <w:rFonts w:hint="eastAsia" w:ascii="仿宋_GB2312" w:hAnsi="仿宋_GB2312" w:cs="仿宋_GB2312"/>
          <w:szCs w:val="32"/>
          <w:shd w:val="clear" w:color="auto" w:fill="FFFFFF"/>
        </w:rPr>
        <w:t>保工资、保运转支出职能，按时足额发放和缴纳职工工资和保险。结合实际支付</w:t>
      </w:r>
      <w:r>
        <w:rPr>
          <w:rFonts w:hint="eastAsia" w:ascii="仿宋_GB2312" w:hAnsi="仿宋_GB2312" w:cs="仿宋_GB2312"/>
          <w:szCs w:val="32"/>
        </w:rPr>
        <w:t>自评得分：15分</w:t>
      </w:r>
    </w:p>
    <w:p>
      <w:pPr>
        <w:pStyle w:val="7"/>
        <w:widowControl/>
        <w:shd w:val="clear" w:color="auto" w:fill="FFFFFF"/>
        <w:spacing w:before="0" w:beforeAutospacing="0" w:after="0" w:afterAutospacing="0" w:line="560" w:lineRule="exact"/>
        <w:ind w:firstLine="640" w:firstLineChars="200"/>
        <w:rPr>
          <w:rFonts w:ascii="仿宋_GB2312" w:hAnsi="仿宋_GB2312" w:cs="仿宋_GB2312"/>
          <w:szCs w:val="32"/>
        </w:rPr>
      </w:pPr>
      <w:r>
        <w:rPr>
          <w:rFonts w:hint="eastAsia" w:ascii="楷体_GB2312" w:hAnsi="楷体_GB2312" w:eastAsia="楷体_GB2312" w:cs="楷体_GB2312"/>
          <w:color w:val="000000"/>
          <w:kern w:val="0"/>
          <w:szCs w:val="32"/>
          <w:shd w:val="clear" w:color="auto" w:fill="FFFFFF"/>
        </w:rPr>
        <w:t>2.</w:t>
      </w:r>
      <w:r>
        <w:rPr>
          <w:rFonts w:ascii="楷体_GB2312" w:hAnsi="楷体_GB2312" w:eastAsia="楷体_GB2312" w:cs="楷体_GB2312"/>
          <w:color w:val="000000"/>
          <w:kern w:val="0"/>
          <w:szCs w:val="32"/>
          <w:shd w:val="clear" w:color="auto" w:fill="FFFFFF"/>
          <w:lang w:val="zh-CN"/>
        </w:rPr>
        <w:t>预算管理</w:t>
      </w:r>
      <w:r>
        <w:rPr>
          <w:rFonts w:hint="eastAsia" w:ascii="楷体_GB2312" w:hAnsi="楷体_GB2312" w:eastAsia="楷体_GB2312" w:cs="楷体_GB2312"/>
          <w:color w:val="000000"/>
          <w:kern w:val="0"/>
          <w:szCs w:val="32"/>
          <w:shd w:val="clear" w:color="auto" w:fill="FFFFFF"/>
          <w:lang w:val="zh-CN"/>
        </w:rPr>
        <w:t>。</w:t>
      </w:r>
      <w:r>
        <w:rPr>
          <w:rFonts w:hint="eastAsia" w:ascii="仿宋_GB2312" w:hAnsi="仿宋_GB2312" w:cs="仿宋_GB2312"/>
          <w:szCs w:val="32"/>
          <w:lang w:val="zh-CN"/>
        </w:rPr>
        <w:t>一是预算编制质量：</w:t>
      </w:r>
      <w:r>
        <w:rPr>
          <w:rFonts w:hint="eastAsia" w:ascii="仿宋_GB2312" w:hAnsi="仿宋_GB2312" w:cs="仿宋_GB2312"/>
          <w:szCs w:val="32"/>
        </w:rPr>
        <w:t>部门预算编制目标制定清晰，部门整体绩效目标编制完整、合理部门整体绩效目标能完整、合理反映部门年度职责履行情况，项目绩效目标编制明确，并通过了预算草案审查，审查后未提出确需修改的问题，自评得分8分；二是单位收入统筹：单位全年收入均属财政拨款收入，纳入预算管理，结息收入按规定上缴财政，自评得分4分；三是支出执行进度：我部门大多资金属于年底补助性资金，年底集中支付率高，年中执行进度较慢，自评得分5分，扣1分。四是预算年终结余：年末结余为零，收支平衡，自评得分2分；五是严控一般性支出：2023年部门厉行节约，一般性支出办公费、会议费、差旅费、培训费、“三公</w:t>
      </w:r>
      <w:r>
        <w:rPr>
          <w:rFonts w:hint="default" w:ascii="仿宋_GB2312" w:hAnsi="仿宋_GB2312" w:cs="仿宋_GB2312"/>
          <w:szCs w:val="32"/>
        </w:rPr>
        <w:t>”</w:t>
      </w:r>
      <w:r>
        <w:rPr>
          <w:rFonts w:hint="eastAsia" w:ascii="仿宋_GB2312" w:hAnsi="仿宋_GB2312" w:cs="仿宋_GB2312"/>
          <w:szCs w:val="32"/>
        </w:rPr>
        <w:t>经费等支</w:t>
      </w:r>
      <w:r>
        <w:rPr>
          <w:rFonts w:hint="eastAsia"/>
        </w:rPr>
        <w:t>出决算数均低于2022年度决算数，自评得分5分。预算管理总体自评得分：24分。</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3.</w:t>
      </w:r>
      <w:r>
        <w:rPr>
          <w:rFonts w:ascii="楷体_GB2312" w:hAnsi="楷体_GB2312" w:eastAsia="楷体_GB2312" w:cs="楷体_GB2312"/>
          <w:color w:val="000000"/>
          <w:kern w:val="0"/>
          <w:szCs w:val="32"/>
          <w:shd w:val="clear" w:color="auto" w:fill="FFFFFF"/>
          <w:lang w:val="zh-CN"/>
        </w:rPr>
        <w:t>财务管理</w:t>
      </w:r>
      <w:r>
        <w:rPr>
          <w:rFonts w:hint="eastAsia" w:ascii="楷体_GB2312" w:hAnsi="楷体_GB2312" w:eastAsia="楷体_GB2312" w:cs="楷体_GB2312"/>
          <w:color w:val="000000"/>
          <w:kern w:val="0"/>
          <w:szCs w:val="32"/>
          <w:shd w:val="clear" w:color="auto" w:fill="FFFFFF"/>
          <w:lang w:val="zh-CN"/>
        </w:rPr>
        <w:t>。</w:t>
      </w:r>
      <w:r>
        <w:rPr>
          <w:rFonts w:hint="eastAsia" w:ascii="仿宋_GB2312" w:hAnsi="仿宋_GB2312" w:cs="仿宋_GB2312"/>
          <w:szCs w:val="32"/>
          <w:lang w:val="zh-CN"/>
        </w:rPr>
        <w:t>一是财务管理制度：</w:t>
      </w:r>
      <w:r>
        <w:rPr>
          <w:rFonts w:hint="eastAsia" w:ascii="仿宋_GB2312" w:hAnsi="仿宋_GB2312" w:cs="仿宋_GB2312"/>
          <w:szCs w:val="32"/>
        </w:rPr>
        <w:t>宣传</w:t>
      </w:r>
      <w:r>
        <w:rPr>
          <w:rFonts w:hint="eastAsia" w:ascii="仿宋_GB2312" w:hAnsi="仿宋_GB2312" w:cs="仿宋_GB2312"/>
          <w:szCs w:val="32"/>
          <w:lang w:val="zh-CN"/>
        </w:rPr>
        <w:t>部严格规范内控制度，按照财务管理制度执行各项资金支付，自评得</w:t>
      </w:r>
      <w:r>
        <w:rPr>
          <w:rFonts w:hint="eastAsia" w:ascii="仿宋_GB2312" w:hAnsi="仿宋_GB2312" w:cs="仿宋_GB2312"/>
          <w:szCs w:val="32"/>
        </w:rPr>
        <w:t>4分；二是财务岗位设置：</w:t>
      </w:r>
      <w:r>
        <w:rPr>
          <w:rFonts w:hint="eastAsia" w:ascii="仿宋_GB2312" w:hAnsi="仿宋_GB2312" w:cs="仿宋_GB2312"/>
          <w:szCs w:val="32"/>
          <w:lang w:val="zh-CN"/>
        </w:rPr>
        <w:t>财务岗位设置明确，会计出纳分设，自评得</w:t>
      </w:r>
      <w:r>
        <w:rPr>
          <w:rFonts w:hint="eastAsia" w:ascii="仿宋_GB2312" w:hAnsi="仿宋_GB2312" w:cs="仿宋_GB2312"/>
          <w:szCs w:val="32"/>
        </w:rPr>
        <w:t>2分；三是资金使用规范：</w:t>
      </w:r>
      <w:r>
        <w:rPr>
          <w:rFonts w:hint="eastAsia" w:ascii="仿宋_GB2312" w:hAnsi="仿宋_GB2312" w:cs="仿宋_GB2312"/>
          <w:szCs w:val="32"/>
          <w:lang w:val="zh-CN"/>
        </w:rPr>
        <w:t>财政资金使用明确资金支付审核流程，按照内控制度严格拨付，做到规范有效，自评</w:t>
      </w:r>
      <w:r>
        <w:rPr>
          <w:rFonts w:hint="eastAsia" w:ascii="仿宋_GB2312" w:hAnsi="仿宋_GB2312" w:cs="仿宋_GB2312"/>
          <w:szCs w:val="32"/>
        </w:rPr>
        <w:t>4分。财务管理自评得分：10分。</w:t>
      </w:r>
    </w:p>
    <w:p>
      <w:pPr>
        <w:adjustRightInd w:val="0"/>
        <w:snapToGrid w:val="0"/>
        <w:spacing w:line="560" w:lineRule="exact"/>
        <w:ind w:firstLine="640" w:firstLineChars="200"/>
        <w:contextualSpacing/>
        <w:jc w:val="left"/>
        <w:rPr>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4.</w:t>
      </w:r>
      <w:r>
        <w:rPr>
          <w:rFonts w:ascii="楷体_GB2312" w:hAnsi="楷体_GB2312" w:eastAsia="楷体_GB2312" w:cs="楷体_GB2312"/>
          <w:color w:val="000000"/>
          <w:kern w:val="0"/>
          <w:szCs w:val="32"/>
          <w:shd w:val="clear" w:color="auto" w:fill="FFFFFF"/>
          <w:lang w:val="zh-CN"/>
        </w:rPr>
        <w:t>资产管理</w:t>
      </w:r>
      <w:r>
        <w:rPr>
          <w:rFonts w:hint="eastAsia" w:ascii="楷体_GB2312" w:hAnsi="楷体_GB2312" w:eastAsia="楷体_GB2312" w:cs="楷体_GB2312"/>
          <w:color w:val="000000"/>
          <w:kern w:val="0"/>
          <w:szCs w:val="32"/>
          <w:shd w:val="clear" w:color="auto" w:fill="FFFFFF"/>
          <w:lang w:val="zh-CN"/>
        </w:rPr>
        <w:t>。</w:t>
      </w:r>
      <w:r>
        <w:rPr>
          <w:rFonts w:hint="eastAsia"/>
          <w:color w:val="000000"/>
          <w:kern w:val="0"/>
          <w:szCs w:val="32"/>
          <w:shd w:val="clear" w:color="auto" w:fill="FFFFFF"/>
          <w:lang w:val="zh-CN"/>
        </w:rPr>
        <w:t>一是人均资产变化率：严格按照资产管理制度执行，购买物资达到规定金额做入账登记，人均资产变化率底，自评得</w:t>
      </w:r>
      <w:r>
        <w:rPr>
          <w:rFonts w:hint="eastAsia"/>
          <w:color w:val="000000"/>
          <w:kern w:val="0"/>
          <w:szCs w:val="32"/>
          <w:shd w:val="clear" w:color="auto" w:fill="FFFFFF"/>
        </w:rPr>
        <w:t>3分；二是</w:t>
      </w:r>
      <w:r>
        <w:rPr>
          <w:rFonts w:hint="eastAsia"/>
          <w:color w:val="000000"/>
          <w:kern w:val="0"/>
          <w:szCs w:val="32"/>
          <w:shd w:val="clear" w:color="auto" w:fill="FFFFFF"/>
          <w:lang w:val="zh-CN"/>
        </w:rPr>
        <w:t>资产利用率：使用率达</w:t>
      </w:r>
      <w:r>
        <w:rPr>
          <w:rFonts w:hint="eastAsia"/>
          <w:color w:val="000000"/>
          <w:kern w:val="0"/>
          <w:szCs w:val="32"/>
          <w:shd w:val="clear" w:color="auto" w:fill="FFFFFF"/>
        </w:rPr>
        <w:t>100%，</w:t>
      </w:r>
      <w:r>
        <w:rPr>
          <w:rFonts w:hint="eastAsia"/>
          <w:color w:val="000000"/>
          <w:kern w:val="0"/>
          <w:szCs w:val="32"/>
          <w:shd w:val="clear" w:color="auto" w:fill="FFFFFF"/>
          <w:lang w:val="zh-CN"/>
        </w:rPr>
        <w:t>人均资产利用率较高，自评得</w:t>
      </w:r>
      <w:r>
        <w:rPr>
          <w:rFonts w:hint="eastAsia"/>
          <w:color w:val="000000"/>
          <w:kern w:val="0"/>
          <w:szCs w:val="32"/>
          <w:shd w:val="clear" w:color="auto" w:fill="FFFFFF"/>
          <w:lang w:val="en-US" w:eastAsia="zh-CN"/>
        </w:rPr>
        <w:t>3</w:t>
      </w:r>
      <w:r>
        <w:rPr>
          <w:rFonts w:hint="eastAsia"/>
          <w:color w:val="000000"/>
          <w:kern w:val="0"/>
          <w:szCs w:val="32"/>
          <w:shd w:val="clear" w:color="auto" w:fill="FFFFFF"/>
        </w:rPr>
        <w:t>分。三是资产管理：部门无闲置资产，</w:t>
      </w:r>
      <w:r>
        <w:rPr>
          <w:rFonts w:hint="eastAsia"/>
          <w:color w:val="000000"/>
          <w:kern w:val="0"/>
          <w:szCs w:val="32"/>
          <w:shd w:val="clear" w:color="auto" w:fill="FFFFFF"/>
          <w:lang w:val="zh-CN"/>
        </w:rPr>
        <w:t>自评得</w:t>
      </w:r>
      <w:r>
        <w:rPr>
          <w:rFonts w:hint="eastAsia"/>
          <w:color w:val="000000"/>
          <w:kern w:val="0"/>
          <w:szCs w:val="32"/>
          <w:shd w:val="clear" w:color="auto" w:fill="FFFFFF"/>
        </w:rPr>
        <w:t>3分。资产管理总体得分：</w:t>
      </w:r>
      <w:r>
        <w:rPr>
          <w:rFonts w:hint="eastAsia"/>
          <w:color w:val="000000"/>
          <w:kern w:val="0"/>
          <w:szCs w:val="32"/>
          <w:shd w:val="clear" w:color="auto" w:fill="FFFFFF"/>
          <w:lang w:val="en-US" w:eastAsia="zh-CN"/>
        </w:rPr>
        <w:t>9</w:t>
      </w:r>
      <w:r>
        <w:rPr>
          <w:rFonts w:hint="eastAsia"/>
          <w:color w:val="000000"/>
          <w:kern w:val="0"/>
          <w:szCs w:val="32"/>
          <w:shd w:val="clear" w:color="auto" w:fill="FFFFFF"/>
        </w:rPr>
        <w:t>分。</w:t>
      </w:r>
    </w:p>
    <w:p>
      <w:pPr>
        <w:adjustRightInd w:val="0"/>
        <w:snapToGrid w:val="0"/>
        <w:spacing w:line="560" w:lineRule="exact"/>
        <w:ind w:firstLine="640" w:firstLineChars="200"/>
        <w:contextualSpacing/>
        <w:jc w:val="left"/>
        <w:rPr>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5.</w:t>
      </w:r>
      <w:r>
        <w:rPr>
          <w:rFonts w:ascii="楷体_GB2312" w:hAnsi="楷体_GB2312" w:eastAsia="楷体_GB2312" w:cs="楷体_GB2312"/>
          <w:color w:val="000000"/>
          <w:kern w:val="0"/>
          <w:szCs w:val="32"/>
          <w:shd w:val="clear" w:color="auto" w:fill="FFFFFF"/>
          <w:lang w:val="zh-CN"/>
        </w:rPr>
        <w:t>采购管理</w:t>
      </w:r>
      <w:r>
        <w:rPr>
          <w:rFonts w:hint="eastAsia" w:ascii="楷体_GB2312" w:hAnsi="楷体_GB2312" w:eastAsia="楷体_GB2312" w:cs="楷体_GB2312"/>
          <w:color w:val="000000"/>
          <w:kern w:val="0"/>
          <w:szCs w:val="32"/>
          <w:shd w:val="clear" w:color="auto" w:fill="FFFFFF"/>
          <w:lang w:val="zh-CN"/>
        </w:rPr>
        <w:t>。</w:t>
      </w:r>
      <w:r>
        <w:rPr>
          <w:rFonts w:hint="eastAsia"/>
          <w:color w:val="000000"/>
          <w:kern w:val="0"/>
          <w:szCs w:val="32"/>
          <w:shd w:val="clear" w:color="auto" w:fill="FFFFFF"/>
        </w:rPr>
        <w:t>2023年宣传部</w:t>
      </w:r>
      <w:r>
        <w:rPr>
          <w:rFonts w:hint="eastAsia"/>
          <w:color w:val="000000"/>
          <w:kern w:val="0"/>
          <w:szCs w:val="32"/>
          <w:shd w:val="clear" w:color="auto" w:fill="FFFFFF"/>
          <w:lang w:val="en-US" w:eastAsia="zh-CN"/>
        </w:rPr>
        <w:t>事业无</w:t>
      </w:r>
      <w:r>
        <w:rPr>
          <w:rFonts w:hint="eastAsia"/>
          <w:color w:val="000000"/>
          <w:kern w:val="0"/>
          <w:szCs w:val="32"/>
          <w:shd w:val="clear" w:color="auto" w:fill="FFFFFF"/>
        </w:rPr>
        <w:t>政府采购。自评得分：6分。</w:t>
      </w:r>
    </w:p>
    <w:p>
      <w:pPr>
        <w:widowControl/>
        <w:adjustRightInd w:val="0"/>
        <w:snapToGrid w:val="0"/>
        <w:spacing w:line="560" w:lineRule="exact"/>
        <w:ind w:firstLine="642" w:firstLineChars="200"/>
        <w:contextualSpacing/>
        <w:jc w:val="left"/>
        <w:rPr>
          <w:color w:val="000000"/>
          <w:kern w:val="0"/>
          <w:szCs w:val="32"/>
          <w:shd w:val="clear" w:color="auto" w:fill="FFFFFF"/>
        </w:rPr>
      </w:pPr>
      <w:r>
        <w:rPr>
          <w:rFonts w:eastAsia="楷体_GB2312"/>
          <w:b/>
          <w:bCs/>
          <w:color w:val="000000"/>
          <w:kern w:val="0"/>
          <w:szCs w:val="32"/>
          <w:shd w:val="clear" w:color="auto" w:fill="FFFFFF"/>
          <w:lang w:val="zh-CN"/>
        </w:rPr>
        <w:t>（二）部门预算项目绩效分析。</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rPr>
        <w:t>常年项目绩效分析。</w:t>
      </w:r>
      <w:r>
        <w:rPr>
          <w:color w:val="000000"/>
          <w:kern w:val="0"/>
          <w:szCs w:val="32"/>
          <w:shd w:val="clear" w:color="auto" w:fill="FFFFFF"/>
          <w:lang w:val="zh-CN"/>
        </w:rPr>
        <w:t>该类项目总数</w:t>
      </w:r>
      <w:r>
        <w:rPr>
          <w:color w:val="000000"/>
          <w:kern w:val="0"/>
          <w:szCs w:val="32"/>
          <w:shd w:val="clear" w:color="auto" w:fill="FFFFFF"/>
        </w:rPr>
        <w:t xml:space="preserve"> </w:t>
      </w:r>
      <w:r>
        <w:rPr>
          <w:rFonts w:hint="eastAsia"/>
          <w:color w:val="000000"/>
          <w:kern w:val="0"/>
          <w:szCs w:val="32"/>
          <w:shd w:val="clear" w:color="auto" w:fill="FFFFFF"/>
          <w:lang w:val="en-US" w:eastAsia="zh-CN"/>
        </w:rPr>
        <w:t>0</w:t>
      </w:r>
      <w:r>
        <w:rPr>
          <w:color w:val="000000"/>
          <w:kern w:val="0"/>
          <w:szCs w:val="32"/>
          <w:shd w:val="clear" w:color="auto" w:fill="FFFFFF"/>
          <w:lang w:val="zh-CN"/>
        </w:rPr>
        <w:t>个，涉及预算总金额</w:t>
      </w:r>
      <w:r>
        <w:rPr>
          <w:color w:val="000000"/>
          <w:kern w:val="0"/>
          <w:szCs w:val="32"/>
          <w:shd w:val="clear" w:color="auto" w:fill="FFFFFF"/>
        </w:rPr>
        <w:t xml:space="preserve">   </w:t>
      </w:r>
      <w:r>
        <w:rPr>
          <w:rFonts w:hint="eastAsia"/>
          <w:color w:val="000000"/>
          <w:kern w:val="0"/>
          <w:szCs w:val="32"/>
          <w:shd w:val="clear" w:color="auto" w:fill="FFFFFF"/>
          <w:lang w:val="en-US" w:eastAsia="zh-CN"/>
        </w:rPr>
        <w:t>0</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lang w:val="en-US" w:eastAsia="zh-CN"/>
        </w:rPr>
        <w:t>0</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rPr>
        <w:t>0</w:t>
      </w:r>
      <w:r>
        <w:rPr>
          <w:color w:val="000000"/>
          <w:kern w:val="0"/>
          <w:szCs w:val="32"/>
          <w:shd w:val="clear" w:color="auto" w:fill="FFFFFF"/>
        </w:rPr>
        <w:t xml:space="preserve"> </w:t>
      </w:r>
      <w:r>
        <w:rPr>
          <w:color w:val="000000"/>
          <w:kern w:val="0"/>
          <w:szCs w:val="32"/>
          <w:shd w:val="clear" w:color="auto" w:fill="FFFFFF"/>
          <w:lang w:val="zh-CN"/>
        </w:rPr>
        <w:t>个。</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rPr>
        <w:t>阶段</w:t>
      </w:r>
      <w:r>
        <w:rPr>
          <w:rFonts w:hint="eastAsia"/>
          <w:color w:val="000000"/>
          <w:kern w:val="0"/>
          <w:szCs w:val="32"/>
          <w:shd w:val="clear" w:color="auto" w:fill="FFFFFF"/>
        </w:rPr>
        <w:t>（</w:t>
      </w:r>
      <w:r>
        <w:rPr>
          <w:color w:val="000000"/>
          <w:kern w:val="0"/>
          <w:szCs w:val="32"/>
          <w:shd w:val="clear" w:color="auto" w:fill="FFFFFF"/>
        </w:rPr>
        <w:t>一次性</w:t>
      </w:r>
      <w:r>
        <w:rPr>
          <w:rFonts w:hint="eastAsia"/>
          <w:color w:val="000000"/>
          <w:kern w:val="0"/>
          <w:szCs w:val="32"/>
          <w:shd w:val="clear" w:color="auto" w:fill="FFFFFF"/>
        </w:rPr>
        <w:t>）</w:t>
      </w:r>
      <w:r>
        <w:rPr>
          <w:color w:val="000000"/>
          <w:kern w:val="0"/>
          <w:szCs w:val="32"/>
          <w:shd w:val="clear" w:color="auto" w:fill="FFFFFF"/>
        </w:rPr>
        <w:t>项目绩效分析。</w:t>
      </w:r>
      <w:r>
        <w:rPr>
          <w:color w:val="000000"/>
          <w:kern w:val="0"/>
          <w:szCs w:val="32"/>
          <w:shd w:val="clear" w:color="auto" w:fill="FFFFFF"/>
          <w:lang w:val="zh-CN"/>
        </w:rPr>
        <w:t>该类项目总数</w:t>
      </w:r>
      <w:r>
        <w:rPr>
          <w:rFonts w:hint="eastAsia"/>
          <w:color w:val="000000"/>
          <w:kern w:val="0"/>
          <w:szCs w:val="32"/>
          <w:shd w:val="clear" w:color="auto" w:fill="FFFFFF"/>
          <w:lang w:val="en-US" w:eastAsia="zh-CN"/>
        </w:rPr>
        <w:t>0</w:t>
      </w:r>
      <w:r>
        <w:rPr>
          <w:color w:val="000000"/>
          <w:kern w:val="0"/>
          <w:szCs w:val="32"/>
          <w:shd w:val="clear" w:color="auto" w:fill="FFFFFF"/>
          <w:lang w:val="zh-CN"/>
        </w:rPr>
        <w:t>个，涉及预算总金额</w:t>
      </w:r>
      <w:r>
        <w:rPr>
          <w:rFonts w:hint="eastAsia"/>
          <w:color w:val="000000"/>
          <w:kern w:val="0"/>
          <w:szCs w:val="32"/>
          <w:shd w:val="clear" w:color="auto" w:fill="FFFFFF"/>
          <w:lang w:val="en-US" w:eastAsia="zh-CN"/>
        </w:rPr>
        <w:t>0</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lang w:val="en-US" w:eastAsia="zh-CN"/>
        </w:rPr>
        <w:t>0</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rPr>
        <w:t>0</w:t>
      </w:r>
      <w:r>
        <w:rPr>
          <w:color w:val="000000"/>
          <w:kern w:val="0"/>
          <w:szCs w:val="32"/>
          <w:shd w:val="clear" w:color="auto" w:fill="FFFFFF"/>
        </w:rPr>
        <w:t xml:space="preserve"> </w:t>
      </w:r>
      <w:r>
        <w:rPr>
          <w:color w:val="000000"/>
          <w:kern w:val="0"/>
          <w:szCs w:val="32"/>
          <w:shd w:val="clear" w:color="auto" w:fill="FFFFFF"/>
          <w:lang w:val="zh-CN"/>
        </w:rPr>
        <w:t>个。</w:t>
      </w:r>
    </w:p>
    <w:p>
      <w:pPr>
        <w:pStyle w:val="7"/>
        <w:widowControl/>
        <w:numPr>
          <w:ilvl w:val="0"/>
          <w:numId w:val="2"/>
        </w:numPr>
        <w:shd w:val="clear" w:color="auto" w:fill="FFFFFF"/>
        <w:spacing w:before="105" w:beforeAutospacing="0" w:after="105" w:afterAutospacing="0" w:line="560" w:lineRule="exact"/>
        <w:ind w:firstLine="739" w:firstLineChars="231"/>
        <w:rPr>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lang w:val="zh-CN"/>
        </w:rPr>
        <w:t>项目决策。</w:t>
      </w:r>
      <w:r>
        <w:rPr>
          <w:rFonts w:hint="eastAsia"/>
          <w:color w:val="000000"/>
          <w:kern w:val="0"/>
          <w:szCs w:val="32"/>
          <w:shd w:val="clear" w:color="auto" w:fill="FFFFFF"/>
          <w:lang w:val="zh-CN"/>
        </w:rPr>
        <w:t>一是决算程序：根据部门实际需要编制预算，经过单位集体决策，项目绩效目标编制明确，并通过了预算草案审查，审查后未提出确需修改的问题，自评得</w:t>
      </w:r>
      <w:r>
        <w:rPr>
          <w:rFonts w:hint="eastAsia"/>
          <w:color w:val="000000"/>
          <w:kern w:val="0"/>
          <w:szCs w:val="32"/>
          <w:shd w:val="clear" w:color="auto" w:fill="FFFFFF"/>
        </w:rPr>
        <w:t>4</w:t>
      </w:r>
      <w:r>
        <w:rPr>
          <w:rFonts w:hint="eastAsia"/>
          <w:color w:val="000000"/>
          <w:kern w:val="0"/>
          <w:szCs w:val="32"/>
          <w:shd w:val="clear" w:color="auto" w:fill="FFFFFF"/>
          <w:lang w:val="zh-CN"/>
        </w:rPr>
        <w:t>分。二是目标设置：</w:t>
      </w:r>
      <w:r>
        <w:rPr>
          <w:rFonts w:hint="eastAsia"/>
          <w:color w:val="000000"/>
          <w:kern w:val="0"/>
          <w:szCs w:val="32"/>
          <w:shd w:val="clear" w:color="auto" w:fill="FFFFFF"/>
          <w:lang w:val="en-US" w:eastAsia="zh-CN"/>
        </w:rPr>
        <w:t>人员类经费及公用经费严格按照绩效目标规范使用</w:t>
      </w:r>
      <w:r>
        <w:rPr>
          <w:rFonts w:hint="eastAsia"/>
          <w:color w:val="000000"/>
          <w:kern w:val="0"/>
          <w:szCs w:val="32"/>
          <w:shd w:val="clear" w:color="auto" w:fill="FFFFFF"/>
        </w:rPr>
        <w:t>。目标设置科学合理、规范完整、量化细化、预算匹配。自评得4分；三是项目入库：各项目按照预期目标完整、经济活动真实入库管理。在规定时间内完成项目入库，自评得4分。项目决策总体得12分。</w:t>
      </w:r>
    </w:p>
    <w:p>
      <w:pPr>
        <w:spacing w:line="560" w:lineRule="exact"/>
        <w:ind w:firstLine="640" w:firstLineChars="200"/>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2.项目执行</w:t>
      </w:r>
      <w:r>
        <w:rPr>
          <w:rFonts w:hint="eastAsia" w:ascii="楷体_GB2312" w:hAnsi="楷体_GB2312" w:eastAsia="楷体_GB2312" w:cs="楷体_GB2312"/>
          <w:color w:val="000000"/>
          <w:kern w:val="0"/>
          <w:szCs w:val="32"/>
          <w:shd w:val="clear" w:color="auto" w:fill="FFFFFF"/>
          <w:lang w:val="zh-CN"/>
        </w:rPr>
        <w:t>。</w:t>
      </w:r>
      <w:r>
        <w:rPr>
          <w:rFonts w:hint="eastAsia" w:ascii="仿宋_GB2312" w:hAnsi="仿宋_GB2312" w:cs="仿宋_GB2312"/>
          <w:szCs w:val="32"/>
          <w:lang w:val="zh-CN"/>
        </w:rPr>
        <w:t>一是执行同向：</w:t>
      </w:r>
      <w:r>
        <w:rPr>
          <w:rFonts w:hint="eastAsia" w:ascii="仿宋_GB2312" w:hAnsi="仿宋_GB2312" w:cs="仿宋_GB2312"/>
          <w:szCs w:val="32"/>
        </w:rPr>
        <w:t>2023年度我部门实际列支项目与绩效预算阶段项目相符，预算节约率小于10%，得4分；二是项目调整：项目执行进度有序推进，完成绩效目标100%，无应采取未采取收回预算、年末根据资金使用进度调整结余资金为其他项目报财政审核后执行，得4分；三是执行结果：预算执行完成各项目标，</w:t>
      </w:r>
      <w:r>
        <w:rPr>
          <w:rFonts w:hint="eastAsia"/>
        </w:rPr>
        <w:t>但</w:t>
      </w:r>
      <w:r>
        <w:rPr>
          <w:rFonts w:hint="eastAsia" w:ascii="仿宋_GB2312" w:hAnsi="仿宋_GB2312" w:cs="仿宋_GB2312"/>
          <w:szCs w:val="32"/>
        </w:rPr>
        <w:t>部门项目多涉及人员补助类项目，导致资金支付进度上半年支付进度慢，下半年集中支付率较高，故扣1分，得3分。四是目标完成：目标设立清晰，完成率为100%，得4分。项目执行总体自评得分10分。</w:t>
      </w:r>
    </w:p>
    <w:p>
      <w:pPr>
        <w:pStyle w:val="7"/>
        <w:widowControl/>
        <w:shd w:val="clear" w:color="auto" w:fill="FFFFFF"/>
        <w:spacing w:before="105" w:beforeAutospacing="0" w:after="105" w:afterAutospacing="0" w:line="560" w:lineRule="exact"/>
        <w:ind w:firstLine="420"/>
        <w:rPr>
          <w:rFonts w:ascii="楷体_GB2312" w:hAnsi="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3.</w:t>
      </w:r>
      <w:r>
        <w:rPr>
          <w:rFonts w:hint="eastAsia" w:ascii="楷体_GB2312" w:hAnsi="楷体_GB2312" w:eastAsia="楷体_GB2312" w:cs="楷体_GB2312"/>
          <w:color w:val="000000"/>
          <w:kern w:val="0"/>
          <w:szCs w:val="32"/>
          <w:shd w:val="clear" w:color="auto" w:fill="FFFFFF"/>
          <w:lang w:val="zh-CN"/>
        </w:rPr>
        <w:t>目标实现。</w:t>
      </w:r>
      <w:r>
        <w:rPr>
          <w:rFonts w:hint="eastAsia"/>
          <w:color w:val="000000"/>
          <w:kern w:val="0"/>
          <w:szCs w:val="32"/>
          <w:shd w:val="clear" w:color="auto" w:fill="FFFFFF"/>
          <w:lang w:val="zh-CN"/>
        </w:rPr>
        <w:t>一是目标偏离：预算项目绩效目标与实际</w:t>
      </w:r>
      <w:r>
        <w:rPr>
          <w:rFonts w:hint="eastAsia"/>
          <w:color w:val="000000"/>
          <w:kern w:val="0"/>
          <w:szCs w:val="32"/>
          <w:shd w:val="clear" w:color="auto" w:fill="FFFFFF"/>
          <w:lang w:val="en-US" w:eastAsia="zh-CN"/>
        </w:rPr>
        <w:t>无</w:t>
      </w:r>
      <w:r>
        <w:rPr>
          <w:rFonts w:hint="eastAsia"/>
          <w:color w:val="000000"/>
          <w:kern w:val="0"/>
          <w:szCs w:val="32"/>
          <w:shd w:val="clear" w:color="auto" w:fill="FFFFFF"/>
          <w:lang w:val="zh-CN"/>
        </w:rPr>
        <w:t>偏差</w:t>
      </w:r>
      <w:r>
        <w:rPr>
          <w:rFonts w:hint="eastAsia"/>
          <w:color w:val="000000"/>
          <w:kern w:val="0"/>
          <w:szCs w:val="32"/>
          <w:shd w:val="clear" w:color="auto" w:fill="FFFFFF"/>
        </w:rPr>
        <w:t>。二是项目实现效果好，项目执行好评率高、目标完成率高。几</w:t>
      </w:r>
      <w:r>
        <w:rPr>
          <w:rFonts w:hint="eastAsia"/>
          <w:color w:val="000000"/>
          <w:kern w:val="0"/>
          <w:szCs w:val="32"/>
          <w:shd w:val="clear" w:color="auto" w:fill="FFFFFF"/>
          <w:lang w:val="zh-CN"/>
        </w:rPr>
        <w:t>个项目指标实际完成均达到预期指标，目标实现总体自评得分：10分。</w:t>
      </w:r>
    </w:p>
    <w:p>
      <w:pPr>
        <w:snapToGrid w:val="0"/>
        <w:spacing w:line="560" w:lineRule="exact"/>
        <w:ind w:firstLine="642" w:firstLineChars="200"/>
        <w:rPr>
          <w:rFonts w:eastAsia="楷体_GB2312"/>
          <w:b/>
          <w:bCs/>
          <w:szCs w:val="32"/>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w:t>
      </w:r>
      <w:r>
        <w:rPr>
          <w:rFonts w:eastAsia="楷体_GB2312"/>
          <w:b/>
          <w:bCs/>
          <w:szCs w:val="32"/>
          <w:lang w:val="zh-CN"/>
        </w:rPr>
        <w:t>绩效结果应用情况</w:t>
      </w:r>
      <w:r>
        <w:rPr>
          <w:rFonts w:hint="eastAsia" w:eastAsia="楷体_GB2312"/>
          <w:b/>
          <w:bCs/>
          <w:szCs w:val="32"/>
          <w:lang w:val="zh-CN"/>
        </w:rPr>
        <w:t>。</w:t>
      </w:r>
    </w:p>
    <w:p>
      <w:pPr>
        <w:snapToGrid w:val="0"/>
        <w:spacing w:line="560" w:lineRule="exact"/>
        <w:ind w:firstLine="640" w:firstLineChars="200"/>
        <w:rPr>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1.</w:t>
      </w:r>
      <w:r>
        <w:rPr>
          <w:rFonts w:hint="eastAsia"/>
          <w:color w:val="000000"/>
          <w:kern w:val="0"/>
          <w:szCs w:val="32"/>
          <w:shd w:val="clear" w:color="auto" w:fill="FFFFFF"/>
          <w:lang w:val="zh-CN"/>
        </w:rPr>
        <w:t>围绕内部应用情况：通过绩效目标的制定和评定，逐步完善部门的内控制度。</w:t>
      </w:r>
    </w:p>
    <w:p>
      <w:pPr>
        <w:snapToGrid w:val="0"/>
        <w:spacing w:line="560" w:lineRule="exact"/>
        <w:ind w:firstLine="640" w:firstLineChars="200"/>
        <w:rPr>
          <w:color w:val="000000"/>
          <w:kern w:val="0"/>
          <w:szCs w:val="32"/>
          <w:shd w:val="clear" w:color="auto" w:fill="FFFFFF"/>
          <w:lang w:val="zh-CN"/>
        </w:rPr>
      </w:pPr>
      <w:r>
        <w:rPr>
          <w:rFonts w:hint="eastAsia"/>
          <w:color w:val="000000"/>
          <w:kern w:val="0"/>
          <w:szCs w:val="32"/>
          <w:shd w:val="clear" w:color="auto" w:fill="FFFFFF"/>
        </w:rPr>
        <w:t>2.</w:t>
      </w:r>
      <w:r>
        <w:rPr>
          <w:color w:val="000000"/>
          <w:kern w:val="0"/>
          <w:szCs w:val="32"/>
          <w:shd w:val="clear" w:color="auto" w:fill="FFFFFF"/>
          <w:lang w:val="zh-CN"/>
        </w:rPr>
        <w:t>信息公开情况</w:t>
      </w:r>
      <w:r>
        <w:rPr>
          <w:rFonts w:hint="eastAsia"/>
          <w:color w:val="000000"/>
          <w:kern w:val="0"/>
          <w:szCs w:val="32"/>
          <w:shd w:val="clear" w:color="auto" w:fill="FFFFFF"/>
          <w:lang w:val="zh-CN"/>
        </w:rPr>
        <w:t>：信息公开完整真实，均按照财政要求及时公开预决算等信息。</w:t>
      </w:r>
    </w:p>
    <w:p>
      <w:pPr>
        <w:snapToGrid w:val="0"/>
        <w:spacing w:line="560" w:lineRule="exact"/>
        <w:ind w:firstLine="640" w:firstLineChars="200"/>
        <w:rPr>
          <w:rFonts w:ascii="仿宋_GB2312" w:hAnsi="仿宋_GB2312" w:cs="仿宋_GB2312"/>
          <w:b/>
          <w:szCs w:val="32"/>
        </w:rPr>
      </w:pPr>
      <w:r>
        <w:rPr>
          <w:rFonts w:hint="eastAsia"/>
          <w:color w:val="000000"/>
          <w:kern w:val="0"/>
          <w:szCs w:val="32"/>
          <w:shd w:val="clear" w:color="auto" w:fill="FFFFFF"/>
        </w:rPr>
        <w:t>3.</w:t>
      </w:r>
      <w:r>
        <w:rPr>
          <w:color w:val="000000"/>
          <w:kern w:val="0"/>
          <w:szCs w:val="32"/>
          <w:shd w:val="clear" w:color="auto" w:fill="FFFFFF"/>
          <w:lang w:val="zh-CN"/>
        </w:rPr>
        <w:t>整改反馈情况</w:t>
      </w:r>
      <w:r>
        <w:rPr>
          <w:rFonts w:hint="eastAsia"/>
          <w:color w:val="000000"/>
          <w:kern w:val="0"/>
          <w:szCs w:val="32"/>
          <w:shd w:val="clear" w:color="auto" w:fill="FFFFFF"/>
          <w:lang w:val="zh-CN"/>
        </w:rPr>
        <w:t>进行分析：我单位</w:t>
      </w:r>
      <w:r>
        <w:rPr>
          <w:rFonts w:hint="eastAsia"/>
          <w:color w:val="000000"/>
          <w:kern w:val="0"/>
          <w:szCs w:val="32"/>
          <w:shd w:val="clear" w:color="auto" w:fill="FFFFFF"/>
        </w:rPr>
        <w:t>2023无巡视审计，但在自查工作中发现报销问题及时整改，严格规范内控。</w:t>
      </w:r>
    </w:p>
    <w:p>
      <w:pPr>
        <w:widowControl/>
        <w:adjustRightInd w:val="0"/>
        <w:snapToGrid w:val="0"/>
        <w:spacing w:line="56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60" w:lineRule="exact"/>
        <w:ind w:firstLine="642" w:firstLineChars="200"/>
        <w:contextualSpacing/>
        <w:jc w:val="left"/>
        <w:rPr>
          <w:rFonts w:ascii="仿宋_GB2312" w:hAnsi="仿宋_GB2312" w:cs="仿宋_GB2312"/>
          <w:kern w:val="0"/>
          <w:szCs w:val="32"/>
        </w:rPr>
      </w:pPr>
      <w:r>
        <w:rPr>
          <w:rFonts w:eastAsia="楷体_GB2312"/>
          <w:b/>
          <w:bCs/>
          <w:color w:val="000000"/>
          <w:kern w:val="0"/>
          <w:szCs w:val="32"/>
          <w:shd w:val="clear" w:color="auto" w:fill="FFFFFF"/>
          <w:lang w:val="zh-CN"/>
        </w:rPr>
        <w:t>（一）评价结论。</w:t>
      </w:r>
      <w:r>
        <w:rPr>
          <w:rFonts w:hint="eastAsia" w:ascii="仿宋_GB2312" w:hAnsi="仿宋_GB2312" w:cs="仿宋_GB2312"/>
          <w:kern w:val="0"/>
          <w:szCs w:val="32"/>
        </w:rPr>
        <w:t>2023年我部门在人大监督、巡视巡查、审计监督中未出现相关问题。在检查中积极配合</w:t>
      </w:r>
      <w:bookmarkStart w:id="1" w:name="_GoBack"/>
      <w:bookmarkEnd w:id="1"/>
      <w:r>
        <w:rPr>
          <w:rFonts w:hint="eastAsia" w:ascii="仿宋_GB2312" w:hAnsi="仿宋_GB2312" w:cs="仿宋_GB2312"/>
          <w:kern w:val="0"/>
          <w:szCs w:val="32"/>
        </w:rPr>
        <w:t>被评价部门。本部门在2023年度自评得分：9</w:t>
      </w:r>
      <w:r>
        <w:rPr>
          <w:rFonts w:hint="eastAsia" w:ascii="仿宋_GB2312" w:hAnsi="仿宋_GB2312" w:cs="仿宋_GB2312"/>
          <w:kern w:val="0"/>
          <w:szCs w:val="32"/>
          <w:lang w:val="en-US" w:eastAsia="zh-CN"/>
        </w:rPr>
        <w:t>7</w:t>
      </w:r>
      <w:r>
        <w:rPr>
          <w:rFonts w:hint="eastAsia" w:ascii="仿宋_GB2312" w:hAnsi="仿宋_GB2312" w:cs="仿宋_GB2312"/>
          <w:kern w:val="0"/>
          <w:szCs w:val="32"/>
        </w:rPr>
        <w:t>分。</w:t>
      </w:r>
    </w:p>
    <w:p>
      <w:pPr>
        <w:pStyle w:val="7"/>
        <w:widowControl/>
        <w:shd w:val="clear" w:color="auto" w:fill="FFFFFF"/>
        <w:spacing w:before="105" w:beforeAutospacing="0" w:after="105" w:afterAutospacing="0" w:line="560" w:lineRule="exact"/>
        <w:ind w:firstLine="420"/>
        <w:rPr>
          <w:rFonts w:ascii="宋体" w:hAnsi="宋体" w:eastAsia="宋体" w:cs="宋体"/>
          <w:color w:val="000000"/>
          <w:sz w:val="24"/>
        </w:rPr>
      </w:pPr>
      <w:r>
        <w:rPr>
          <w:rFonts w:eastAsia="楷体_GB2312"/>
          <w:b/>
          <w:bCs/>
          <w:color w:val="000000"/>
          <w:kern w:val="0"/>
          <w:szCs w:val="32"/>
          <w:shd w:val="clear" w:color="auto" w:fill="FFFFFF"/>
          <w:lang w:val="zh-CN"/>
        </w:rPr>
        <w:t>（二）存在问题。</w:t>
      </w:r>
    </w:p>
    <w:p>
      <w:pPr>
        <w:widowControl/>
        <w:adjustRightInd w:val="0"/>
        <w:snapToGrid w:val="0"/>
        <w:spacing w:line="560" w:lineRule="exact"/>
        <w:ind w:firstLine="640" w:firstLineChars="200"/>
        <w:contextualSpacing/>
        <w:jc w:val="left"/>
        <w:rPr>
          <w:rFonts w:ascii="仿宋_GB2312" w:hAnsi="仿宋_GB2312" w:cs="仿宋_GB2312"/>
          <w:kern w:val="0"/>
          <w:szCs w:val="32"/>
        </w:rPr>
      </w:pPr>
      <w:r>
        <w:rPr>
          <w:rFonts w:hint="eastAsia" w:ascii="仿宋_GB2312" w:hAnsi="仿宋_GB2312" w:cs="仿宋_GB2312"/>
          <w:kern w:val="0"/>
          <w:szCs w:val="32"/>
        </w:rPr>
        <w:t>一是预算编制准确度有待提高，存在中期追加、期末追减情况；二是固定资产卡片有未及时更新情况，管理有待完善；三是预算执行进度有待提高。</w:t>
      </w:r>
    </w:p>
    <w:p>
      <w:pPr>
        <w:pStyle w:val="7"/>
        <w:widowControl/>
        <w:numPr>
          <w:ilvl w:val="0"/>
          <w:numId w:val="1"/>
        </w:numPr>
        <w:shd w:val="clear" w:color="auto" w:fill="FFFFFF"/>
        <w:spacing w:before="105" w:beforeAutospacing="0" w:after="105" w:afterAutospacing="0" w:line="560" w:lineRule="exact"/>
        <w:ind w:firstLine="642" w:firstLineChars="200"/>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改进建议。</w:t>
      </w:r>
      <w:bookmarkStart w:id="0" w:name="_Hlk110546638"/>
    </w:p>
    <w:p>
      <w:pPr>
        <w:pStyle w:val="7"/>
        <w:widowControl/>
        <w:shd w:val="clear" w:color="auto" w:fill="FFFFFF"/>
        <w:spacing w:before="0" w:beforeAutospacing="0" w:after="0" w:afterAutospacing="0"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一是加强每月预算执行监控，及时督促相关科室推进项目执行。二是通过近年预决算数据对比，科学编制预算，未雨绸缪尽量做好年度规划，降低经费追加减比例。三是及时更新固定资产卡片，提高单位成本费用准确度。四是财政加大对绩效工作培训力度。</w:t>
      </w:r>
    </w:p>
    <w:p>
      <w:pPr>
        <w:widowControl/>
        <w:adjustRightInd w:val="0"/>
        <w:snapToGrid w:val="0"/>
        <w:spacing w:line="560" w:lineRule="exact"/>
        <w:ind w:firstLine="640" w:firstLineChars="200"/>
        <w:contextualSpacing/>
        <w:jc w:val="left"/>
        <w:rPr>
          <w:rFonts w:ascii="仿宋_GB2312" w:hAnsi="仿宋_GB2312" w:cs="仿宋_GB2312"/>
          <w:kern w:val="0"/>
          <w:szCs w:val="32"/>
        </w:rPr>
      </w:pPr>
    </w:p>
    <w:bookmarkEnd w:id="0"/>
    <w:p>
      <w:pPr>
        <w:widowControl/>
        <w:adjustRightInd w:val="0"/>
        <w:snapToGrid w:val="0"/>
        <w:spacing w:line="560" w:lineRule="exact"/>
        <w:ind w:firstLine="640" w:firstLineChars="200"/>
        <w:contextualSpacing/>
        <w:jc w:val="left"/>
        <w:rPr>
          <w:rFonts w:ascii="仿宋_GB2312" w:hAnsi="仿宋_GB2312" w:cs="仿宋_GB2312"/>
          <w:kern w:val="0"/>
          <w:szCs w:val="32"/>
          <w:lang w:val="zh-CN"/>
        </w:rPr>
      </w:pPr>
    </w:p>
    <w:p>
      <w:pPr>
        <w:spacing w:line="560" w:lineRule="exact"/>
        <w:contextualSpacing/>
        <w:rPr>
          <w:rFonts w:eastAsia="黑体"/>
          <w:szCs w:val="32"/>
        </w:rPr>
      </w:pPr>
    </w:p>
    <w:p>
      <w:pPr>
        <w:spacing w:line="560" w:lineRule="exact"/>
        <w:ind w:firstLine="640" w:firstLineChars="200"/>
      </w:pPr>
      <w:r>
        <w:rPr>
          <w:rFonts w:hint="eastAsia"/>
          <w:color w:val="000000"/>
          <w:kern w:val="0"/>
          <w:szCs w:val="32"/>
          <w:shd w:val="clear" w:color="auto" w:fill="FFFFFF"/>
        </w:rPr>
        <w:t>附表：</w:t>
      </w:r>
      <w:r>
        <w:rPr>
          <w:color w:val="000000"/>
          <w:kern w:val="0"/>
          <w:szCs w:val="32"/>
          <w:shd w:val="clear" w:color="auto" w:fill="FFFFFF"/>
        </w:rPr>
        <w:t>部门整体支出绩效目标完成情况自评表</w:t>
      </w:r>
      <w:r>
        <w:rPr>
          <w:color w:val="000000"/>
          <w:kern w:val="0"/>
          <w:szCs w:val="32"/>
          <w:shd w:val="clear" w:color="auto" w:fill="FFFFFF"/>
        </w:rPr>
        <w:br w:type="page"/>
      </w:r>
      <w:r>
        <w:rPr>
          <w:rFonts w:hint="eastAsia" w:ascii="黑体" w:hAnsi="黑体" w:eastAsia="黑体" w:cs="黑体"/>
        </w:rPr>
        <w:t>附表</w:t>
      </w:r>
    </w:p>
    <w:tbl>
      <w:tblPr>
        <w:tblStyle w:val="9"/>
        <w:tblW w:w="10560" w:type="dxa"/>
        <w:jc w:val="center"/>
        <w:tblLayout w:type="fixed"/>
        <w:tblCellMar>
          <w:top w:w="15" w:type="dxa"/>
          <w:left w:w="15" w:type="dxa"/>
          <w:bottom w:w="15" w:type="dxa"/>
          <w:right w:w="15" w:type="dxa"/>
        </w:tblCellMar>
      </w:tblPr>
      <w:tblGrid>
        <w:gridCol w:w="1309"/>
        <w:gridCol w:w="1347"/>
        <w:gridCol w:w="663"/>
        <w:gridCol w:w="1710"/>
        <w:gridCol w:w="1143"/>
        <w:gridCol w:w="1291"/>
        <w:gridCol w:w="1058"/>
        <w:gridCol w:w="926"/>
        <w:gridCol w:w="1113"/>
      </w:tblGrid>
      <w:tr>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pPr>
              <w:widowControl/>
              <w:spacing w:line="560" w:lineRule="exact"/>
              <w:jc w:val="center"/>
              <w:textAlignment w:val="center"/>
              <w:rPr>
                <w:rFonts w:eastAsia="黑体"/>
                <w:color w:val="000000"/>
                <w:sz w:val="28"/>
                <w:szCs w:val="28"/>
              </w:rPr>
            </w:pPr>
            <w:r>
              <w:rPr>
                <w:rFonts w:eastAsia="方正小标宋简体"/>
                <w:color w:val="000000"/>
                <w:kern w:val="0"/>
                <w:sz w:val="44"/>
                <w:szCs w:val="44"/>
              </w:rPr>
              <w:t>部门整体支出绩效目标完成情况自评表</w:t>
            </w:r>
          </w:p>
        </w:tc>
      </w:tr>
      <w:tr>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pPr>
              <w:widowControl/>
              <w:spacing w:line="560" w:lineRule="exact"/>
              <w:jc w:val="center"/>
              <w:textAlignment w:val="center"/>
              <w:rPr>
                <w:rFonts w:eastAsia="宋体"/>
                <w:color w:val="000000"/>
                <w:sz w:val="28"/>
                <w:szCs w:val="28"/>
              </w:rPr>
            </w:pPr>
            <w:r>
              <w:rPr>
                <w:rFonts w:eastAsia="宋体"/>
                <w:color w:val="000000"/>
                <w:kern w:val="0"/>
                <w:sz w:val="28"/>
                <w:szCs w:val="28"/>
              </w:rPr>
              <w:t>（2023年度）</w:t>
            </w:r>
          </w:p>
        </w:tc>
      </w:tr>
      <w:tr>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pPr>
              <w:widowControl/>
              <w:spacing w:line="560" w:lineRule="exact"/>
              <w:jc w:val="right"/>
              <w:textAlignment w:val="center"/>
              <w:rPr>
                <w:rFonts w:eastAsia="宋体"/>
                <w:color w:val="000000"/>
                <w:sz w:val="21"/>
                <w:szCs w:val="21"/>
              </w:rPr>
            </w:pPr>
            <w:r>
              <w:rPr>
                <w:rFonts w:eastAsia="宋体"/>
                <w:color w:val="000000"/>
                <w:kern w:val="0"/>
                <w:sz w:val="21"/>
                <w:szCs w:val="21"/>
              </w:rPr>
              <w:t>单位：万元</w:t>
            </w:r>
          </w:p>
        </w:tc>
      </w:tr>
      <w:tr>
        <w:tblPrEx>
          <w:tblCellMar>
            <w:top w:w="15" w:type="dxa"/>
            <w:left w:w="15" w:type="dxa"/>
            <w:bottom w:w="15" w:type="dxa"/>
            <w:right w:w="15" w:type="dxa"/>
          </w:tblCellMar>
        </w:tblPrEx>
        <w:trPr>
          <w:trHeight w:val="23" w:hRule="atLeast"/>
          <w:jc w:val="center"/>
        </w:trPr>
        <w:tc>
          <w:tcPr>
            <w:tcW w:w="3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部门名称</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hint="eastAsia" w:eastAsia="宋体"/>
                <w:color w:val="000000"/>
                <w:sz w:val="24"/>
              </w:rPr>
              <w:t>中共黑水县委宣传部</w:t>
            </w:r>
          </w:p>
        </w:tc>
      </w:tr>
      <w:tr>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年度部门整体支出预算</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资金总额</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财政拨款</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其他资金</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eastAsia="宋体"/>
                <w:color w:val="000000"/>
                <w:sz w:val="24"/>
                <w:lang w:val="en-US" w:eastAsia="zh-CN"/>
              </w:rPr>
            </w:pPr>
            <w:r>
              <w:rPr>
                <w:rFonts w:hint="eastAsia" w:ascii="宋体" w:hAnsi="宋体" w:eastAsia="宋体" w:cs="宋体"/>
                <w:sz w:val="24"/>
                <w:lang w:val="en-US" w:eastAsia="zh-CN"/>
              </w:rPr>
              <w:t>198.63</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default" w:eastAsia="宋体"/>
                <w:color w:val="000000"/>
                <w:sz w:val="24"/>
                <w:lang w:val="en-US" w:eastAsia="zh-CN"/>
              </w:rPr>
            </w:pPr>
            <w:r>
              <w:rPr>
                <w:rFonts w:hint="eastAsia" w:ascii="宋体" w:hAnsi="宋体" w:eastAsia="宋体" w:cs="宋体"/>
                <w:sz w:val="24"/>
                <w:lang w:val="en-US" w:eastAsia="zh-CN"/>
              </w:rPr>
              <w:t>198.63</w:t>
            </w:r>
          </w:p>
        </w:tc>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hint="eastAsia" w:eastAsia="宋体"/>
                <w:color w:val="000000"/>
                <w:kern w:val="0"/>
                <w:sz w:val="24"/>
              </w:rPr>
              <w:t>0</w:t>
            </w:r>
          </w:p>
        </w:tc>
      </w:tr>
      <w:tr>
        <w:tblPrEx>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年度总体</w:t>
            </w:r>
          </w:p>
          <w:p>
            <w:pPr>
              <w:widowControl/>
              <w:spacing w:line="560" w:lineRule="exact"/>
              <w:jc w:val="center"/>
              <w:textAlignment w:val="center"/>
              <w:rPr>
                <w:rFonts w:eastAsia="宋体"/>
                <w:color w:val="000000"/>
                <w:sz w:val="24"/>
              </w:rPr>
            </w:pPr>
            <w:r>
              <w:rPr>
                <w:rFonts w:eastAsia="宋体"/>
                <w:color w:val="000000"/>
                <w:kern w:val="0"/>
                <w:sz w:val="24"/>
              </w:rPr>
              <w:t>目标</w:t>
            </w:r>
          </w:p>
        </w:tc>
        <w:tc>
          <w:tcPr>
            <w:tcW w:w="9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ascii="宋体" w:hAnsi="宋体" w:eastAsia="宋体" w:cs="宋体"/>
                <w:sz w:val="24"/>
              </w:rPr>
              <w:t>全县宣传思想工作坚持以习近平新时代中国特色社会主义思想和习近平总书记对四川工作、阿坝工作系列重要指示精神为指导，深入贯彻落实习近平文化思想，围绕学习宣传贯彻党的二十大精神主线，紧扣全州“1+1+5+5”宣传工作思路和县委“一地三县六区”战略目标，自觉承担举旗帜、聚民心、育新人、兴文化、展形象使命任务，为推进现代化黑水建设提供坚强思想保证和强大精神力量。2023年重点：一是推动“理论武装入脑入心”；二是推动“舆论引导走深走实”，三是</w:t>
            </w:r>
            <w:r>
              <w:rPr>
                <w:rFonts w:hint="eastAsia" w:ascii="宋体" w:hAnsi="宋体" w:eastAsia="宋体" w:cs="宋体"/>
                <w:sz w:val="24"/>
              </w:rPr>
              <w:t>推动</w:t>
            </w:r>
            <w:r>
              <w:rPr>
                <w:rFonts w:ascii="宋体" w:hAnsi="宋体" w:eastAsia="宋体" w:cs="宋体"/>
                <w:sz w:val="24"/>
              </w:rPr>
              <w:t>“文明共创见行见效”；四是</w:t>
            </w:r>
            <w:r>
              <w:rPr>
                <w:rFonts w:hint="eastAsia" w:ascii="宋体" w:hAnsi="宋体" w:eastAsia="宋体" w:cs="宋体"/>
                <w:sz w:val="24"/>
              </w:rPr>
              <w:t>推动</w:t>
            </w:r>
            <w:r>
              <w:rPr>
                <w:rFonts w:ascii="宋体" w:hAnsi="宋体" w:eastAsia="宋体" w:cs="宋体"/>
                <w:sz w:val="24"/>
              </w:rPr>
              <w:t>“文化建设提质提效”；五是</w:t>
            </w:r>
            <w:r>
              <w:rPr>
                <w:rFonts w:hint="eastAsia" w:ascii="宋体" w:hAnsi="宋体" w:eastAsia="宋体" w:cs="宋体"/>
                <w:sz w:val="24"/>
              </w:rPr>
              <w:t>推动</w:t>
            </w:r>
            <w:r>
              <w:rPr>
                <w:rFonts w:ascii="宋体" w:hAnsi="宋体" w:eastAsia="宋体" w:cs="宋体"/>
                <w:sz w:val="24"/>
              </w:rPr>
              <w:t>“意识形态可管可控”；六</w:t>
            </w:r>
            <w:r>
              <w:rPr>
                <w:rFonts w:hint="eastAsia" w:ascii="宋体" w:hAnsi="宋体" w:eastAsia="宋体" w:cs="宋体"/>
                <w:sz w:val="24"/>
              </w:rPr>
              <w:t>是</w:t>
            </w:r>
            <w:r>
              <w:rPr>
                <w:rFonts w:ascii="宋体" w:hAnsi="宋体" w:eastAsia="宋体" w:cs="宋体"/>
                <w:sz w:val="24"/>
              </w:rPr>
              <w:t>完成</w:t>
            </w:r>
            <w:r>
              <w:rPr>
                <w:rFonts w:hint="eastAsia" w:ascii="宋体" w:hAnsi="宋体" w:eastAsia="宋体" w:cs="宋体"/>
                <w:sz w:val="24"/>
              </w:rPr>
              <w:t>宣传</w:t>
            </w:r>
            <w:r>
              <w:rPr>
                <w:rFonts w:ascii="宋体" w:hAnsi="宋体" w:eastAsia="宋体" w:cs="宋体"/>
                <w:sz w:val="24"/>
              </w:rPr>
              <w:t>部日常运转及上级交办的其他工作。</w:t>
            </w:r>
          </w:p>
        </w:tc>
      </w:tr>
      <w:tr>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年度主要</w:t>
            </w:r>
          </w:p>
          <w:p>
            <w:pPr>
              <w:widowControl/>
              <w:spacing w:line="560" w:lineRule="exact"/>
              <w:jc w:val="center"/>
              <w:textAlignment w:val="center"/>
              <w:rPr>
                <w:rFonts w:eastAsia="宋体"/>
                <w:color w:val="000000"/>
                <w:sz w:val="24"/>
              </w:rPr>
            </w:pPr>
            <w:r>
              <w:rPr>
                <w:rFonts w:eastAsia="宋体"/>
                <w:color w:val="000000"/>
                <w:kern w:val="0"/>
                <w:sz w:val="24"/>
              </w:rPr>
              <w:t>任务</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任务名称</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主要内容</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kern w:val="0"/>
                <w:sz w:val="24"/>
              </w:rPr>
              <w:t>单位“三保支出”</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1"/>
                <w:szCs w:val="21"/>
              </w:rPr>
            </w:pPr>
            <w:r>
              <w:rPr>
                <w:rFonts w:hint="eastAsia" w:eastAsia="宋体"/>
                <w:color w:val="000000"/>
                <w:sz w:val="21"/>
                <w:szCs w:val="21"/>
              </w:rPr>
              <w:t>保人员工资、保险及运转等基本支出。</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kern w:val="0"/>
                <w:sz w:val="24"/>
              </w:rPr>
            </w:pPr>
            <w:r>
              <w:rPr>
                <w:rFonts w:hint="eastAsia" w:eastAsia="宋体"/>
                <w:color w:val="000000"/>
                <w:kern w:val="0"/>
                <w:sz w:val="24"/>
              </w:rPr>
              <w:t>宣传工作</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1"/>
                <w:szCs w:val="21"/>
              </w:rPr>
            </w:pPr>
            <w:r>
              <w:rPr>
                <w:rFonts w:eastAsia="宋体"/>
                <w:color w:val="000000"/>
                <w:sz w:val="21"/>
                <w:szCs w:val="21"/>
              </w:rPr>
              <w:t>在微黑水开设《学习贯彻习近平新时代中国特色社会主义思想主题教育》《理论学习》等专栏，转载人民日报、新华网等重点媒体报道及重要会议精神报道，做好县域时政新闻报道。制作《2023年第一课》《学习党的二十大 奋进伟大新征程》《读书班学员，学习干货来了》等专栏，发布理论学习微视频30余条、时政类新闻报道400余条</w:t>
            </w:r>
            <w:r>
              <w:rPr>
                <w:rFonts w:hint="eastAsia" w:eastAsia="宋体"/>
                <w:color w:val="000000"/>
                <w:sz w:val="21"/>
                <w:szCs w:val="21"/>
              </w:rPr>
              <w:t>等</w:t>
            </w:r>
            <w:r>
              <w:rPr>
                <w:rFonts w:eastAsia="宋体"/>
                <w:color w:val="000000"/>
                <w:sz w:val="21"/>
                <w:szCs w:val="21"/>
              </w:rPr>
              <w:t>。</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kern w:val="0"/>
                <w:sz w:val="24"/>
              </w:rPr>
            </w:pPr>
            <w:r>
              <w:rPr>
                <w:rFonts w:hint="eastAsia" w:eastAsia="宋体"/>
                <w:color w:val="000000"/>
                <w:kern w:val="0"/>
                <w:sz w:val="24"/>
              </w:rPr>
              <w:t>精神文明建设工作</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sz w:val="21"/>
                <w:szCs w:val="21"/>
              </w:rPr>
              <w:t>坚持“群众在哪里，新时代文明实践就延伸在哪里”，各乡镇、各部门围绕惠民政策、文化文艺、移风易俗等内容，开展各类文明实践活动1500余场次，推动志愿服务常态化、规范化、制度化。</w:t>
            </w:r>
            <w:r>
              <w:rPr>
                <w:rFonts w:eastAsia="宋体"/>
                <w:color w:val="000000"/>
                <w:sz w:val="21"/>
                <w:szCs w:val="21"/>
              </w:rPr>
              <w:t>深化“我们的节日”主题活动内涵，组织开展</w:t>
            </w:r>
            <w:r>
              <w:rPr>
                <w:rFonts w:hint="eastAsia" w:eastAsia="宋体"/>
                <w:color w:val="000000"/>
                <w:sz w:val="21"/>
                <w:szCs w:val="21"/>
              </w:rPr>
              <w:t>“</w:t>
            </w:r>
            <w:r>
              <w:rPr>
                <w:rFonts w:eastAsia="宋体"/>
                <w:color w:val="000000"/>
                <w:sz w:val="21"/>
                <w:szCs w:val="21"/>
              </w:rPr>
              <w:t>迎新春送祝福</w:t>
            </w:r>
            <w:r>
              <w:rPr>
                <w:rFonts w:hint="eastAsia" w:eastAsia="宋体"/>
                <w:color w:val="000000"/>
                <w:sz w:val="21"/>
                <w:szCs w:val="21"/>
              </w:rPr>
              <w:t>”“</w:t>
            </w:r>
            <w:r>
              <w:rPr>
                <w:rFonts w:eastAsia="宋体"/>
                <w:color w:val="000000"/>
                <w:sz w:val="21"/>
                <w:szCs w:val="21"/>
              </w:rPr>
              <w:t>元宵情暖环卫工人</w:t>
            </w:r>
            <w:r>
              <w:rPr>
                <w:rFonts w:hint="eastAsia" w:eastAsia="宋体"/>
                <w:color w:val="000000"/>
                <w:sz w:val="21"/>
                <w:szCs w:val="21"/>
              </w:rPr>
              <w:t>”“艾香端午”</w:t>
            </w:r>
            <w:r>
              <w:rPr>
                <w:rFonts w:eastAsia="宋体"/>
                <w:color w:val="000000"/>
                <w:sz w:val="21"/>
                <w:szCs w:val="21"/>
              </w:rPr>
              <w:t>等主题活动</w:t>
            </w:r>
            <w:r>
              <w:rPr>
                <w:rFonts w:hint="eastAsia" w:eastAsia="宋体"/>
                <w:color w:val="000000"/>
                <w:sz w:val="21"/>
                <w:szCs w:val="21"/>
              </w:rPr>
              <w:t>10余</w:t>
            </w:r>
            <w:r>
              <w:rPr>
                <w:rFonts w:eastAsia="宋体"/>
                <w:color w:val="000000"/>
                <w:sz w:val="21"/>
                <w:szCs w:val="21"/>
              </w:rPr>
              <w:t>场次。</w:t>
            </w:r>
            <w:r>
              <w:rPr>
                <w:rFonts w:hint="eastAsia" w:eastAsia="宋体"/>
                <w:color w:val="000000"/>
                <w:sz w:val="21"/>
                <w:szCs w:val="21"/>
              </w:rPr>
              <w:t>在104个村（社区）开展“村史馆里讲村史”实践活动，让广大群众留住记忆、记住乡愁。</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文化工作</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eastAsia="宋体"/>
                <w:color w:val="000000"/>
                <w:sz w:val="21"/>
                <w:szCs w:val="21"/>
              </w:rPr>
              <w:t>按照分级负责原则，开展2023年县级乡村文化振兴样板村镇建设，命名芦花镇、西尔镇沙卡村、扎窝镇俄窝村等8个村镇为县级样板村镇，推荐芦花镇、铁别村等6个村镇申报创建州级样板村镇。做好乡村文化振兴魅力竞演大赛活动，发动魅力乡镇、文化能人、代言人参与线上竞演，《阿拉吉吉》男女群舞荣获阿坝州乡村文化振兴魅力竞演大赛三等奖。</w:t>
            </w:r>
          </w:p>
        </w:tc>
      </w:tr>
      <w:tr>
        <w:tblPrEx>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p>
        </w:tc>
      </w:tr>
      <w:tr>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年度绩效</w:t>
            </w:r>
          </w:p>
          <w:p>
            <w:pPr>
              <w:widowControl/>
              <w:spacing w:line="560" w:lineRule="exact"/>
              <w:jc w:val="center"/>
              <w:textAlignment w:val="center"/>
              <w:rPr>
                <w:rFonts w:eastAsia="宋体"/>
                <w:color w:val="000000"/>
                <w:sz w:val="24"/>
              </w:rPr>
            </w:pPr>
            <w:r>
              <w:rPr>
                <w:rFonts w:eastAsia="宋体"/>
                <w:color w:val="000000"/>
                <w:kern w:val="0"/>
                <w:sz w:val="24"/>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一级指标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二级指标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三级指标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绩效指标</w:t>
            </w:r>
          </w:p>
          <w:p>
            <w:pPr>
              <w:widowControl/>
              <w:spacing w:line="560" w:lineRule="exact"/>
              <w:jc w:val="center"/>
              <w:textAlignment w:val="center"/>
              <w:rPr>
                <w:rFonts w:eastAsia="宋体"/>
                <w:color w:val="000000"/>
                <w:sz w:val="24"/>
              </w:rPr>
            </w:pPr>
            <w:r>
              <w:rPr>
                <w:rFonts w:eastAsia="宋体"/>
                <w:color w:val="000000"/>
                <w:kern w:val="0"/>
                <w:sz w:val="24"/>
              </w:rPr>
              <w:t>性质</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实际完成</w:t>
            </w:r>
          </w:p>
          <w:p>
            <w:pPr>
              <w:widowControl/>
              <w:spacing w:line="560" w:lineRule="exact"/>
              <w:jc w:val="center"/>
              <w:textAlignment w:val="center"/>
              <w:rPr>
                <w:rFonts w:eastAsia="宋体"/>
                <w:color w:val="000000"/>
                <w:sz w:val="24"/>
              </w:rPr>
            </w:pPr>
            <w:r>
              <w:rPr>
                <w:rFonts w:eastAsia="宋体"/>
                <w:color w:val="000000"/>
                <w:kern w:val="0"/>
                <w:sz w:val="24"/>
              </w:rPr>
              <w:t>指标值</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产出指标</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数量指标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18"/>
                <w:szCs w:val="18"/>
              </w:rPr>
            </w:pPr>
            <w:r>
              <w:rPr>
                <w:rFonts w:hint="eastAsia" w:eastAsia="宋体"/>
                <w:color w:val="000000"/>
                <w:kern w:val="0"/>
                <w:sz w:val="18"/>
                <w:szCs w:val="18"/>
              </w:rPr>
              <w:t>人员、公用经费</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sz w:val="24"/>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hint="eastAsia" w:eastAsia="宋体"/>
                <w:color w:val="000000"/>
                <w:sz w:val="24"/>
                <w:lang w:eastAsia="zh-CN"/>
              </w:rPr>
            </w:pPr>
            <w:r>
              <w:rPr>
                <w:rFonts w:hint="eastAsia" w:eastAsia="宋体"/>
                <w:color w:val="000000"/>
                <w:kern w:val="0"/>
                <w:sz w:val="24"/>
                <w:lang w:val="en-US" w:eastAsia="zh-CN"/>
              </w:rPr>
              <w:t>9</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kern w:val="0"/>
                <w:sz w:val="24"/>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kern w:val="0"/>
                <w:sz w:val="24"/>
              </w:rPr>
              <w:t>5</w:t>
            </w:r>
          </w:p>
        </w:tc>
        <w:tc>
          <w:tcPr>
            <w:tcW w:w="1113" w:type="dxa"/>
            <w:tcBorders>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eastAsia="宋体"/>
                <w:color w:val="000000"/>
                <w:kern w:val="0"/>
                <w:sz w:val="24"/>
              </w:rPr>
              <w:t>19</w:t>
            </w:r>
          </w:p>
        </w:tc>
      </w:tr>
      <w:tr>
        <w:tblPrEx>
          <w:tblCellMar>
            <w:top w:w="15" w:type="dxa"/>
            <w:left w:w="15" w:type="dxa"/>
            <w:bottom w:w="15" w:type="dxa"/>
            <w:right w:w="15" w:type="dxa"/>
          </w:tblCellMar>
        </w:tblPrEx>
        <w:trPr>
          <w:trHeight w:val="7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发布</w:t>
            </w:r>
            <w:r>
              <w:rPr>
                <w:rFonts w:eastAsia="宋体"/>
                <w:color w:val="000000"/>
                <w:kern w:val="0"/>
                <w:sz w:val="18"/>
                <w:szCs w:val="18"/>
              </w:rPr>
              <w:t>时政类新闻报道</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350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400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kern w:val="0"/>
                <w:sz w:val="18"/>
                <w:szCs w:val="18"/>
              </w:rPr>
              <w:t>开展各类文明实践活动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hint="default" w:eastAsia="宋体"/>
                <w:color w:val="000000"/>
                <w:sz w:val="24"/>
                <w:lang w:val="en-US" w:eastAsia="zh-CN"/>
              </w:rPr>
            </w:pPr>
            <w:r>
              <w:rPr>
                <w:rFonts w:hint="eastAsia" w:eastAsia="宋体"/>
                <w:color w:val="000000"/>
                <w:sz w:val="24"/>
                <w:lang w:val="en-US" w:eastAsia="zh-CN"/>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1500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kern w:val="0"/>
                <w:sz w:val="18"/>
                <w:szCs w:val="18"/>
              </w:rPr>
              <w:t>创建县级文明单位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8</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eastAsia="宋体"/>
                <w:color w:val="000000"/>
                <w:kern w:val="0"/>
                <w:sz w:val="18"/>
                <w:szCs w:val="18"/>
              </w:rPr>
              <w:t>乡村文化振兴样板村镇建设</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14</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eastAsia="宋体"/>
                <w:color w:val="000000"/>
                <w:kern w:val="0"/>
                <w:sz w:val="18"/>
                <w:szCs w:val="18"/>
              </w:rPr>
              <w:t>采购</w:t>
            </w:r>
            <w:r>
              <w:rPr>
                <w:rFonts w:hint="eastAsia" w:eastAsia="宋体"/>
                <w:color w:val="000000"/>
                <w:kern w:val="0"/>
                <w:sz w:val="18"/>
                <w:szCs w:val="18"/>
              </w:rPr>
              <w:t>农家书屋</w:t>
            </w:r>
            <w:r>
              <w:rPr>
                <w:rFonts w:eastAsia="宋体"/>
                <w:color w:val="000000"/>
                <w:kern w:val="0"/>
                <w:sz w:val="18"/>
                <w:szCs w:val="18"/>
              </w:rPr>
              <w:t>图书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7380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7904</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农村电影公益放映</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1476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1570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开展节日主题活动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发布宣传稿件</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1500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2000</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质量指标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18"/>
                <w:szCs w:val="18"/>
              </w:rPr>
              <w:t>政策落实覆盖率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98%</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宣传效果</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98%</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时效指标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18"/>
                <w:szCs w:val="18"/>
              </w:rPr>
              <w:t>资金支付和使用率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效益指标</w:t>
            </w:r>
          </w:p>
        </w:tc>
        <w:tc>
          <w:tcPr>
            <w:tcW w:w="663"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kern w:val="0"/>
                <w:sz w:val="24"/>
              </w:rPr>
            </w:pPr>
            <w:r>
              <w:rPr>
                <w:rFonts w:eastAsia="宋体"/>
                <w:color w:val="000000"/>
                <w:kern w:val="0"/>
                <w:sz w:val="24"/>
              </w:rPr>
              <w:t>社会效益</w:t>
            </w:r>
          </w:p>
          <w:p>
            <w:pPr>
              <w:widowControl/>
              <w:spacing w:line="560" w:lineRule="exact"/>
              <w:jc w:val="center"/>
              <w:textAlignment w:val="center"/>
              <w:rPr>
                <w:rFonts w:eastAsia="宋体"/>
                <w:color w:val="000000"/>
                <w:sz w:val="24"/>
              </w:rPr>
            </w:pPr>
            <w:r>
              <w:rPr>
                <w:rFonts w:eastAsia="宋体"/>
                <w:color w:val="000000"/>
                <w:kern w:val="0"/>
                <w:sz w:val="24"/>
              </w:rPr>
              <w:t>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18"/>
                <w:szCs w:val="18"/>
              </w:rPr>
              <w:t>社会好评率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98%</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663" w:type="dxa"/>
            <w:vMerge w:val="continue"/>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宣传效果</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定性</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好</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好</w:t>
            </w:r>
          </w:p>
        </w:tc>
      </w:tr>
      <w:tr>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满意度指标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eastAsia="宋体"/>
                <w:color w:val="000000"/>
                <w:sz w:val="24"/>
              </w:rPr>
            </w:pPr>
            <w:r>
              <w:rPr>
                <w:rFonts w:eastAsia="宋体"/>
                <w:color w:val="000000"/>
                <w:kern w:val="0"/>
                <w:sz w:val="24"/>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18"/>
                <w:szCs w:val="18"/>
              </w:rPr>
            </w:pPr>
            <w:r>
              <w:rPr>
                <w:rFonts w:hint="eastAsia" w:eastAsia="宋体"/>
                <w:color w:val="000000"/>
                <w:sz w:val="18"/>
                <w:szCs w:val="18"/>
              </w:rPr>
              <w:t>服务对象满意度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ascii="宋体" w:hAnsi="宋体" w:eastAsia="宋体" w:cs="宋体"/>
                <w:color w:val="000000"/>
                <w:kern w:val="0"/>
                <w:sz w:val="22"/>
                <w:szCs w:val="22"/>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rPr>
                <w:rFonts w:eastAsia="宋体"/>
                <w:color w:val="000000"/>
                <w:sz w:val="24"/>
              </w:rPr>
            </w:pPr>
            <w:r>
              <w:rPr>
                <w:rFonts w:hint="eastAsia" w:eastAsia="宋体"/>
                <w:color w:val="000000"/>
                <w:sz w:val="24"/>
              </w:rPr>
              <w:t>100%</w:t>
            </w:r>
          </w:p>
        </w:tc>
      </w:tr>
    </w:tbl>
    <w:p>
      <w:pPr>
        <w:pStyle w:val="8"/>
        <w:spacing w:line="560" w:lineRule="exact"/>
        <w:ind w:left="0" w:leftChars="0" w:firstLine="0" w:firstLineChars="0"/>
        <w:rPr>
          <w:rFonts w:ascii="Times New Roman" w:eastAsia="黑体"/>
          <w:sz w:val="24"/>
          <w:szCs w:val="24"/>
        </w:rPr>
      </w:pPr>
    </w:p>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4"/>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3FE8E"/>
    <w:multiLevelType w:val="singleLevel"/>
    <w:tmpl w:val="1593FE8E"/>
    <w:lvl w:ilvl="0" w:tentative="0">
      <w:start w:val="2"/>
      <w:numFmt w:val="chineseCounting"/>
      <w:suff w:val="nothing"/>
      <w:lvlText w:val="（%1）"/>
      <w:lvlJc w:val="left"/>
      <w:rPr>
        <w:rFonts w:hint="eastAsia"/>
      </w:rPr>
    </w:lvl>
  </w:abstractNum>
  <w:abstractNum w:abstractNumId="1">
    <w:nsid w:val="28C01E65"/>
    <w:multiLevelType w:val="singleLevel"/>
    <w:tmpl w:val="28C01E6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GM5MWRlNmUwZGQwNTZmM2YyMGRmMmEzMGM2OTQifQ=="/>
  </w:docVars>
  <w:rsids>
    <w:rsidRoot w:val="52E24464"/>
    <w:rsid w:val="002647AE"/>
    <w:rsid w:val="002D41E3"/>
    <w:rsid w:val="00D7666A"/>
    <w:rsid w:val="00FE3287"/>
    <w:rsid w:val="191F49CB"/>
    <w:rsid w:val="19965FB8"/>
    <w:rsid w:val="239A10AB"/>
    <w:rsid w:val="2DC7702A"/>
    <w:rsid w:val="31741628"/>
    <w:rsid w:val="33B57CD6"/>
    <w:rsid w:val="420B536C"/>
    <w:rsid w:val="52E24464"/>
    <w:rsid w:val="540224A3"/>
    <w:rsid w:val="638C63B3"/>
    <w:rsid w:val="70683DB2"/>
    <w:rsid w:val="719F5C40"/>
    <w:rsid w:val="779807AE"/>
    <w:rsid w:val="7BBB198C"/>
    <w:rsid w:val="FD07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3">
    <w:name w:val="Body Text Indent"/>
    <w:basedOn w:val="1"/>
    <w:qFormat/>
    <w:uiPriority w:val="0"/>
    <w:pPr>
      <w:spacing w:after="120"/>
      <w:ind w:left="200" w:leftChars="200"/>
    </w:pPr>
    <w:rPr>
      <w:rFonts w:ascii="仿宋_GB2312"/>
      <w:szCs w:val="32"/>
    </w:rPr>
  </w:style>
  <w:style w:type="paragraph" w:styleId="4">
    <w:name w:val="footer"/>
    <w:basedOn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table of figures"/>
    <w:basedOn w:val="1"/>
    <w:next w:val="1"/>
    <w:qFormat/>
    <w:uiPriority w:val="0"/>
    <w:pPr>
      <w:spacing w:before="100" w:beforeAutospacing="1" w:after="100" w:afterAutospacing="1"/>
      <w:ind w:left="200" w:leftChars="200" w:hanging="200" w:hangingChars="200"/>
    </w:pPr>
  </w:style>
  <w:style w:type="paragraph" w:styleId="7">
    <w:name w:val="Normal (Web)"/>
    <w:basedOn w:val="1"/>
    <w:unhideWhenUsed/>
    <w:qFormat/>
    <w:uiPriority w:val="99"/>
    <w:pPr>
      <w:spacing w:before="100" w:beforeAutospacing="1" w:after="100" w:afterAutospacing="1"/>
    </w:pPr>
  </w:style>
  <w:style w:type="paragraph" w:styleId="8">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3366</Words>
  <Characters>3548</Characters>
  <Lines>5</Lines>
  <Paragraphs>11</Paragraphs>
  <TotalTime>12</TotalTime>
  <ScaleCrop>false</ScaleCrop>
  <LinksUpToDate>false</LinksUpToDate>
  <CharactersWithSpaces>3555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2024-08-08T09:56:00Z</dcterms:created>
  <dc:creator>xcb</dc:creator>
  <cp:lastModifiedBy>user</cp:lastModifiedBy>
  <dcterms:modified xsi:type="dcterms:W3CDTF">2025-06-11T16:37:41Z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511C82131A0F48098133C45E87AE4D64_11</vt:lpwstr>
  </property>
</Properties>
</file>