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6D23A">
      <w:pPr>
        <w:spacing w:line="580" w:lineRule="exact"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2023年藏传佛教寺庙维修补助资金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项目</w:t>
      </w:r>
    </w:p>
    <w:p w14:paraId="2D6F4038">
      <w:pPr>
        <w:spacing w:line="580" w:lineRule="exact"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支出绩效评价报告</w:t>
      </w:r>
    </w:p>
    <w:p w14:paraId="25A92981"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</w:rPr>
      </w:pPr>
    </w:p>
    <w:p w14:paraId="12043DD5">
      <w:pPr>
        <w:spacing w:line="580" w:lineRule="exact"/>
        <w:ind w:firstLine="643" w:firstLineChars="200"/>
        <w:jc w:val="both"/>
        <w:rPr>
          <w:rFonts w:hint="default" w:ascii="仿宋_GB2312" w:hAnsi="黑体" w:eastAsia="仿宋_GB2312" w:cs="方正小标宋简体"/>
          <w:b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一、项目概况</w:t>
      </w:r>
    </w:p>
    <w:p w14:paraId="32682D1D">
      <w:pPr>
        <w:spacing w:line="580" w:lineRule="exact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 xml:space="preserve">   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项目资金申报及批复情况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0B5CDCF">
      <w:pPr>
        <w:spacing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本项目资金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由阿坝州委统战部下达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。资金总额为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万元，主要用于藏传佛教寺庙的维修和设施改善工作。</w:t>
      </w:r>
    </w:p>
    <w:p w14:paraId="1D546C3C">
      <w:pPr>
        <w:numPr>
          <w:ilvl w:val="0"/>
          <w:numId w:val="0"/>
        </w:numPr>
        <w:spacing w:line="580" w:lineRule="exact"/>
        <w:ind w:left="480" w:leftChars="0" w:firstLine="0" w:firstLineChars="0"/>
        <w:jc w:val="both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>（四）</w:t>
      </w:r>
      <w:r>
        <w:rPr>
          <w:rFonts w:hint="eastAsia" w:ascii="仿宋" w:hAnsi="仿宋" w:eastAsia="仿宋" w:cs="仿宋"/>
          <w:b/>
          <w:sz w:val="32"/>
          <w:szCs w:val="32"/>
        </w:rPr>
        <w:t>项目绩效目标。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3365"/>
        <w:gridCol w:w="675"/>
        <w:gridCol w:w="813"/>
        <w:gridCol w:w="1000"/>
        <w:gridCol w:w="650"/>
        <w:gridCol w:w="854"/>
      </w:tblGrid>
      <w:tr w14:paraId="3D955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2C4A49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F46439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ED93F5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申报预算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307C13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送审金额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31FDEC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建议控制数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D492B3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核减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CEAF2C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4A717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atLeast"/>
        </w:trPr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9176E6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C9DF9B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  <w:t>藏传佛教寺庙维修补助资金项目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1447A7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  <w:t>35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5996CD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  <w:t>35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7FC855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  <w:t>35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0D3FFA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5AA678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</w:pPr>
          </w:p>
        </w:tc>
      </w:tr>
      <w:tr w14:paraId="3EE5A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DFF6DB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  <w:t>合计（万元）</w:t>
            </w:r>
          </w:p>
        </w:tc>
        <w:tc>
          <w:tcPr>
            <w:tcW w:w="3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2ECAFD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5191E6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/>
              <w:jc w:val="center"/>
              <w:textAlignment w:val="auto"/>
              <w:rPr>
                <w:rFonts w:hint="default" w:ascii="仿宋_GB2312" w:eastAsia="仿宋_GB2312" w:cs="仿宋_GB2312"/>
                <w:kern w:val="2"/>
                <w:sz w:val="18"/>
                <w:szCs w:val="1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  <w:t>35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5AD76C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/>
              <w:jc w:val="center"/>
              <w:textAlignment w:val="auto"/>
              <w:rPr>
                <w:rFonts w:hint="default" w:ascii="仿宋_GB2312" w:eastAsia="仿宋_GB2312" w:cs="仿宋_GB2312"/>
                <w:kern w:val="2"/>
                <w:sz w:val="18"/>
                <w:szCs w:val="1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  <w:t>35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19C00B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/>
              <w:jc w:val="center"/>
              <w:textAlignment w:val="auto"/>
              <w:rPr>
                <w:rFonts w:hint="default" w:ascii="仿宋_GB2312" w:eastAsia="仿宋_GB2312" w:cs="仿宋_GB2312"/>
                <w:kern w:val="2"/>
                <w:sz w:val="18"/>
                <w:szCs w:val="1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  <w:t>35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73CB68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/>
              <w:jc w:val="center"/>
              <w:textAlignment w:val="auto"/>
              <w:rPr>
                <w:rFonts w:ascii="仿宋_GB2312" w:eastAsia="仿宋_GB2312" w:cs="仿宋_GB2312"/>
                <w:kern w:val="2"/>
                <w:sz w:val="18"/>
                <w:szCs w:val="1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5B30F4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</w:pPr>
          </w:p>
        </w:tc>
      </w:tr>
    </w:tbl>
    <w:p w14:paraId="160318F3">
      <w:pPr>
        <w:numPr>
          <w:ilvl w:val="0"/>
          <w:numId w:val="0"/>
        </w:numPr>
        <w:spacing w:line="580" w:lineRule="exact"/>
        <w:ind w:firstLine="643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项目资金申报相符性。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项目资金使用情况和申报内容相符。</w:t>
      </w:r>
    </w:p>
    <w:p w14:paraId="25168838">
      <w:pPr>
        <w:spacing w:line="580" w:lineRule="exact"/>
        <w:ind w:firstLine="643" w:firstLineChars="200"/>
        <w:jc w:val="both"/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二、项目实施及管理情况</w:t>
      </w:r>
    </w:p>
    <w:p w14:paraId="4D12D266">
      <w:pPr>
        <w:spacing w:line="580" w:lineRule="exact"/>
        <w:ind w:firstLine="643" w:firstLineChars="200"/>
        <w:jc w:val="both"/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（一） 资金计划、到位及使用情况。</w:t>
      </w:r>
    </w:p>
    <w:p w14:paraId="5A8E161D">
      <w:pPr>
        <w:numPr>
          <w:ilvl w:val="0"/>
          <w:numId w:val="0"/>
        </w:numPr>
        <w:spacing w:line="580" w:lineRule="exact"/>
        <w:ind w:left="480" w:leftChars="0" w:firstLine="643" w:firstLineChars="200"/>
        <w:jc w:val="both"/>
        <w:rPr>
          <w:rFonts w:hint="eastAsia" w:ascii="仿宋_GB2312" w:hAnsi="黑体" w:eastAsia="仿宋_GB2312" w:cs="方正小标宋简体"/>
          <w:b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1、资金计划及到位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  <w:r>
        <w:rPr>
          <w:rFonts w:hint="eastAsia" w:ascii="仿宋_GB2312" w:hAnsi="黑体" w:eastAsia="仿宋_GB2312" w:cs="方正小标宋简体"/>
          <w:b w:val="0"/>
          <w:bCs/>
          <w:color w:val="auto"/>
          <w:sz w:val="32"/>
          <w:szCs w:val="32"/>
          <w:lang w:eastAsia="zh-CN"/>
        </w:rPr>
        <w:t>项目资金总额为</w:t>
      </w:r>
      <w:r>
        <w:rPr>
          <w:rFonts w:hint="eastAsia" w:ascii="仿宋_GB2312" w:hAnsi="黑体" w:eastAsia="仿宋_GB2312" w:cs="方正小标宋简体"/>
          <w:b w:val="0"/>
          <w:bCs/>
          <w:color w:val="auto"/>
          <w:sz w:val="32"/>
          <w:szCs w:val="32"/>
          <w:lang w:val="en-US" w:eastAsia="zh-CN"/>
        </w:rPr>
        <w:t>35</w:t>
      </w:r>
      <w:r>
        <w:rPr>
          <w:rFonts w:hint="eastAsia" w:ascii="仿宋_GB2312" w:hAnsi="黑体" w:eastAsia="仿宋_GB2312" w:cs="方正小标宋简体"/>
          <w:b w:val="0"/>
          <w:bCs/>
          <w:color w:val="auto"/>
          <w:sz w:val="32"/>
          <w:szCs w:val="32"/>
          <w:lang w:eastAsia="zh-CN"/>
        </w:rPr>
        <w:t>万元，资金来源：</w:t>
      </w:r>
      <w:r>
        <w:rPr>
          <w:rFonts w:hint="eastAsia" w:ascii="仿宋_GB2312" w:hAnsi="黑体" w:eastAsia="仿宋_GB2312" w:cs="方正小标宋简体"/>
          <w:b w:val="0"/>
          <w:bCs/>
          <w:color w:val="auto"/>
          <w:sz w:val="32"/>
          <w:szCs w:val="32"/>
          <w:lang w:val="en-US" w:eastAsia="zh-CN"/>
        </w:rPr>
        <w:t>由阿坝州委统战部下达，由黑水县财政局下达</w:t>
      </w:r>
      <w:r>
        <w:rPr>
          <w:rFonts w:hint="eastAsia" w:ascii="仿宋_GB2312" w:hAnsi="黑体" w:eastAsia="仿宋_GB2312" w:cs="方正小标宋简体"/>
          <w:b w:val="0"/>
          <w:bCs/>
          <w:color w:val="auto"/>
          <w:sz w:val="32"/>
          <w:szCs w:val="32"/>
          <w:lang w:eastAsia="zh-CN"/>
        </w:rPr>
        <w:t>。</w:t>
      </w:r>
    </w:p>
    <w:p w14:paraId="024A307F">
      <w:pPr>
        <w:ind w:firstLine="964" w:firstLineChars="30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2.资金使用。</w:t>
      </w:r>
      <w:r>
        <w:rPr>
          <w:rFonts w:hint="eastAsia" w:ascii="仿宋_GB2312" w:hAnsi="黑体" w:eastAsia="仿宋_GB2312" w:cs="方正小标宋简体"/>
          <w:b w:val="0"/>
          <w:bCs/>
          <w:color w:val="auto"/>
          <w:sz w:val="32"/>
          <w:szCs w:val="32"/>
          <w:lang w:eastAsia="zh-CN"/>
        </w:rPr>
        <w:t>资金已根据项目实施进度和实际需求合理安排，及时到位并严格按照财务管理规定进行使用。资金使用过程中，确保了透明度和合规性，有效避免了资金浪费和挪用现象。</w:t>
      </w:r>
    </w:p>
    <w:p w14:paraId="7669ABD3">
      <w:pPr>
        <w:ind w:firstLine="964" w:firstLineChars="3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(三) 项目组织实施情况。</w:t>
      </w:r>
    </w:p>
    <w:p w14:paraId="5F473F77">
      <w:pPr>
        <w:ind w:firstLine="1285" w:firstLineChars="400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1.项目前期工作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黑体" w:eastAsia="仿宋_GB2312" w:cs="方正小标宋简体"/>
          <w:b w:val="0"/>
          <w:bCs/>
          <w:color w:val="auto"/>
          <w:sz w:val="32"/>
          <w:szCs w:val="32"/>
          <w:lang w:val="en-US" w:eastAsia="zh-CN"/>
        </w:rPr>
        <w:t>按照州委统战部要求积极向上申报维修资金。</w:t>
      </w:r>
    </w:p>
    <w:p w14:paraId="557B8041">
      <w:pPr>
        <w:ind w:firstLine="1285" w:firstLineChars="400"/>
        <w:rPr>
          <w:rFonts w:hint="default" w:ascii="仿宋_GB2312" w:hAnsi="仿宋_GB2312" w:eastAsia="仿宋_GB2312" w:cs="仿宋_GB2312"/>
          <w:b/>
          <w:bCs/>
          <w:sz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</w:rPr>
        <w:t>2.项目施工管理</w:t>
      </w:r>
      <w:r>
        <w:rPr>
          <w:rFonts w:hint="eastAsia" w:ascii="仿宋_GB2312" w:hAnsi="仿宋_GB2312" w:eastAsia="仿宋_GB2312" w:cs="仿宋_GB2312"/>
          <w:b/>
          <w:bCs/>
          <w:sz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项目分别由洛若寺、德青郎寺、托撒公配寺民管会、寺管所实施管理并落实到位。</w:t>
      </w:r>
    </w:p>
    <w:p w14:paraId="79ADBCDB">
      <w:pPr>
        <w:ind w:firstLine="723" w:firstLineChars="200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三、项目绩效情况</w:t>
      </w:r>
    </w:p>
    <w:p w14:paraId="3988149D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 项目完成情况。</w:t>
      </w:r>
    </w:p>
    <w:p w14:paraId="3C5540E0">
      <w:pPr>
        <w:ind w:firstLine="960" w:firstLineChars="300"/>
        <w:rPr>
          <w:rFonts w:hint="default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</w:rPr>
        <w:t>1、完成数量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完成洛若寺、德青郎寺、托撒公配寺3座寺庙维修工作。</w:t>
      </w:r>
    </w:p>
    <w:p w14:paraId="38D811A0">
      <w:pPr>
        <w:ind w:firstLine="960" w:firstLineChars="3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2、项目效益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_GB2312" w:hAnsi="黑体" w:eastAsia="仿宋_GB2312" w:cs="方正小标宋简体"/>
          <w:b w:val="0"/>
          <w:bCs/>
          <w:color w:val="auto"/>
          <w:sz w:val="32"/>
          <w:szCs w:val="32"/>
          <w:lang w:eastAsia="zh-CN"/>
        </w:rPr>
        <w:t>项目实施过程中，各参与单位密切配合，确保了项目实施的高效性和质量。通过本次维修和设施改善工作，寺庙的硬件条件得到了显著提升，为僧众和信众提供了更加安全、舒适的宗教活动环境。同时，项目的顺利实施也增强了当地社区的凝聚力和文化认同感。</w:t>
      </w:r>
    </w:p>
    <w:p w14:paraId="6AA0A357">
      <w:pPr>
        <w:ind w:firstLine="723" w:firstLineChars="200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四、问题及建议</w:t>
      </w:r>
    </w:p>
    <w:p w14:paraId="575B5A76">
      <w:pPr>
        <w:spacing w:line="580" w:lineRule="exact"/>
        <w:ind w:firstLine="643" w:firstLineChars="200"/>
        <w:rPr>
          <w:rFonts w:hint="eastAsia" w:ascii="仿宋_GB2312" w:hAnsi="黑体" w:eastAsia="仿宋_GB2312" w:cs="方正小标宋简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（一）存在的问题。</w:t>
      </w:r>
      <w:r>
        <w:rPr>
          <w:rFonts w:hint="eastAsia" w:ascii="仿宋_GB2312" w:hAnsi="黑体" w:eastAsia="仿宋_GB2312" w:cs="方正小标宋简体"/>
          <w:b w:val="0"/>
          <w:bCs/>
          <w:color w:val="auto"/>
          <w:sz w:val="32"/>
          <w:szCs w:val="32"/>
          <w:lang w:eastAsia="zh-CN"/>
        </w:rPr>
        <w:t>虽然项目实施过程中未出现明显问题，但为了确保项目成果的长期有效利用，建议在项目后期加强设施的维护管理。具体措施包括建立定期检查和维修制度，培训专门的维护人员，以及制定应急预案，确保在遇到突发情况时能够迅速响应并采取有效措施。</w:t>
      </w:r>
    </w:p>
    <w:p w14:paraId="074E6FB6">
      <w:pPr>
        <w:adjustRightInd w:val="0"/>
        <w:snapToGrid w:val="0"/>
        <w:spacing w:line="560" w:lineRule="exact"/>
        <w:ind w:firstLine="720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(二)相关建议。</w:t>
      </w:r>
      <w:r>
        <w:rPr>
          <w:rFonts w:hint="eastAsia" w:ascii="仿宋_GB2312" w:hAnsi="黑体" w:eastAsia="仿宋_GB2312" w:cs="方正小标宋简体"/>
          <w:b w:val="0"/>
          <w:bCs/>
          <w:color w:val="auto"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191650C-31B2-4218-8290-1C1C08A865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68E6800-0495-45F6-81C3-E9536DE8AD8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1383585-E761-4A54-BFC5-A69A355079D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7109997-408D-4CDB-8C84-3F8E5CECD776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8379C8D-1268-4360-83D0-5AFA140FDE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cyYjMyMmRmNTg5ZGVhMDg2OWExY2I5MmJlZDhkZTUifQ=="/>
  </w:docVars>
  <w:rsids>
    <w:rsidRoot w:val="004C22EC"/>
    <w:rsid w:val="004C22EC"/>
    <w:rsid w:val="007B38C6"/>
    <w:rsid w:val="100566B3"/>
    <w:rsid w:val="1B4A3EC4"/>
    <w:rsid w:val="1E8F2094"/>
    <w:rsid w:val="244E01D1"/>
    <w:rsid w:val="33DA011B"/>
    <w:rsid w:val="358B1B11"/>
    <w:rsid w:val="423607D0"/>
    <w:rsid w:val="4A0B0DD8"/>
    <w:rsid w:val="55704B34"/>
    <w:rsid w:val="57B166CC"/>
    <w:rsid w:val="5DBC40E7"/>
    <w:rsid w:val="77991202"/>
    <w:rsid w:val="780A07FD"/>
    <w:rsid w:val="79FD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800" w:leftChars="800"/>
      <w:jc w:val="left"/>
    </w:p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1392</Words>
  <Characters>1412</Characters>
  <Lines>2</Lines>
  <Paragraphs>1</Paragraphs>
  <TotalTime>9</TotalTime>
  <ScaleCrop>false</ScaleCrop>
  <LinksUpToDate>false</LinksUpToDate>
  <CharactersWithSpaces>1427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As丶</cp:lastModifiedBy>
  <dcterms:modified xsi:type="dcterms:W3CDTF">2024-10-30T02:39:13Z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3AD2493398D6463FB3053F219E8E4A3C_12</vt:lpwstr>
  </property>
</Properties>
</file>