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rPr>
          <w:color w:val="000000" w:themeColor="text1"/>
        </w:rPr>
      </w:pPr>
      <w:r>
        <w:rPr>
          <w:rFonts w:hint="eastAsia"/>
          <w:color w:val="000000" w:themeColor="text1"/>
        </w:rPr>
        <w:t>黑水县委统战部202</w:t>
      </w:r>
      <w:r>
        <w:rPr>
          <w:rFonts w:hint="eastAsia"/>
          <w:color w:val="000000" w:themeColor="text1"/>
          <w:lang w:val="en-US" w:eastAsia="zh-CN"/>
        </w:rPr>
        <w:t>3</w:t>
      </w:r>
      <w:r>
        <w:rPr>
          <w:rFonts w:hint="eastAsia"/>
          <w:color w:val="000000" w:themeColor="text1"/>
        </w:rPr>
        <w:t>年部门</w:t>
      </w:r>
    </w:p>
    <w:p>
      <w:pPr>
        <w:pStyle w:val="2"/>
        <w:spacing w:line="560" w:lineRule="exact"/>
        <w:jc w:val="center"/>
        <w:rPr>
          <w:rFonts w:ascii="仿宋" w:hAnsi="仿宋" w:eastAsia="仿宋" w:cs="仿宋"/>
          <w:color w:val="000000" w:themeColor="text1"/>
          <w:sz w:val="32"/>
          <w:szCs w:val="32"/>
        </w:rPr>
      </w:pPr>
      <w:r>
        <w:rPr>
          <w:rFonts w:hint="eastAsia"/>
          <w:color w:val="000000" w:themeColor="text1"/>
        </w:rPr>
        <w:t>整体支出绩效评价报告</w:t>
      </w:r>
    </w:p>
    <w:p>
      <w:pPr>
        <w:ind w:firstLine="960" w:firstLineChars="3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一、部门（单位）概况</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（一）机构组成。统战部属一级预算单位，其中内设机构 6个分别是办公室、民族宗教股、非公有制经济股、党外股、侨务和港澳台统战工作股、对国外藏胞工作股。</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（二）机构职能。根据黑委办发〔2019〕17号文件规定，主要职责是：</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州委和县委关于统一战线工作重大决策部署，巩固壮大最广泛的统一战线。</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2.研究拟订统一战线工作的政策，并推动落实，深入调查研究，及时向县委报告统一战线工作情况并提出建议，统筹协调和指导各乡（镇）、各部门（单位）统一战线工作。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发现、培养党外代表人士，制定党外干部培养规划，负责党外代表人士的政治安排，会同有关部门做好安排党外人士担任政府和司法机关等领导职务的工作，推动高等学校、人民团体、科研院所、国有企业党外干部安排工作。协助县工商联做好干部管理工作。反映和协调解决党外代表人士工作生活中的实际困难。</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贯彻落实党的宣传工作方针，统筹推进全县统一战线宣传和意识形态工作，组织贯彻落实党中央、省委、州委和县委统一战线宣传工作政策和规划，统筹推进网络统战工作，打造网络统战工作平台，研判涉及统一战线的舆情并协调有关部门应对处置。</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5.贯彻落实党的民族工作方针，研究拟订民族工作的政策和措施，协调处理民族工作中的重大问题，根据分工，统筹协调做好少数民族干部工作，领导县民族宗教部</w:t>
      </w:r>
      <w:r>
        <w:rPr>
          <w:rFonts w:hint="eastAsia" w:ascii="仿宋" w:hAnsi="仿宋" w:eastAsia="仿宋" w:cs="仿宋"/>
          <w:color w:val="000000" w:themeColor="text1"/>
          <w:sz w:val="32"/>
          <w:szCs w:val="32"/>
          <w:lang w:eastAsia="zh-CN"/>
        </w:rPr>
        <w:t>门</w:t>
      </w:r>
      <w:r>
        <w:rPr>
          <w:rFonts w:hint="eastAsia" w:ascii="仿宋" w:hAnsi="仿宋" w:eastAsia="仿宋" w:cs="仿宋"/>
          <w:color w:val="000000" w:themeColor="text1"/>
          <w:sz w:val="32"/>
          <w:szCs w:val="32"/>
        </w:rPr>
        <w:t>依法管理民族事务，全面促进民族事业发展。</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6.贯彻落实党的宗教工作基本方针和政策，研究拟订宗教工作的政策措施并督促落实，领导县民族宗教部依法管理宗教行政事务，保护公民宗教信仰自由和正常的宗教活动，维护宗教界合法权益，抵御境外利用宗教进行渗透，引导各宗教坚持中国化方向，巩固和发展同宗教界的爱国统一战线。</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7.负责联系、培养无党派代表人士，支持、帮助无党派人士加强自身建设、发挥作用。调查研究全县党外知识分子情况并提出政策建议，联系、培养党外知识分子代表人士，开展思想政治工作。指导高等学校、科研院所，国有企业等有关单位开展统战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8.负责联系、培养新的社会阶层人士，支持、帮助新的社会阶层人士加强自身建设、发挥作用。调查研究全县新的社会阶层人士情况并提出政策建议，开展思想政治工作，指导社会组织开展新的社会阶层人士统战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9.承担全县非公有制经济协调工作，负责全县</w:t>
      </w:r>
      <w:r>
        <w:rPr>
          <w:rFonts w:hint="eastAsia" w:ascii="仿宋" w:hAnsi="仿宋" w:eastAsia="仿宋" w:cs="仿宋"/>
          <w:color w:val="000000" w:themeColor="text1"/>
          <w:sz w:val="32"/>
          <w:szCs w:val="32"/>
          <w:lang w:eastAsia="zh-CN"/>
        </w:rPr>
        <w:t>非公有制经济人士</w:t>
      </w:r>
      <w:r>
        <w:rPr>
          <w:rFonts w:hint="eastAsia" w:ascii="仿宋" w:hAnsi="仿宋" w:eastAsia="仿宋" w:cs="仿宋"/>
          <w:color w:val="000000" w:themeColor="text1"/>
          <w:sz w:val="32"/>
          <w:szCs w:val="32"/>
        </w:rPr>
        <w:t>工作，参与制定、推动落实鼓励支持引导非公有制经济发展的政策，调查研究全县非公有制经济人士情况并提出政策建议，了解和反映非公有制经济人士的意见，团结、服务、引导、教育非公有制经济人士，促进非公有制经济健康发展和非公有制经济人士健康成长。</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10.贯彻落实中央、省委、州委和县委关于对境外藏胞工作的方针、政策，结合我县实际提出实施意见并组织实施。调查了解和国外藏胞的动态信息，负责接待和管理来县探访的国外藏胞，负责安置回国定居藏胞并配合有关部门加强对他们的教育和管理工作，负责对国外藏胞重点人</w:t>
      </w:r>
      <w:r>
        <w:rPr>
          <w:rFonts w:hint="default" w:ascii="仿宋" w:hAnsi="仿宋" w:eastAsia="仿宋" w:cs="仿宋"/>
          <w:color w:val="000000" w:themeColor="text1"/>
          <w:sz w:val="32"/>
          <w:szCs w:val="32"/>
        </w:rPr>
        <w:t>群</w:t>
      </w:r>
      <w:r>
        <w:rPr>
          <w:rFonts w:hint="eastAsia" w:ascii="仿宋" w:hAnsi="仿宋" w:eastAsia="仿宋" w:cs="仿宋"/>
          <w:color w:val="000000" w:themeColor="text1"/>
          <w:sz w:val="32"/>
          <w:szCs w:val="32"/>
        </w:rPr>
        <w:t>的联络争取工作，负责对国外藏胞及其家属的宣传教育工作，组织动员国外藏胞为我县经济、教育、文化和卫生事业发展服务。会同有关部门处理我县涉及国外藏胞的重大事件。承担县对国外藏胞工作领导小组办公室日常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11.统一领导港澳台统战工作，牵头开展港澳统战工作，开展对台统战工作。贯彻落实中央海外统战工作政策和规划并组织协调、督促检查落实，会同有关部门对香港、澳门地区统一战线工作进行调查研究并提出政策建议，联系香港、澳门、台湾有关党派、团体及代表人士。做好统一战线外事管理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12.统一管理侨务工作，贯彻落实党的侨务工作方针政策，拟订全县侨务工作规划并组织协调、督促检查落实，调查研究侨情和侨务工作情况，管理侨务行政事务，统筹协调有关部门和社会团体涉侨工作，联系海外有关侨团和代表人士，负责海外侨胞代表人士在相关统战团体的安排，指导推动涉侨宣传、文化交流、华文教育工作等，保护华侨和归侨侨眷在县内的合法权利和利益。</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13.协助管理乡（镇）寺庙管理所主要负责人。受县委委托，领导县工商联党组，指导工商联工作。领导县民族宗教部</w:t>
      </w:r>
      <w:r>
        <w:rPr>
          <w:rFonts w:hint="eastAsia" w:ascii="仿宋" w:hAnsi="仿宋" w:eastAsia="仿宋" w:cs="仿宋"/>
          <w:color w:val="000000" w:themeColor="text1"/>
          <w:sz w:val="32"/>
          <w:szCs w:val="32"/>
          <w:lang w:eastAsia="zh-CN"/>
        </w:rPr>
        <w:t>门</w:t>
      </w:r>
      <w:bookmarkStart w:id="0" w:name="_GoBack"/>
      <w:bookmarkEnd w:id="0"/>
      <w:r>
        <w:rPr>
          <w:rFonts w:hint="eastAsia" w:ascii="仿宋" w:hAnsi="仿宋" w:eastAsia="仿宋" w:cs="仿宋"/>
          <w:color w:val="000000" w:themeColor="text1"/>
          <w:sz w:val="32"/>
          <w:szCs w:val="32"/>
        </w:rPr>
        <w:t>工作，管理县侨务、台湾事务工作。做好统一战线有关单位和团体及事业单位的管理工作。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14.代管群团组织县佛教协会。</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（三）人员概况。总编制 20 名,其中:行政编制 16 名,其他事业编制 4 名。在职人员总数19名，其中：行政人员 16名，其他事业人员 3 名。</w:t>
      </w:r>
    </w:p>
    <w:p>
      <w:pPr>
        <w:ind w:firstLine="960" w:firstLineChars="3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二、部门财政资金收支情况</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（一）部门财政资金收入情况。</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202</w:t>
      </w:r>
      <w:r>
        <w:rPr>
          <w:rFonts w:hint="eastAsia" w:ascii="仿宋" w:hAnsi="仿宋" w:eastAsia="仿宋" w:cs="仿宋"/>
          <w:color w:val="000000" w:themeColor="text1"/>
          <w:sz w:val="32"/>
          <w:szCs w:val="32"/>
          <w:lang w:val="en-US" w:eastAsia="zh-CN"/>
        </w:rPr>
        <w:t>3</w:t>
      </w:r>
      <w:r>
        <w:rPr>
          <w:rFonts w:hint="eastAsia" w:ascii="仿宋" w:hAnsi="仿宋" w:eastAsia="仿宋" w:cs="仿宋"/>
          <w:color w:val="000000" w:themeColor="text1"/>
          <w:sz w:val="32"/>
          <w:szCs w:val="32"/>
        </w:rPr>
        <w:t>年本年收入合计</w:t>
      </w:r>
      <w:r>
        <w:rPr>
          <w:rFonts w:hint="eastAsia" w:ascii="仿宋" w:hAnsi="仿宋" w:eastAsia="仿宋" w:cs="仿宋"/>
          <w:color w:val="000000" w:themeColor="text1"/>
          <w:sz w:val="32"/>
          <w:szCs w:val="32"/>
          <w:lang w:val="en-US" w:eastAsia="zh-CN"/>
        </w:rPr>
        <w:t>562.76</w:t>
      </w:r>
      <w:r>
        <w:rPr>
          <w:rFonts w:hint="eastAsia" w:ascii="仿宋" w:hAnsi="仿宋" w:eastAsia="仿宋" w:cs="仿宋"/>
          <w:color w:val="000000" w:themeColor="text1"/>
          <w:sz w:val="32"/>
          <w:szCs w:val="32"/>
        </w:rPr>
        <w:t>万元，其中：一般公共预算财政拨款收入</w:t>
      </w:r>
      <w:r>
        <w:rPr>
          <w:rFonts w:hint="eastAsia" w:ascii="仿宋" w:hAnsi="仿宋" w:eastAsia="仿宋" w:cs="仿宋"/>
          <w:color w:val="000000" w:themeColor="text1"/>
          <w:sz w:val="32"/>
          <w:szCs w:val="32"/>
          <w:lang w:val="en-US" w:eastAsia="zh-CN"/>
        </w:rPr>
        <w:t>562.76</w:t>
      </w:r>
      <w:r>
        <w:rPr>
          <w:rFonts w:hint="eastAsia" w:ascii="仿宋" w:hAnsi="仿宋" w:eastAsia="仿宋" w:cs="仿宋"/>
          <w:color w:val="000000" w:themeColor="text1"/>
          <w:sz w:val="32"/>
          <w:szCs w:val="32"/>
        </w:rPr>
        <w:t>万元，占100%；政府性基金预算财政拨款收入0万元，占0%；国有资本经营预算财政拨款收入0万元，占0%；事业收入0万元，占0%；经营收入0万元，占0%；附属单位上缴收入0万元，占0%；其他收入0万元，占0%。</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（二）部门财政资金支出情况。</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2022年一般公共预算财政拨款支出</w:t>
      </w:r>
      <w:r>
        <w:rPr>
          <w:rFonts w:hint="eastAsia" w:ascii="仿宋" w:hAnsi="仿宋" w:eastAsia="仿宋" w:cs="仿宋"/>
          <w:color w:val="000000" w:themeColor="text1"/>
          <w:sz w:val="32"/>
          <w:szCs w:val="32"/>
          <w:lang w:val="en-US" w:eastAsia="zh-CN"/>
        </w:rPr>
        <w:t>562.76</w:t>
      </w:r>
      <w:r>
        <w:rPr>
          <w:rFonts w:hint="eastAsia" w:ascii="仿宋" w:hAnsi="仿宋" w:eastAsia="仿宋" w:cs="仿宋"/>
          <w:color w:val="000000" w:themeColor="text1"/>
          <w:sz w:val="32"/>
          <w:szCs w:val="32"/>
        </w:rPr>
        <w:t>万元，主要用于以下方面:一般公共服务（类）支出</w:t>
      </w:r>
      <w:r>
        <w:rPr>
          <w:rFonts w:hint="eastAsia" w:ascii="仿宋" w:hAnsi="仿宋" w:eastAsia="仿宋" w:cs="仿宋"/>
          <w:color w:val="000000" w:themeColor="text1"/>
          <w:sz w:val="32"/>
          <w:szCs w:val="32"/>
          <w:lang w:val="en-US" w:eastAsia="zh-CN"/>
        </w:rPr>
        <w:t>442.75</w:t>
      </w:r>
      <w:r>
        <w:rPr>
          <w:rFonts w:hint="eastAsia" w:ascii="仿宋" w:hAnsi="仿宋" w:eastAsia="仿宋" w:cs="仿宋"/>
          <w:color w:val="000000" w:themeColor="text1"/>
          <w:sz w:val="32"/>
          <w:szCs w:val="32"/>
        </w:rPr>
        <w:t>万元，占</w:t>
      </w:r>
      <w:r>
        <w:rPr>
          <w:rFonts w:hint="eastAsia" w:ascii="仿宋" w:hAnsi="仿宋" w:eastAsia="仿宋" w:cs="仿宋"/>
          <w:color w:val="000000" w:themeColor="text1"/>
          <w:sz w:val="32"/>
          <w:szCs w:val="32"/>
          <w:lang w:val="en-US" w:eastAsia="zh-CN"/>
        </w:rPr>
        <w:t>78.68</w:t>
      </w:r>
      <w:r>
        <w:rPr>
          <w:rFonts w:hint="eastAsia" w:ascii="仿宋" w:hAnsi="仿宋" w:eastAsia="仿宋" w:cs="仿宋"/>
          <w:color w:val="000000" w:themeColor="text1"/>
          <w:sz w:val="32"/>
          <w:szCs w:val="32"/>
        </w:rPr>
        <w:t>%；社会保障和就业（类）支出</w:t>
      </w:r>
      <w:r>
        <w:rPr>
          <w:rFonts w:hint="eastAsia" w:ascii="仿宋" w:hAnsi="仿宋" w:eastAsia="仿宋" w:cs="仿宋"/>
          <w:color w:val="000000" w:themeColor="text1"/>
          <w:sz w:val="32"/>
          <w:szCs w:val="32"/>
          <w:lang w:val="en-US" w:eastAsia="zh-CN"/>
        </w:rPr>
        <w:t>63.25</w:t>
      </w:r>
      <w:r>
        <w:rPr>
          <w:rFonts w:hint="eastAsia" w:ascii="仿宋" w:hAnsi="仿宋" w:eastAsia="仿宋" w:cs="仿宋"/>
          <w:color w:val="000000" w:themeColor="text1"/>
          <w:sz w:val="32"/>
          <w:szCs w:val="32"/>
        </w:rPr>
        <w:t>万元，占</w:t>
      </w:r>
      <w:r>
        <w:rPr>
          <w:rFonts w:hint="eastAsia" w:ascii="仿宋" w:hAnsi="仿宋" w:eastAsia="仿宋" w:cs="仿宋"/>
          <w:color w:val="000000" w:themeColor="text1"/>
          <w:sz w:val="32"/>
          <w:szCs w:val="32"/>
          <w:lang w:val="en-US" w:eastAsia="zh-CN"/>
        </w:rPr>
        <w:t>11.24</w:t>
      </w:r>
      <w:r>
        <w:rPr>
          <w:rFonts w:hint="eastAsia" w:ascii="仿宋" w:hAnsi="仿宋" w:eastAsia="仿宋" w:cs="仿宋"/>
          <w:color w:val="000000" w:themeColor="text1"/>
          <w:sz w:val="32"/>
          <w:szCs w:val="32"/>
        </w:rPr>
        <w:t>%；医疗卫生支出</w:t>
      </w:r>
      <w:r>
        <w:rPr>
          <w:rFonts w:hint="eastAsia" w:ascii="仿宋" w:hAnsi="仿宋" w:eastAsia="仿宋" w:cs="仿宋"/>
          <w:color w:val="000000" w:themeColor="text1"/>
          <w:sz w:val="32"/>
          <w:szCs w:val="32"/>
          <w:lang w:val="en-US" w:eastAsia="zh-CN"/>
        </w:rPr>
        <w:t>24.23</w:t>
      </w:r>
      <w:r>
        <w:rPr>
          <w:rFonts w:hint="eastAsia" w:ascii="仿宋" w:hAnsi="仿宋" w:eastAsia="仿宋" w:cs="仿宋"/>
          <w:color w:val="000000" w:themeColor="text1"/>
          <w:sz w:val="32"/>
          <w:szCs w:val="32"/>
        </w:rPr>
        <w:t>万元，占</w:t>
      </w:r>
      <w:r>
        <w:rPr>
          <w:rFonts w:hint="eastAsia" w:ascii="仿宋" w:hAnsi="仿宋" w:eastAsia="仿宋" w:cs="仿宋"/>
          <w:color w:val="000000" w:themeColor="text1"/>
          <w:sz w:val="32"/>
          <w:szCs w:val="32"/>
          <w:lang w:val="en-US" w:eastAsia="zh-CN"/>
        </w:rPr>
        <w:t>4.3</w:t>
      </w:r>
      <w:r>
        <w:rPr>
          <w:rFonts w:hint="eastAsia" w:ascii="仿宋" w:hAnsi="仿宋" w:eastAsia="仿宋" w:cs="仿宋"/>
          <w:color w:val="000000" w:themeColor="text1"/>
          <w:sz w:val="32"/>
          <w:szCs w:val="32"/>
        </w:rPr>
        <w:t>%；住房保障支出</w:t>
      </w:r>
      <w:r>
        <w:rPr>
          <w:rFonts w:hint="eastAsia" w:ascii="仿宋" w:hAnsi="仿宋" w:eastAsia="仿宋" w:cs="仿宋"/>
          <w:color w:val="000000" w:themeColor="text1"/>
          <w:sz w:val="32"/>
          <w:szCs w:val="32"/>
          <w:lang w:val="en-US" w:eastAsia="zh-CN"/>
        </w:rPr>
        <w:t>32.53</w:t>
      </w:r>
      <w:r>
        <w:rPr>
          <w:rFonts w:hint="eastAsia" w:ascii="仿宋" w:hAnsi="仿宋" w:eastAsia="仿宋" w:cs="仿宋"/>
          <w:color w:val="000000" w:themeColor="text1"/>
          <w:sz w:val="32"/>
          <w:szCs w:val="32"/>
        </w:rPr>
        <w:t>万元，占</w:t>
      </w:r>
      <w:r>
        <w:rPr>
          <w:rFonts w:hint="eastAsia" w:ascii="仿宋" w:hAnsi="仿宋" w:eastAsia="仿宋" w:cs="仿宋"/>
          <w:color w:val="000000" w:themeColor="text1"/>
          <w:sz w:val="32"/>
          <w:szCs w:val="32"/>
          <w:lang w:val="en-US" w:eastAsia="zh-CN"/>
        </w:rPr>
        <w:t>5.78</w:t>
      </w:r>
      <w:r>
        <w:rPr>
          <w:rFonts w:hint="eastAsia" w:ascii="仿宋" w:hAnsi="仿宋" w:eastAsia="仿宋" w:cs="仿宋"/>
          <w:color w:val="000000" w:themeColor="text1"/>
          <w:sz w:val="32"/>
          <w:szCs w:val="32"/>
        </w:rPr>
        <w:t>%。</w:t>
      </w:r>
    </w:p>
    <w:p>
      <w:pPr>
        <w:ind w:firstLine="960" w:firstLineChars="3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三、部门整体预算绩效管理情况</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（一）部门预算管理。</w:t>
      </w:r>
    </w:p>
    <w:p>
      <w:pPr>
        <w:ind w:firstLine="640" w:firstLineChars="200"/>
        <w:rPr>
          <w:rFonts w:ascii="仿宋" w:hAnsi="仿宋" w:eastAsia="仿宋" w:cs="仿宋"/>
          <w:color w:val="000000" w:themeColor="text1"/>
          <w:kern w:val="0"/>
          <w:sz w:val="32"/>
          <w:szCs w:val="32"/>
          <w:shd w:val="clear" w:color="auto" w:fill="FFFFFF"/>
        </w:rPr>
      </w:pPr>
      <w:r>
        <w:rPr>
          <w:rFonts w:hint="eastAsia" w:ascii="仿宋" w:hAnsi="仿宋" w:eastAsia="仿宋" w:cs="仿宋"/>
          <w:color w:val="000000" w:themeColor="text1"/>
          <w:kern w:val="0"/>
          <w:sz w:val="32"/>
          <w:szCs w:val="32"/>
          <w:shd w:val="clear" w:color="auto" w:fill="FFFFFF"/>
          <w:lang w:val="zh-CN"/>
        </w:rPr>
        <w:t>根据预算工作要求，及时按照单位实际，预算编制要求完成了</w:t>
      </w:r>
      <w:r>
        <w:rPr>
          <w:rFonts w:hint="eastAsia" w:ascii="仿宋" w:hAnsi="仿宋" w:eastAsia="仿宋" w:cs="仿宋"/>
          <w:color w:val="000000" w:themeColor="text1"/>
          <w:kern w:val="0"/>
          <w:sz w:val="32"/>
          <w:szCs w:val="32"/>
          <w:shd w:val="clear" w:color="auto" w:fill="FFFFFF"/>
        </w:rPr>
        <w:t>2022年度预算编制工作。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（二）专项预算管理。</w:t>
      </w:r>
    </w:p>
    <w:p>
      <w:pP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我部严格按要求，切实加强部门预算支出执行管理工作，努力提高财政资金使用绩效。</w:t>
      </w:r>
      <w:r>
        <w:rPr>
          <w:rFonts w:hint="eastAsia" w:ascii="仿宋" w:hAnsi="仿宋" w:eastAsia="仿宋" w:cs="仿宋"/>
          <w:color w:val="000000" w:themeColor="text1"/>
          <w:sz w:val="32"/>
          <w:szCs w:val="32"/>
          <w:lang w:val="zh-CN"/>
        </w:rPr>
        <w:t>“三公”经费</w:t>
      </w:r>
      <w:r>
        <w:rPr>
          <w:rFonts w:hint="eastAsia" w:ascii="仿宋" w:hAnsi="仿宋" w:eastAsia="仿宋" w:cs="仿宋"/>
          <w:color w:val="000000" w:themeColor="text1"/>
          <w:sz w:val="32"/>
          <w:szCs w:val="32"/>
        </w:rPr>
        <w:t>使用严格按照预算进行使用，认真贯彻落实中央和省委省政府相关规定，厉行节约，严格控制三公经费。</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（三）结果应用情况。</w:t>
      </w:r>
    </w:p>
    <w:p>
      <w:pPr>
        <w:ind w:firstLine="480" w:firstLineChars="15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财政资金均实行财政统一管理，专项资金实行专项管理、专款专用，单独核算。在项目实施过程中，严格按专项资金管理办法和各项财务管理制度执行。资金拨入和支出会计核算及时、合规合法，审批流程齐全、附件资料完整，我部根据实际情况制定了适用于我部的内控制度，日常的支出严格按照内控制度执行。</w:t>
      </w:r>
    </w:p>
    <w:p>
      <w:pPr>
        <w:ind w:firstLine="960" w:firstLineChars="3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四、评价结论及建议</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（一）评价结论。在今后的工作中我部将严格按照财务制度，改进工作方法，创新思维，确保各项功能工作顺利开展。</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（二）存在问题。</w:t>
      </w:r>
      <w:r>
        <w:rPr>
          <w:rFonts w:hint="eastAsia" w:ascii="仿宋" w:hAnsi="仿宋" w:eastAsia="仿宋" w:cs="仿宋"/>
          <w:color w:val="000000" w:themeColor="text1"/>
          <w:sz w:val="32"/>
          <w:szCs w:val="32"/>
          <w:lang w:val="zh-CN"/>
        </w:rPr>
        <w:t>单位工作任务重，人员少，一人多岗。对财务及业务知识学习不够。</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（三）改进建议。建议财政部门加大培训力度，定期开展、分批培训，推动内控体系建设进一步完善，促进各部门各项事业的健康、可持续发展。</w:t>
      </w:r>
    </w:p>
    <w:p>
      <w:pPr>
        <w:rPr>
          <w:rFonts w:ascii="仿宋" w:hAnsi="仿宋" w:eastAsia="仿宋" w:cs="仿宋"/>
          <w:color w:val="000000" w:themeColor="text1"/>
          <w:sz w:val="32"/>
          <w:szCs w:val="32"/>
        </w:rPr>
      </w:pPr>
    </w:p>
    <w:p>
      <w:pPr>
        <w:jc w:val="righ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中共黑水县委统战部</w:t>
      </w:r>
    </w:p>
    <w:p>
      <w:pPr>
        <w:jc w:val="righ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20</w:t>
      </w:r>
      <w:r>
        <w:rPr>
          <w:rFonts w:hint="eastAsia" w:ascii="仿宋" w:hAnsi="仿宋" w:eastAsia="仿宋" w:cs="仿宋"/>
          <w:color w:val="000000" w:themeColor="text1"/>
          <w:sz w:val="32"/>
          <w:szCs w:val="32"/>
          <w:lang w:val="en-US" w:eastAsia="zh-CN"/>
        </w:rPr>
        <w:t>24</w:t>
      </w:r>
      <w:r>
        <w:rPr>
          <w:rFonts w:hint="eastAsia" w:ascii="仿宋" w:hAnsi="仿宋" w:eastAsia="仿宋" w:cs="仿宋"/>
          <w:color w:val="000000" w:themeColor="text1"/>
          <w:sz w:val="32"/>
          <w:szCs w:val="32"/>
        </w:rPr>
        <w:t>年</w:t>
      </w:r>
      <w:r>
        <w:rPr>
          <w:rFonts w:hint="eastAsia" w:ascii="仿宋" w:hAnsi="仿宋" w:eastAsia="仿宋" w:cs="仿宋"/>
          <w:color w:val="000000" w:themeColor="text1"/>
          <w:sz w:val="32"/>
          <w:szCs w:val="32"/>
          <w:lang w:val="en-US" w:eastAsia="zh-CN"/>
        </w:rPr>
        <w:t>9</w:t>
      </w:r>
      <w:r>
        <w:rPr>
          <w:rFonts w:hint="eastAsia" w:ascii="仿宋" w:hAnsi="仿宋" w:eastAsia="仿宋" w:cs="仿宋"/>
          <w:color w:val="000000" w:themeColor="text1"/>
          <w:sz w:val="32"/>
          <w:szCs w:val="32"/>
        </w:rPr>
        <w:t>月</w:t>
      </w:r>
      <w:r>
        <w:rPr>
          <w:rFonts w:hint="eastAsia" w:ascii="仿宋" w:hAnsi="仿宋" w:eastAsia="仿宋" w:cs="仿宋"/>
          <w:color w:val="000000" w:themeColor="text1"/>
          <w:sz w:val="32"/>
          <w:szCs w:val="32"/>
          <w:lang w:val="en-US" w:eastAsia="zh-CN"/>
        </w:rPr>
        <w:t>25</w:t>
      </w:r>
      <w:r>
        <w:rPr>
          <w:rFonts w:hint="eastAsia" w:ascii="仿宋" w:hAnsi="仿宋" w:eastAsia="仿宋" w:cs="仿宋"/>
          <w:color w:val="000000" w:themeColor="text1"/>
          <w:sz w:val="32"/>
          <w:szCs w:val="32"/>
        </w:rPr>
        <w:t>日</w:t>
      </w:r>
    </w:p>
    <w:p>
      <w:pPr>
        <w:widowControl/>
        <w:jc w:val="left"/>
        <w:rPr>
          <w:rFonts w:ascii="仿宋_GB2312" w:hAnsi="仿宋_GB2312" w:eastAsia="仿宋_GB2312" w:cs="仿宋_GB2312"/>
          <w:color w:val="000000" w:themeColor="text1"/>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A4NzIyN2MxYTlmMzQ1NGE2MjU5NWRkMjhlOGMxYTAifQ=="/>
  </w:docVars>
  <w:rsids>
    <w:rsidRoot w:val="00491B22"/>
    <w:rsid w:val="00291808"/>
    <w:rsid w:val="00491B22"/>
    <w:rsid w:val="0052390C"/>
    <w:rsid w:val="022F6E95"/>
    <w:rsid w:val="34EB1F43"/>
    <w:rsid w:val="36435EC2"/>
    <w:rsid w:val="383F0545"/>
    <w:rsid w:val="4DD97D2F"/>
    <w:rsid w:val="517A23AE"/>
    <w:rsid w:val="60D032A5"/>
    <w:rsid w:val="6D4C4B09"/>
    <w:rsid w:val="74723121"/>
    <w:rsid w:val="7A5501EB"/>
    <w:rsid w:val="FF76B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6</Pages>
  <Words>2623</Words>
  <Characters>2724</Characters>
  <Lines>2</Lines>
  <Paragraphs>1</Paragraphs>
  <TotalTime>9</TotalTime>
  <ScaleCrop>false</ScaleCrop>
  <LinksUpToDate>false</LinksUpToDate>
  <CharactersWithSpaces>2734</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2025-04-17T16:39:16Z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CBEC051C641A4422B2EF9E2FD7AD441A_12</vt:lpwstr>
  </property>
</Properties>
</file>