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_GBK" w:hAnsi="方正小标宋_GBK" w:eastAsia="方正小标宋_GBK" w:cs="方正小标宋_GBK"/>
          <w:b/>
          <w:sz w:val="44"/>
          <w:szCs w:val="44"/>
          <w:lang w:eastAsia="zh-CN"/>
        </w:rPr>
      </w:pPr>
      <w:bookmarkStart w:id="0" w:name="_Toc15396616"/>
      <w:r>
        <w:rPr>
          <w:rFonts w:hint="eastAsia" w:ascii="方正小标宋_GBK" w:hAnsi="方正小标宋_GBK" w:eastAsia="方正小标宋_GBK" w:cs="方正小标宋_GBK"/>
          <w:b/>
          <w:sz w:val="44"/>
          <w:szCs w:val="44"/>
          <w:lang w:eastAsia="zh-CN"/>
        </w:rPr>
        <w:t>中共阿坝州黑水县委政法委员会</w:t>
      </w:r>
    </w:p>
    <w:p>
      <w:pPr>
        <w:spacing w:line="600" w:lineRule="exact"/>
        <w:jc w:val="center"/>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eastAsia="zh-CN"/>
        </w:rPr>
        <w:t>2022</w:t>
      </w:r>
      <w:r>
        <w:rPr>
          <w:rFonts w:hint="eastAsia" w:ascii="方正小标宋_GBK" w:hAnsi="方正小标宋_GBK" w:eastAsia="方正小标宋_GBK" w:cs="方正小标宋_GBK"/>
          <w:b/>
          <w:sz w:val="44"/>
          <w:szCs w:val="44"/>
        </w:rPr>
        <w:t>年部门整体支出绩效评价报告</w:t>
      </w:r>
      <w:bookmarkEnd w:id="0"/>
    </w:p>
    <w:p>
      <w:pPr>
        <w:spacing w:line="580" w:lineRule="exact"/>
        <w:ind w:firstLine="643" w:firstLineChars="200"/>
        <w:rPr>
          <w:rFonts w:ascii="仿宋_GB2312" w:hAnsi="黑体" w:eastAsia="仿宋_GB2312" w:cs="黑体"/>
          <w:b/>
          <w:sz w:val="32"/>
          <w:szCs w:val="32"/>
        </w:rPr>
      </w:pP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（一）机构组成</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仿宋_GB2312" w:hAnsi="仿宋" w:eastAsia="仿宋_GB2312" w:cs="仿宋_GB2312"/>
          <w:sz w:val="32"/>
          <w:szCs w:val="32"/>
        </w:rPr>
      </w:pPr>
      <w:r>
        <w:rPr>
          <w:rFonts w:hint="eastAsia" w:ascii="仿宋_GB2312" w:hAnsi="宋体" w:eastAsia="仿宋_GB2312" w:cs="Times New Roman"/>
          <w:kern w:val="2"/>
          <w:sz w:val="32"/>
          <w:szCs w:val="32"/>
          <w:lang w:val="en-US" w:eastAsia="zh-CN" w:bidi="ar-SA"/>
        </w:rPr>
        <w:t>中共黑水县委政法委员会属于一级预算单位1个，下属单位0个。政法委设3个职能科室、1个事业中心,分别是</w:t>
      </w:r>
      <w:r>
        <w:rPr>
          <w:rFonts w:hint="eastAsia" w:ascii="仿宋_GB2312" w:eastAsia="仿宋_GB2312"/>
          <w:sz w:val="32"/>
          <w:szCs w:val="32"/>
        </w:rPr>
        <w:t>办公室、维稳反分裂与反邪教股、基层社会治理股、县矛盾纠纷多元化解协调中心。</w:t>
      </w:r>
    </w:p>
    <w:p>
      <w:pPr>
        <w:keepNext w:val="0"/>
        <w:keepLines w:val="0"/>
        <w:pageBreakBefore w:val="0"/>
        <w:numPr>
          <w:ilvl w:val="0"/>
          <w:numId w:val="0"/>
        </w:numPr>
        <w:tabs>
          <w:tab w:val="left" w:pos="1680"/>
        </w:tabs>
        <w:kinsoku/>
        <w:wordWrap/>
        <w:overflowPunct/>
        <w:topLinePunct w:val="0"/>
        <w:autoSpaceDE/>
        <w:autoSpaceDN/>
        <w:bidi w:val="0"/>
        <w:adjustRightInd/>
        <w:spacing w:line="576" w:lineRule="exact"/>
        <w:ind w:left="0" w:lef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机构职能</w:t>
      </w:r>
    </w:p>
    <w:p>
      <w:pPr>
        <w:keepNext w:val="0"/>
        <w:keepLines w:val="0"/>
        <w:pageBreakBefore w:val="0"/>
        <w:kinsoku/>
        <w:wordWrap/>
        <w:overflowPunct/>
        <w:topLinePunct w:val="0"/>
        <w:autoSpaceDE/>
        <w:autoSpaceDN/>
        <w:bidi w:val="0"/>
        <w:adjustRightInd/>
        <w:spacing w:line="576" w:lineRule="exact"/>
        <w:ind w:firstLine="640" w:firstLineChars="200"/>
        <w:textAlignment w:val="auto"/>
      </w:pPr>
      <w:r>
        <w:rPr>
          <w:rFonts w:hint="eastAsia" w:ascii="仿宋_GB2312" w:eastAsia="仿宋_GB2312"/>
          <w:sz w:val="32"/>
          <w:szCs w:val="32"/>
        </w:rPr>
        <w:t>维稳反分裂与反邪、基层社会治理、矛盾纠纷多元化解。</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842" w:firstLineChars="262"/>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人员概况</w:t>
      </w:r>
    </w:p>
    <w:p>
      <w:pPr>
        <w:pStyle w:val="2"/>
        <w:keepNext w:val="0"/>
        <w:keepLines w:val="0"/>
        <w:pageBreakBefore w:val="0"/>
        <w:kinsoku/>
        <w:wordWrap/>
        <w:overflowPunct/>
        <w:topLinePunct w:val="0"/>
        <w:autoSpaceDE/>
        <w:autoSpaceDN/>
        <w:bidi w:val="0"/>
        <w:adjustRightInd/>
        <w:spacing w:line="576" w:lineRule="exact"/>
        <w:ind w:left="0" w:leftChars="0" w:firstLine="640" w:firstLineChars="200"/>
        <w:textAlignment w:val="auto"/>
      </w:pPr>
      <w:r>
        <w:rPr>
          <w:rFonts w:hint="eastAsia" w:ascii="仿宋_GB2312" w:hAnsi="宋体" w:eastAsia="仿宋_GB2312" w:cs="宋体"/>
          <w:kern w:val="0"/>
          <w:szCs w:val="32"/>
        </w:rPr>
        <w:t>中共黑水县委政法委员会总编制 13 名,其中:行政编制 7 名,事业编制 4 名，工勤编制2名。在职人员总数 16 名，其中：行政人员 9 名，事业人员 4 名，工勤人员3名；退休人员 8 人。</w:t>
      </w:r>
    </w:p>
    <w:p>
      <w:pPr>
        <w:keepNext w:val="0"/>
        <w:keepLines w:val="0"/>
        <w:pageBreakBefore w:val="0"/>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二、部门财政资金收支情况</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（一）部门财政资金收入情况</w:t>
      </w:r>
    </w:p>
    <w:p>
      <w:pPr>
        <w:pStyle w:val="6"/>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rPr>
      </w:pPr>
      <w:r>
        <w:rPr>
          <w:rFonts w:hint="eastAsia" w:ascii="仿宋_GB2312" w:hAnsi="黑体" w:eastAsia="仿宋_GB2312" w:cs="黑体"/>
          <w:b w:val="0"/>
          <w:kern w:val="2"/>
          <w:sz w:val="32"/>
          <w:szCs w:val="32"/>
          <w:lang w:val="en-US" w:eastAsia="zh-CN" w:bidi="ar-SA"/>
        </w:rPr>
        <w:t>2022年一般公共预算收入466.29万元，年初结转和结余218.16万元，共计684.45万元，其中基本收入456.46万元，项目收入227.99万元。主要用于2022年委机关人员和日常公用经费反电信诈骗等工作的正常运转。</w:t>
      </w:r>
    </w:p>
    <w:p>
      <w:pPr>
        <w:pStyle w:val="6"/>
        <w:keepNext w:val="0"/>
        <w:keepLines w:val="0"/>
        <w:pageBreakBefore w:val="0"/>
        <w:kinsoku/>
        <w:wordWrap/>
        <w:overflowPunct/>
        <w:topLinePunct w:val="0"/>
        <w:autoSpaceDE/>
        <w:autoSpaceDN/>
        <w:bidi w:val="0"/>
        <w:adjustRightInd/>
        <w:spacing w:line="576" w:lineRule="exact"/>
        <w:jc w:val="both"/>
        <w:textAlignment w:val="auto"/>
      </w:pPr>
    </w:p>
    <w:p>
      <w:pPr>
        <w:keepNext w:val="0"/>
        <w:keepLines w:val="0"/>
        <w:pageBreakBefore w:val="0"/>
        <w:numPr>
          <w:ilvl w:val="0"/>
          <w:numId w:val="1"/>
        </w:numPr>
        <w:kinsoku/>
        <w:wordWrap/>
        <w:overflowPunct/>
        <w:topLinePunct w:val="0"/>
        <w:autoSpaceDE/>
        <w:autoSpaceDN/>
        <w:bidi w:val="0"/>
        <w:adjustRightInd/>
        <w:spacing w:line="576"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部门财政资金支出情况</w:t>
      </w:r>
    </w:p>
    <w:p>
      <w:pPr>
        <w:pStyle w:val="2"/>
        <w:keepNext w:val="0"/>
        <w:keepLines w:val="0"/>
        <w:pageBreakBefore w:val="0"/>
        <w:numPr>
          <w:ilvl w:val="0"/>
          <w:numId w:val="0"/>
        </w:numPr>
        <w:kinsoku/>
        <w:wordWrap/>
        <w:overflowPunct/>
        <w:topLinePunct w:val="0"/>
        <w:autoSpaceDE/>
        <w:autoSpaceDN/>
        <w:bidi w:val="0"/>
        <w:adjustRightInd/>
        <w:spacing w:line="576" w:lineRule="exact"/>
        <w:ind w:leftChars="0" w:firstLine="640" w:firstLineChars="200"/>
        <w:textAlignment w:val="auto"/>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年实际支出</w:t>
      </w:r>
      <w:r>
        <w:rPr>
          <w:rFonts w:hint="eastAsia" w:ascii="仿宋_GB2312" w:hAnsi="仿宋_GB2312" w:eastAsia="仿宋_GB2312" w:cs="仿宋_GB2312"/>
          <w:sz w:val="32"/>
          <w:szCs w:val="32"/>
          <w:highlight w:val="none"/>
          <w:lang w:val="en-US" w:eastAsia="zh-CN"/>
        </w:rPr>
        <w:t>684.45</w:t>
      </w:r>
      <w:r>
        <w:rPr>
          <w:rFonts w:hint="eastAsia" w:ascii="仿宋_GB2312" w:hAnsi="仿宋_GB2312" w:eastAsia="仿宋_GB2312" w:cs="仿宋_GB2312"/>
          <w:sz w:val="32"/>
          <w:szCs w:val="32"/>
          <w:highlight w:val="none"/>
        </w:rPr>
        <w:t>万元。 按资金来源分析：其中财政拨款支出</w:t>
      </w:r>
      <w:r>
        <w:rPr>
          <w:rFonts w:hint="eastAsia" w:ascii="仿宋_GB2312" w:hAnsi="仿宋_GB2312" w:eastAsia="仿宋_GB2312" w:cs="仿宋_GB2312"/>
          <w:sz w:val="32"/>
          <w:szCs w:val="32"/>
          <w:highlight w:val="none"/>
          <w:lang w:val="en-US" w:eastAsia="zh-CN"/>
        </w:rPr>
        <w:t>684.45</w:t>
      </w:r>
      <w:r>
        <w:rPr>
          <w:rFonts w:hint="eastAsia" w:ascii="仿宋_GB2312" w:hAnsi="仿宋_GB2312" w:eastAsia="仿宋_GB2312" w:cs="仿宋_GB2312"/>
          <w:sz w:val="32"/>
          <w:szCs w:val="32"/>
          <w:highlight w:val="none"/>
        </w:rPr>
        <w:t>万元；按支出性质分析：基本支出</w:t>
      </w:r>
      <w:r>
        <w:rPr>
          <w:rFonts w:hint="eastAsia" w:ascii="仿宋_GB2312" w:hAnsi="仿宋_GB2312" w:eastAsia="仿宋_GB2312" w:cs="仿宋_GB2312"/>
          <w:sz w:val="32"/>
          <w:szCs w:val="32"/>
          <w:highlight w:val="none"/>
          <w:lang w:val="en-US" w:eastAsia="zh-CN"/>
        </w:rPr>
        <w:t>456.46</w:t>
      </w:r>
      <w:r>
        <w:rPr>
          <w:rFonts w:hint="eastAsia" w:ascii="仿宋_GB2312" w:hAnsi="仿宋_GB2312" w:eastAsia="仿宋_GB2312" w:cs="仿宋_GB2312"/>
          <w:sz w:val="32"/>
          <w:szCs w:val="32"/>
          <w:highlight w:val="none"/>
        </w:rPr>
        <w:t>万元，项目支出</w:t>
      </w:r>
      <w:r>
        <w:rPr>
          <w:rFonts w:hint="eastAsia" w:ascii="仿宋_GB2312" w:hAnsi="仿宋_GB2312" w:eastAsia="仿宋_GB2312" w:cs="仿宋_GB2312"/>
          <w:sz w:val="32"/>
          <w:szCs w:val="32"/>
          <w:highlight w:val="none"/>
          <w:lang w:val="en-US" w:eastAsia="zh-CN"/>
        </w:rPr>
        <w:t>227.99</w:t>
      </w:r>
      <w:r>
        <w:rPr>
          <w:rFonts w:hint="eastAsia" w:ascii="仿宋_GB2312" w:hAnsi="仿宋_GB2312" w:eastAsia="仿宋_GB2312" w:cs="仿宋_GB2312"/>
          <w:sz w:val="32"/>
          <w:szCs w:val="32"/>
          <w:highlight w:val="none"/>
        </w:rPr>
        <w:t>万元；按支出经济分类分析：其中工资福利支出</w:t>
      </w:r>
      <w:r>
        <w:rPr>
          <w:rFonts w:hint="eastAsia" w:ascii="仿宋_GB2312" w:hAnsi="仿宋_GB2312" w:eastAsia="仿宋_GB2312" w:cs="仿宋_GB2312"/>
          <w:sz w:val="32"/>
          <w:szCs w:val="32"/>
          <w:highlight w:val="none"/>
          <w:lang w:val="en-US" w:eastAsia="zh-CN"/>
        </w:rPr>
        <w:t>343.79</w:t>
      </w:r>
      <w:r>
        <w:rPr>
          <w:rFonts w:hint="eastAsia" w:ascii="仿宋_GB2312" w:hAnsi="仿宋_GB2312" w:eastAsia="仿宋_GB2312" w:cs="仿宋_GB2312"/>
          <w:sz w:val="32"/>
          <w:szCs w:val="32"/>
          <w:highlight w:val="none"/>
        </w:rPr>
        <w:t>万元，商品和服务支出</w:t>
      </w:r>
      <w:r>
        <w:rPr>
          <w:rFonts w:hint="eastAsia" w:ascii="仿宋_GB2312" w:hAnsi="仿宋_GB2312" w:eastAsia="仿宋_GB2312" w:cs="仿宋_GB2312"/>
          <w:sz w:val="32"/>
          <w:szCs w:val="32"/>
          <w:highlight w:val="none"/>
          <w:lang w:val="en-US" w:eastAsia="zh-CN"/>
        </w:rPr>
        <w:t>331.35</w:t>
      </w:r>
      <w:r>
        <w:rPr>
          <w:rFonts w:hint="eastAsia" w:ascii="仿宋_GB2312" w:hAnsi="仿宋_GB2312" w:eastAsia="仿宋_GB2312" w:cs="仿宋_GB2312"/>
          <w:sz w:val="32"/>
          <w:szCs w:val="32"/>
          <w:highlight w:val="none"/>
        </w:rPr>
        <w:t>万元，对个人和家庭的补助支出</w:t>
      </w:r>
      <w:r>
        <w:rPr>
          <w:rFonts w:hint="eastAsia" w:ascii="仿宋_GB2312" w:hAnsi="仿宋_GB2312" w:eastAsia="仿宋_GB2312" w:cs="仿宋_GB2312"/>
          <w:sz w:val="32"/>
          <w:szCs w:val="32"/>
          <w:highlight w:val="none"/>
          <w:lang w:val="en-US" w:eastAsia="zh-CN"/>
        </w:rPr>
        <w:t>9.31</w:t>
      </w:r>
      <w:r>
        <w:rPr>
          <w:rFonts w:hint="eastAsia" w:ascii="仿宋_GB2312" w:hAnsi="仿宋_GB2312" w:eastAsia="仿宋_GB2312" w:cs="仿宋_GB2312"/>
          <w:sz w:val="32"/>
          <w:szCs w:val="32"/>
          <w:highlight w:val="none"/>
        </w:rPr>
        <w:t>万元。</w:t>
      </w:r>
    </w:p>
    <w:p>
      <w:pPr>
        <w:keepNext w:val="0"/>
        <w:keepLines w:val="0"/>
        <w:pageBreakBefore w:val="0"/>
        <w:kinsoku/>
        <w:wordWrap/>
        <w:overflowPunct/>
        <w:topLinePunct w:val="0"/>
        <w:autoSpaceDE/>
        <w:autoSpaceDN/>
        <w:bidi w:val="0"/>
        <w:adjustRightInd/>
        <w:snapToGrid w:val="0"/>
        <w:spacing w:line="576" w:lineRule="exact"/>
        <w:ind w:firstLine="643" w:firstLineChars="200"/>
        <w:jc w:val="both"/>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lang w:eastAsia="zh-CN"/>
        </w:rPr>
        <w:t>（三）</w:t>
      </w:r>
      <w:r>
        <w:rPr>
          <w:rFonts w:hint="eastAsia" w:ascii="楷体" w:hAnsi="楷体" w:eastAsia="楷体" w:cs="楷体"/>
          <w:b/>
          <w:bCs/>
          <w:sz w:val="32"/>
          <w:szCs w:val="32"/>
          <w:highlight w:val="none"/>
        </w:rPr>
        <w:t>部门财政资金收支结转情况</w:t>
      </w:r>
    </w:p>
    <w:p>
      <w:pPr>
        <w:pStyle w:val="2"/>
        <w:keepNext w:val="0"/>
        <w:keepLines w:val="0"/>
        <w:pageBreakBefore w:val="0"/>
        <w:kinsoku/>
        <w:wordWrap/>
        <w:overflowPunct/>
        <w:topLinePunct w:val="0"/>
        <w:autoSpaceDE/>
        <w:autoSpaceDN/>
        <w:bidi w:val="0"/>
        <w:adjustRightInd/>
        <w:spacing w:line="576" w:lineRule="exact"/>
        <w:ind w:left="1059" w:leftChars="352" w:hanging="320" w:hangingChars="100"/>
        <w:textAlignment w:val="auto"/>
        <w:rPr>
          <w:rFonts w:hint="eastAsia" w:ascii="仿宋_GB2312" w:hAnsi="黑体" w:eastAsia="仿宋_GB2312" w:cs="黑体"/>
          <w:sz w:val="32"/>
          <w:szCs w:val="32"/>
          <w:lang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年末无</w:t>
      </w:r>
      <w:r>
        <w:rPr>
          <w:rFonts w:hint="eastAsia" w:ascii="仿宋_GB2312" w:hAnsi="仿宋_GB2312" w:eastAsia="仿宋_GB2312" w:cs="仿宋_GB2312"/>
          <w:sz w:val="32"/>
          <w:szCs w:val="32"/>
          <w:highlight w:val="none"/>
        </w:rPr>
        <w:t>财政应返还额度</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部门整体预算绩效管理情况</w:t>
      </w:r>
    </w:p>
    <w:p>
      <w:pPr>
        <w:keepNext w:val="0"/>
        <w:keepLines w:val="0"/>
        <w:pageBreakBefore w:val="0"/>
        <w:numPr>
          <w:ilvl w:val="0"/>
          <w:numId w:val="0"/>
        </w:numPr>
        <w:kinsoku/>
        <w:wordWrap/>
        <w:overflowPunct/>
        <w:topLinePunct w:val="0"/>
        <w:autoSpaceDE/>
        <w:autoSpaceDN/>
        <w:bidi w:val="0"/>
        <w:adjustRightInd/>
        <w:spacing w:line="576"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（一）部门预算管理</w:t>
      </w:r>
    </w:p>
    <w:p>
      <w:pPr>
        <w:spacing w:line="58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1、报送时效</w:t>
      </w:r>
    </w:p>
    <w:p>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中共黑水县委政法委员会按照省、州、县级部门预算编制通知和有关要求，按时完成基础库、项目库报送工作。</w:t>
      </w:r>
    </w:p>
    <w:p>
      <w:pPr>
        <w:spacing w:line="580" w:lineRule="exact"/>
        <w:ind w:firstLine="643" w:firstLineChars="200"/>
        <w:rPr>
          <w:rFonts w:hint="eastAsia" w:ascii="楷体" w:hAnsi="楷体" w:eastAsia="楷体" w:cs="楷体"/>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2、编制质量</w:t>
      </w:r>
    </w:p>
    <w:p>
      <w:pPr>
        <w:spacing w:line="58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中共黑水县委政法委员会2022年部门预算，年初一般公共预算财政拨款收入346.05万元；2022年部门决算，一般公共预算财政拨款收入调整预算数466.29万元，年末无结转和结余。</w:t>
      </w:r>
    </w:p>
    <w:p>
      <w:pPr>
        <w:spacing w:line="58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3、绩效目标</w:t>
      </w:r>
    </w:p>
    <w:p>
      <w:pPr>
        <w:spacing w:line="58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(1)部门整体绩效目标</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中共黑水县委政法委员会部门整体绩效目标包括部门绩效目标制定、目标完成、预算编制准确、支出控制、预算动态调整、执行进度、预算完成情况和违规记录等情况。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严格按照州、县预算编制要求，按时完成了基础信息、项目库的报送工作，完成基础信息的更新，按时完成预算编制并提交部门预算草案。</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预算编制中严格按照要求进行预算执行调整，按时完成待批复提前细化。部门预算在财政部门批复后及时填报预算公示报表报财政审核在政府信息公开网上公示。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部门预算年初一般公共预算财政拨款收入346.05万元；2022年部门决算，一般公共预算财政拨款收入调整预算数466.29万元，年末无结转和结余；2022年部门决算支出合计684.46万元，其中基本支出456.47万元，项目支出227.99万元。</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中共黑水县委政法委员会的部门整体绩效目标基本完整、合理的反映了部门年度职责履行情况。</w:t>
      </w:r>
    </w:p>
    <w:p>
      <w:pPr>
        <w:spacing w:line="58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 xml:space="preserve">（2）专项预算绩效目标 </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中共黑水县委政法委员会开展2022年专项预算绩效自评（“雪亮工程”、反电信诈骗工作）。</w:t>
      </w:r>
    </w:p>
    <w:p>
      <w:pPr>
        <w:spacing w:line="58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(二)预算执行方面</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在执行管理中，中共黑水县委政法委员会严格控制各项开支，尤其重视对“三公”经费的支出管理，尽量压缩公务接待次数，加强公车的管理。</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1、“三公”经费支出情况</w:t>
      </w:r>
    </w:p>
    <w:p>
      <w:pPr>
        <w:spacing w:line="60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2022年“三公”经费支出其中公务用车运行维护费15.08万元，2021年支出21.76万元，较上年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30.78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highlight w:val="none"/>
          <w:lang w:val="en-US" w:eastAsia="zh-CN"/>
        </w:rPr>
        <w:t>公务接待费0.64万元，2021年支出0.15万元，较上年度</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lang w:val="en-US" w:eastAsia="zh-CN"/>
        </w:rPr>
        <w:t>326.66%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工作业务量的增加</w:t>
      </w:r>
      <w:r>
        <w:rPr>
          <w:rFonts w:hint="eastAsia" w:ascii="仿宋_GB2312" w:hAnsi="仿宋_GB2312" w:eastAsia="仿宋_GB2312" w:cs="仿宋_GB2312"/>
          <w:sz w:val="32"/>
          <w:szCs w:val="32"/>
          <w:highlight w:val="none"/>
          <w:lang w:val="en-US" w:eastAsia="zh-CN"/>
        </w:rPr>
        <w:t>；本单位2022年无因公出国出境费用。“三公”经费支出较上年同期有所减少，</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b w:val="0"/>
          <w:bCs w:val="0"/>
          <w:kern w:val="0"/>
          <w:sz w:val="32"/>
          <w:szCs w:val="32"/>
          <w:lang w:eastAsia="zh-CN"/>
        </w:rPr>
        <w:t>缩减开支、厉行节约。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2、会议费支出情况</w:t>
      </w:r>
    </w:p>
    <w:p>
      <w:pPr>
        <w:numPr>
          <w:ilvl w:val="0"/>
          <w:numId w:val="0"/>
        </w:num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年会议费支出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u w:val="none"/>
          <w:lang w:eastAsia="zh-CN"/>
        </w:rPr>
        <w:t>相比</w:t>
      </w:r>
      <w:r>
        <w:rPr>
          <w:rFonts w:hint="eastAsia" w:ascii="仿宋_GB2312" w:hAnsi="仿宋_GB2312" w:eastAsia="仿宋_GB2312" w:cs="仿宋_GB2312"/>
          <w:color w:val="auto"/>
          <w:sz w:val="32"/>
          <w:szCs w:val="32"/>
          <w:highlight w:val="none"/>
        </w:rPr>
        <w:t>上年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lang w:val="en-US" w:eastAsia="zh-CN"/>
        </w:rPr>
        <w:t>0.00万元，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highlight w:val="none"/>
        </w:rPr>
        <w:t>较上年同期</w:t>
      </w:r>
      <w:r>
        <w:rPr>
          <w:rFonts w:hint="eastAsia" w:ascii="仿宋_GB2312" w:hAnsi="仿宋_GB2312" w:eastAsia="仿宋_GB2312" w:cs="仿宋_GB2312"/>
          <w:color w:val="auto"/>
          <w:sz w:val="32"/>
          <w:szCs w:val="32"/>
          <w:highlight w:val="none"/>
          <w:lang w:eastAsia="zh-CN"/>
        </w:rPr>
        <w:t>无变化。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3、培训费支出情况</w:t>
      </w:r>
    </w:p>
    <w:p>
      <w:pPr>
        <w:numPr>
          <w:ilvl w:val="0"/>
          <w:numId w:val="0"/>
        </w:numPr>
        <w:spacing w:line="240" w:lineRule="auto"/>
        <w:ind w:left="0" w:leftChars="0" w:firstLine="640" w:firstLineChars="200"/>
        <w:rPr>
          <w:rFonts w:hint="eastAsia" w:ascii="仿宋_GB2312" w:hAnsi="仿宋"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none"/>
          <w:lang w:val="en-US" w:eastAsia="zh-CN"/>
        </w:rPr>
        <w:t>2022年培训费共计支出0.00万元，</w:t>
      </w:r>
      <w:r>
        <w:rPr>
          <w:rFonts w:hint="eastAsia" w:ascii="仿宋_GB2312" w:hAnsi="仿宋_GB2312" w:eastAsia="仿宋_GB2312" w:cs="仿宋_GB2312"/>
          <w:sz w:val="32"/>
          <w:szCs w:val="32"/>
          <w:highlight w:val="none"/>
          <w:u w:val="none"/>
          <w:lang w:eastAsia="zh-CN"/>
        </w:rPr>
        <w:t>相比</w:t>
      </w:r>
      <w:r>
        <w:rPr>
          <w:rFonts w:hint="eastAsia" w:ascii="仿宋_GB2312" w:hAnsi="仿宋_GB2312" w:eastAsia="仿宋_GB2312" w:cs="仿宋_GB2312"/>
          <w:color w:val="auto"/>
          <w:sz w:val="32"/>
          <w:szCs w:val="32"/>
          <w:highlight w:val="none"/>
        </w:rPr>
        <w:t>上年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lang w:val="en-US" w:eastAsia="zh-CN"/>
        </w:rPr>
        <w:t>0.00万元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无变化。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4、其他较大的支出情况　</w:t>
      </w:r>
    </w:p>
    <w:p>
      <w:pPr>
        <w:keepNext w:val="0"/>
        <w:keepLines w:val="0"/>
        <w:widowControl w:val="0"/>
        <w:suppressLineNumbers w:val="0"/>
        <w:autoSpaceDE w:val="0"/>
        <w:autoSpaceDN/>
        <w:snapToGrid w:val="0"/>
        <w:spacing w:line="560" w:lineRule="exact"/>
        <w:ind w:left="0" w:firstLine="640" w:firstLineChars="200"/>
        <w:rPr>
          <w:rFonts w:hint="eastAsia" w:ascii="仿宋" w:hAnsi="仿宋" w:eastAsia="仿宋" w:cs="宋体"/>
          <w:kern w:val="0"/>
          <w:sz w:val="32"/>
          <w:szCs w:val="32"/>
        </w:rPr>
      </w:pPr>
      <w:r>
        <w:rPr>
          <w:rFonts w:hint="eastAsia" w:ascii="仿宋" w:hAnsi="仿宋" w:eastAsia="仿宋" w:cs="仿宋"/>
          <w:kern w:val="0"/>
          <w:sz w:val="32"/>
          <w:szCs w:val="32"/>
        </w:rPr>
        <w:t>办公费支出</w:t>
      </w:r>
      <w:r>
        <w:rPr>
          <w:rFonts w:hint="eastAsia" w:ascii="仿宋" w:hAnsi="仿宋" w:eastAsia="仿宋" w:cs="仿宋"/>
          <w:kern w:val="0"/>
          <w:sz w:val="32"/>
          <w:szCs w:val="32"/>
          <w:lang w:val="en-US" w:eastAsia="zh-CN"/>
        </w:rPr>
        <w:t>17.48</w:t>
      </w:r>
      <w:r>
        <w:rPr>
          <w:rFonts w:hint="eastAsia" w:ascii="仿宋" w:hAnsi="仿宋" w:eastAsia="仿宋" w:cs="仿宋"/>
          <w:kern w:val="0"/>
          <w:sz w:val="32"/>
          <w:szCs w:val="32"/>
        </w:rPr>
        <w:t>万元，较上年度</w:t>
      </w:r>
      <w:r>
        <w:rPr>
          <w:rFonts w:hint="eastAsia" w:ascii="仿宋" w:hAnsi="仿宋" w:eastAsia="仿宋" w:cs="仿宋"/>
          <w:kern w:val="0"/>
          <w:sz w:val="32"/>
          <w:szCs w:val="32"/>
          <w:lang w:val="en-US" w:eastAsia="zh-CN"/>
        </w:rPr>
        <w:t>9.50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增加</w:t>
      </w:r>
      <w:r>
        <w:rPr>
          <w:rFonts w:hint="eastAsia" w:ascii="仿宋" w:hAnsi="仿宋" w:eastAsia="仿宋" w:cs="仿宋"/>
          <w:kern w:val="0"/>
          <w:sz w:val="32"/>
          <w:szCs w:val="32"/>
          <w:lang w:val="en-US" w:eastAsia="zh-CN"/>
        </w:rPr>
        <w:t>7.98</w:t>
      </w:r>
      <w:r>
        <w:rPr>
          <w:rFonts w:hint="eastAsia" w:ascii="仿宋" w:hAnsi="仿宋" w:eastAsia="仿宋" w:cs="仿宋"/>
          <w:kern w:val="0"/>
          <w:sz w:val="32"/>
          <w:szCs w:val="32"/>
        </w:rPr>
        <w:t>万元，同比涨幅</w:t>
      </w:r>
      <w:r>
        <w:rPr>
          <w:rFonts w:hint="eastAsia" w:ascii="仿宋" w:hAnsi="仿宋" w:eastAsia="仿宋" w:cs="仿宋"/>
          <w:kern w:val="0"/>
          <w:sz w:val="32"/>
          <w:szCs w:val="32"/>
          <w:lang w:val="en-US" w:eastAsia="zh-CN"/>
        </w:rPr>
        <w:t>84.00</w:t>
      </w:r>
      <w:r>
        <w:rPr>
          <w:rFonts w:hint="eastAsia" w:ascii="仿宋" w:hAnsi="仿宋" w:eastAsia="仿宋" w:cs="仿宋"/>
          <w:kern w:val="0"/>
          <w:sz w:val="32"/>
          <w:szCs w:val="32"/>
        </w:rPr>
        <w:t>%，原因是本年度</w:t>
      </w:r>
      <w:r>
        <w:rPr>
          <w:rFonts w:hint="eastAsia" w:ascii="仿宋" w:hAnsi="仿宋" w:eastAsia="仿宋" w:cs="仿宋"/>
          <w:kern w:val="0"/>
          <w:sz w:val="32"/>
          <w:szCs w:val="32"/>
          <w:lang w:eastAsia="zh-CN"/>
        </w:rPr>
        <w:t>政法委</w:t>
      </w:r>
      <w:r>
        <w:rPr>
          <w:rFonts w:hint="eastAsia" w:ascii="仿宋" w:hAnsi="仿宋" w:eastAsia="仿宋" w:cs="仿宋"/>
          <w:kern w:val="0"/>
          <w:sz w:val="32"/>
          <w:szCs w:val="32"/>
        </w:rPr>
        <w:t>机关征订报刊、购置零星办公设备</w:t>
      </w:r>
      <w:r>
        <w:rPr>
          <w:rFonts w:hint="eastAsia" w:ascii="仿宋" w:hAnsi="仿宋" w:eastAsia="仿宋" w:cs="仿宋"/>
          <w:kern w:val="0"/>
          <w:sz w:val="32"/>
          <w:szCs w:val="32"/>
          <w:lang w:eastAsia="zh-CN"/>
        </w:rPr>
        <w:t>及业务工作量的增加</w:t>
      </w:r>
      <w:r>
        <w:rPr>
          <w:rFonts w:hint="eastAsia" w:ascii="仿宋" w:hAnsi="仿宋" w:eastAsia="仿宋" w:cs="仿宋"/>
          <w:kern w:val="0"/>
          <w:sz w:val="32"/>
          <w:szCs w:val="32"/>
        </w:rPr>
        <w:t>等，故增加了费用。</w:t>
      </w:r>
    </w:p>
    <w:p>
      <w:pPr>
        <w:keepNext w:val="0"/>
        <w:keepLines w:val="0"/>
        <w:pageBreakBefore w:val="0"/>
        <w:widowControl w:val="0"/>
        <w:suppressLineNumbers w:val="0"/>
        <w:kinsoku/>
        <w:wordWrap/>
        <w:overflowPunct/>
        <w:topLinePunct w:val="0"/>
        <w:autoSpaceDE w:val="0"/>
        <w:autoSpaceDN/>
        <w:bidi w:val="0"/>
        <w:adjustRightInd/>
        <w:snapToGrid w:val="0"/>
        <w:spacing w:line="560" w:lineRule="exact"/>
        <w:ind w:left="0" w:leftChars="0" w:firstLine="640" w:firstLineChars="200"/>
        <w:textAlignment w:val="auto"/>
        <w:rPr>
          <w:rFonts w:hint="eastAsia" w:ascii="仿宋" w:hAnsi="仿宋" w:eastAsia="仿宋" w:cs="宋体"/>
          <w:kern w:val="0"/>
          <w:sz w:val="32"/>
          <w:szCs w:val="32"/>
        </w:rPr>
      </w:pPr>
      <w:r>
        <w:rPr>
          <w:rFonts w:hint="eastAsia" w:ascii="仿宋" w:hAnsi="仿宋" w:eastAsia="仿宋" w:cs="仿宋"/>
          <w:kern w:val="0"/>
          <w:sz w:val="32"/>
          <w:szCs w:val="32"/>
        </w:rPr>
        <w:t>差旅费支出</w:t>
      </w:r>
      <w:r>
        <w:rPr>
          <w:rFonts w:hint="eastAsia" w:ascii="仿宋" w:hAnsi="仿宋" w:eastAsia="仿宋" w:cs="仿宋"/>
          <w:kern w:val="0"/>
          <w:sz w:val="32"/>
          <w:szCs w:val="32"/>
          <w:lang w:val="en-US" w:eastAsia="zh-CN"/>
        </w:rPr>
        <w:t>6.59</w:t>
      </w:r>
      <w:r>
        <w:rPr>
          <w:rFonts w:hint="eastAsia" w:ascii="仿宋" w:hAnsi="仿宋" w:eastAsia="仿宋" w:cs="仿宋"/>
          <w:kern w:val="0"/>
          <w:sz w:val="32"/>
          <w:szCs w:val="32"/>
        </w:rPr>
        <w:t>万元，较上年度</w:t>
      </w:r>
      <w:r>
        <w:rPr>
          <w:rFonts w:hint="eastAsia" w:ascii="仿宋" w:hAnsi="仿宋" w:eastAsia="仿宋" w:cs="仿宋"/>
          <w:kern w:val="0"/>
          <w:sz w:val="32"/>
          <w:szCs w:val="32"/>
          <w:lang w:val="en-US" w:eastAsia="zh-CN"/>
        </w:rPr>
        <w:t>6.19</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增加</w:t>
      </w:r>
      <w:r>
        <w:rPr>
          <w:rFonts w:hint="eastAsia" w:ascii="仿宋" w:hAnsi="仿宋" w:eastAsia="仿宋" w:cs="仿宋"/>
          <w:kern w:val="0"/>
          <w:sz w:val="32"/>
          <w:szCs w:val="32"/>
          <w:lang w:val="en-US" w:eastAsia="zh-CN"/>
        </w:rPr>
        <w:t>0.4</w:t>
      </w:r>
      <w:r>
        <w:rPr>
          <w:rFonts w:hint="eastAsia" w:ascii="仿宋" w:hAnsi="仿宋" w:eastAsia="仿宋" w:cs="仿宋"/>
          <w:kern w:val="0"/>
          <w:sz w:val="32"/>
          <w:szCs w:val="32"/>
        </w:rPr>
        <w:t>万元，涨幅6.46%，原因是</w:t>
      </w:r>
      <w:r>
        <w:rPr>
          <w:rFonts w:hint="eastAsia" w:ascii="仿宋" w:hAnsi="仿宋" w:eastAsia="仿宋" w:cs="仿宋"/>
          <w:kern w:val="0"/>
          <w:sz w:val="32"/>
          <w:szCs w:val="32"/>
          <w:lang w:eastAsia="zh-CN"/>
        </w:rPr>
        <w:t>工作业务量的</w:t>
      </w:r>
      <w:r>
        <w:rPr>
          <w:rFonts w:hint="eastAsia" w:ascii="仿宋" w:hAnsi="仿宋" w:eastAsia="仿宋" w:cs="仿宋"/>
          <w:kern w:val="0"/>
          <w:sz w:val="32"/>
          <w:szCs w:val="32"/>
        </w:rPr>
        <w:t>增加，下乡、出差次数相应增加。</w:t>
      </w:r>
    </w:p>
    <w:p>
      <w:pPr>
        <w:spacing w:line="580" w:lineRule="exact"/>
        <w:ind w:firstLine="640" w:firstLineChars="200"/>
        <w:rPr>
          <w:rFonts w:hint="eastAsia" w:ascii="仿宋" w:hAnsi="仿宋" w:eastAsia="仿宋"/>
          <w:sz w:val="32"/>
          <w:szCs w:val="32"/>
          <w:highlight w:val="none"/>
          <w:u w:val="none"/>
          <w:lang w:val="en-US" w:eastAsia="zh-CN"/>
        </w:rPr>
      </w:pPr>
      <w:r>
        <w:rPr>
          <w:rFonts w:hint="eastAsia" w:ascii="仿宋" w:hAnsi="仿宋" w:eastAsia="仿宋" w:cs="仿宋"/>
          <w:kern w:val="0"/>
          <w:sz w:val="32"/>
          <w:szCs w:val="32"/>
        </w:rPr>
        <w:t>邮电费支出</w:t>
      </w:r>
      <w:r>
        <w:rPr>
          <w:rFonts w:hint="eastAsia" w:ascii="仿宋" w:hAnsi="仿宋" w:eastAsia="仿宋" w:cs="仿宋"/>
          <w:kern w:val="0"/>
          <w:sz w:val="32"/>
          <w:szCs w:val="32"/>
          <w:lang w:val="en-US" w:eastAsia="zh-CN"/>
        </w:rPr>
        <w:t>3.60</w:t>
      </w:r>
      <w:r>
        <w:rPr>
          <w:rFonts w:hint="eastAsia" w:ascii="仿宋" w:hAnsi="仿宋" w:eastAsia="仿宋" w:cs="仿宋"/>
          <w:kern w:val="0"/>
          <w:sz w:val="32"/>
          <w:szCs w:val="32"/>
        </w:rPr>
        <w:t>万元，较上年支出</w:t>
      </w:r>
      <w:r>
        <w:rPr>
          <w:rFonts w:hint="eastAsia" w:ascii="仿宋" w:hAnsi="仿宋" w:eastAsia="仿宋" w:cs="仿宋"/>
          <w:kern w:val="0"/>
          <w:sz w:val="32"/>
          <w:szCs w:val="32"/>
          <w:lang w:val="en-US" w:eastAsia="zh-CN"/>
        </w:rPr>
        <w:t>3.24</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0.36</w:t>
      </w:r>
      <w:r>
        <w:rPr>
          <w:rFonts w:hint="eastAsia" w:ascii="仿宋" w:hAnsi="仿宋" w:eastAsia="仿宋" w:cs="仿宋"/>
          <w:kern w:val="0"/>
          <w:sz w:val="32"/>
          <w:szCs w:val="32"/>
        </w:rPr>
        <w:t>万元，降幅</w:t>
      </w:r>
      <w:r>
        <w:rPr>
          <w:rFonts w:hint="eastAsia" w:ascii="仿宋" w:hAnsi="仿宋" w:eastAsia="仿宋" w:cs="仿宋"/>
          <w:kern w:val="0"/>
          <w:sz w:val="32"/>
          <w:szCs w:val="32"/>
          <w:lang w:val="en-US" w:eastAsia="zh-CN"/>
        </w:rPr>
        <w:t>11.11</w:t>
      </w:r>
      <w:r>
        <w:rPr>
          <w:rFonts w:hint="eastAsia" w:ascii="仿宋" w:hAnsi="仿宋" w:eastAsia="仿宋" w:cs="仿宋"/>
          <w:kern w:val="0"/>
          <w:sz w:val="32"/>
          <w:szCs w:val="32"/>
        </w:rPr>
        <w:t>%，原因是厉行节约</w:t>
      </w:r>
      <w:r>
        <w:rPr>
          <w:rFonts w:hint="eastAsia" w:ascii="仿宋" w:hAnsi="仿宋" w:eastAsia="仿宋" w:cs="仿宋"/>
          <w:kern w:val="0"/>
          <w:sz w:val="32"/>
          <w:szCs w:val="32"/>
          <w:lang w:eastAsia="zh-CN"/>
        </w:rPr>
        <w:t>工作业务量的增加。</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(三)综合管理方面</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1、债务管理</w:t>
      </w:r>
    </w:p>
    <w:p>
      <w:pPr>
        <w:spacing w:line="580" w:lineRule="exact"/>
        <w:ind w:firstLine="640" w:firstLineChars="200"/>
        <w:rPr>
          <w:rFonts w:hint="eastAsia" w:ascii="仿宋_GB2312" w:hAnsi="仿宋"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中共黑水县委政法委员会委</w:t>
      </w:r>
      <w:r>
        <w:rPr>
          <w:rFonts w:hint="eastAsia" w:ascii="仿宋_GB2312" w:hAnsi="仿宋_GB2312" w:eastAsia="仿宋_GB2312" w:cs="仿宋_GB2312"/>
          <w:b w:val="0"/>
          <w:bCs w:val="0"/>
          <w:sz w:val="32"/>
          <w:szCs w:val="32"/>
          <w:highlight w:val="none"/>
          <w:lang w:val="en-US" w:eastAsia="zh-CN"/>
        </w:rPr>
        <w:t>无债务。</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2、非税收入执收情况</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(1)非税收入征收情况</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政协办无非税收入。</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(2)非税收入上缴情况</w:t>
      </w:r>
    </w:p>
    <w:p>
      <w:pPr>
        <w:spacing w:line="580" w:lineRule="exact"/>
        <w:ind w:firstLine="640" w:firstLineChars="200"/>
        <w:rPr>
          <w:rFonts w:hint="eastAsia" w:ascii="仿宋_GB2312" w:hAnsi="仿宋"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政协办无非税收入，不存在上缴情况。</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3、政府采购实施计划</w:t>
      </w:r>
    </w:p>
    <w:p>
      <w:pPr>
        <w:spacing w:line="580" w:lineRule="exact"/>
        <w:ind w:firstLine="640" w:firstLineChars="200"/>
        <w:rPr>
          <w:rFonts w:hint="eastAsia" w:ascii="仿宋_GB2312" w:hAnsi="仿宋"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(1)政府采购实施计划编制</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2022年预算编制中无政府采购实施计划。</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(2)政府采购实施计划的执行</w:t>
      </w:r>
    </w:p>
    <w:p>
      <w:pPr>
        <w:spacing w:line="580" w:lineRule="exact"/>
        <w:ind w:firstLine="640" w:firstLineChars="200"/>
        <w:rPr>
          <w:rFonts w:hint="eastAsia" w:ascii="仿宋_GB2312" w:hAnsi="仿宋"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2022年预算编制中无政府采购实施计划，不存在执行情况。</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4、资产管理</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(1)资产管理信息系统建设情况</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制定了相关制度，对资产管理情况进行了规范，具体内容为：资产归口管理并明确使用责任，定期对资产清查盘点，对账实不符的情况及时进行处理，按照规定处置资产。</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(2)行政事业单位资产清查开展情况</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2022年度在规定时间内完成了资产清查任务。并及时更新资产管理信息系统，系统资产数据与账上资产数据、上报财政的资产清查结果一致。</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(3)行政事业单位资产报表上报情况</w:t>
      </w:r>
    </w:p>
    <w:p>
      <w:pPr>
        <w:spacing w:line="58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中共黑水县委政法委员会落实专人负责资产报表，并及时上报资产报表；报表填报规范，内容完整，数据真实</w:t>
      </w:r>
      <w:r>
        <w:rPr>
          <w:rFonts w:hint="eastAsia" w:ascii="仿宋_GB2312" w:hAnsi="仿宋" w:eastAsia="仿宋_GB2312" w:cs="仿宋_GB2312"/>
          <w:sz w:val="32"/>
          <w:szCs w:val="32"/>
          <w:highlight w:val="none"/>
          <w:lang w:val="en-US" w:eastAsia="zh-CN"/>
        </w:rPr>
        <w:t>。</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5、内控制度管理</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(1)内部控制度较健全完整</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建立了</w:t>
      </w:r>
      <w:r>
        <w:rPr>
          <w:rFonts w:hint="eastAsia" w:ascii="仿宋_GB2312" w:hAnsi="仿宋_GB2312" w:eastAsia="仿宋_GB2312" w:cs="仿宋_GB2312"/>
          <w:sz w:val="32"/>
          <w:szCs w:val="32"/>
          <w:highlight w:val="none"/>
          <w:lang w:val="en-US" w:eastAsia="zh-CN"/>
        </w:rPr>
        <w:t>《中共黑水县委政法委员会预算管理一体化系统内控管理制度》等内控制度，并按内部控制进行管理。</w:t>
      </w:r>
    </w:p>
    <w:p>
      <w:pPr>
        <w:spacing w:line="580" w:lineRule="exact"/>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6、信息公开</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(1)预算公开</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2022年1月20日在黑水县人民政府官网“政务公开”栏公开了《2022年度中共黑水县委政法委员会部门预算编制说明》。</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(2)决算公开</w:t>
      </w:r>
    </w:p>
    <w:p>
      <w:pPr>
        <w:spacing w:line="58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2022年8月18日在黑水县人民政府官网“政务公开”栏公开了《中共黑水县委政法委员会2021年度部门决算编制说明》。</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7、绩效评价</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(1)评价项目覆盖率</w:t>
      </w:r>
    </w:p>
    <w:p>
      <w:pPr>
        <w:spacing w:line="580" w:lineRule="exact"/>
        <w:ind w:firstLine="640" w:firstLineChars="200"/>
        <w:rPr>
          <w:rFonts w:hint="eastAsia" w:ascii="仿宋_GB2312" w:hAnsi="仿宋_GB2312" w:eastAsia="仿宋_GB2312" w:cs="仿宋_GB2312"/>
          <w:kern w:val="2"/>
          <w:sz w:val="32"/>
          <w:szCs w:val="32"/>
          <w:u w:val="none" w:color="auto"/>
          <w:lang w:val="en-US" w:eastAsia="zh-CN" w:bidi="ar-SA"/>
        </w:rPr>
      </w:pPr>
      <w:r>
        <w:rPr>
          <w:rFonts w:hint="eastAsia" w:ascii="仿宋_GB2312" w:hAnsi="仿宋_GB2312" w:eastAsia="仿宋_GB2312" w:cs="仿宋_GB2312"/>
          <w:sz w:val="32"/>
          <w:szCs w:val="32"/>
          <w:highlight w:val="none"/>
          <w:lang w:val="en-US" w:eastAsia="zh-CN"/>
        </w:rPr>
        <w:t>中共黑水县委政法委员会</w:t>
      </w:r>
      <w:r>
        <w:rPr>
          <w:rFonts w:hint="eastAsia" w:ascii="仿宋_GB2312" w:hAnsi="仿宋_GB2312" w:eastAsia="仿宋_GB2312" w:cs="仿宋_GB2312"/>
          <w:b w:val="0"/>
          <w:bCs w:val="0"/>
          <w:sz w:val="32"/>
          <w:szCs w:val="32"/>
          <w:highlight w:val="none"/>
          <w:lang w:val="en-US" w:eastAsia="zh-CN"/>
        </w:rPr>
        <w:t>有“雪亮工程”、反电信诈骗工作两个项目。</w:t>
      </w:r>
      <w:r>
        <w:rPr>
          <w:rFonts w:hint="default" w:ascii="仿宋_GB2312" w:hAnsi="仿宋_GB2312" w:eastAsia="仿宋_GB2312" w:cs="仿宋_GB2312"/>
          <w:kern w:val="2"/>
          <w:sz w:val="32"/>
          <w:szCs w:val="32"/>
          <w:u w:val="none" w:color="auto"/>
          <w:lang w:val="en-US" w:eastAsia="zh-CN" w:bidi="ar-SA"/>
        </w:rPr>
        <w:t>“</w:t>
      </w:r>
      <w:r>
        <w:rPr>
          <w:rFonts w:hint="eastAsia" w:ascii="仿宋_GB2312" w:hAnsi="仿宋_GB2312" w:eastAsia="仿宋_GB2312" w:cs="仿宋_GB2312"/>
          <w:kern w:val="2"/>
          <w:sz w:val="32"/>
          <w:szCs w:val="32"/>
          <w:u w:val="none" w:color="auto"/>
          <w:lang w:val="en-US" w:eastAsia="zh-CN" w:bidi="ar-SA"/>
        </w:rPr>
        <w:t>雪亮工程”</w:t>
      </w:r>
      <w:r>
        <w:rPr>
          <w:rFonts w:hint="default" w:ascii="仿宋_GB2312" w:hAnsi="仿宋_GB2312" w:eastAsia="仿宋_GB2312" w:cs="仿宋_GB2312"/>
          <w:kern w:val="2"/>
          <w:sz w:val="32"/>
          <w:szCs w:val="32"/>
          <w:u w:val="none" w:color="auto"/>
          <w:lang w:val="en-US" w:eastAsia="zh-CN" w:bidi="ar-SA"/>
        </w:rPr>
        <w:t>监控点位全天后在线个数</w:t>
      </w:r>
      <w:r>
        <w:rPr>
          <w:rFonts w:hint="eastAsia" w:ascii="仿宋_GB2312" w:hAnsi="仿宋_GB2312" w:eastAsia="仿宋_GB2312" w:cs="仿宋_GB2312"/>
          <w:kern w:val="2"/>
          <w:sz w:val="32"/>
          <w:szCs w:val="32"/>
          <w:u w:val="none" w:color="auto"/>
          <w:lang w:val="en-US" w:eastAsia="zh-CN" w:bidi="ar-SA"/>
        </w:rPr>
        <w:t>240个，实际平均在线个数为239个。</w:t>
      </w:r>
      <w:r>
        <w:rPr>
          <w:rFonts w:hint="default" w:ascii="仿宋_GB2312" w:hAnsi="仿宋_GB2312" w:eastAsia="仿宋_GB2312" w:cs="仿宋_GB2312"/>
          <w:kern w:val="2"/>
          <w:sz w:val="32"/>
          <w:szCs w:val="32"/>
          <w:u w:val="none" w:color="auto"/>
          <w:lang w:val="en-US" w:eastAsia="zh-CN" w:bidi="ar-SA"/>
        </w:rPr>
        <w:t>全县村（社区）视频监控全覆盖</w:t>
      </w:r>
      <w:r>
        <w:rPr>
          <w:rFonts w:hint="eastAsia" w:ascii="仿宋_GB2312" w:hAnsi="仿宋_GB2312" w:eastAsia="仿宋_GB2312" w:cs="仿宋_GB2312"/>
          <w:kern w:val="2"/>
          <w:sz w:val="32"/>
          <w:szCs w:val="32"/>
          <w:u w:val="none" w:color="auto"/>
          <w:lang w:val="en-US" w:eastAsia="zh-CN" w:bidi="ar-SA"/>
        </w:rPr>
        <w:t>绩效目标为104个，实际平均覆盖个数为104个；</w:t>
      </w:r>
      <w:r>
        <w:rPr>
          <w:rFonts w:hint="eastAsia" w:ascii="仿宋_GB2312" w:hAnsi="仿宋_GB2312" w:eastAsia="仿宋_GB2312" w:cs="仿宋_GB2312"/>
          <w:b w:val="0"/>
          <w:bCs w:val="0"/>
          <w:sz w:val="32"/>
          <w:szCs w:val="32"/>
          <w:highlight w:val="none"/>
          <w:lang w:val="en-US" w:eastAsia="zh-CN"/>
        </w:rPr>
        <w:t>反电信诈骗工作实现</w:t>
      </w:r>
      <w:r>
        <w:rPr>
          <w:rFonts w:hint="default" w:ascii="仿宋_GB2312" w:hAnsi="仿宋_GB2312" w:eastAsia="仿宋_GB2312" w:cs="仿宋_GB2312"/>
          <w:kern w:val="2"/>
          <w:sz w:val="32"/>
          <w:szCs w:val="32"/>
          <w:u w:val="none" w:color="auto"/>
          <w:lang w:val="en-US" w:eastAsia="zh-CN" w:bidi="ar-SA"/>
        </w:rPr>
        <w:t>全县村（社区）宣传全覆盖</w:t>
      </w:r>
      <w:r>
        <w:rPr>
          <w:rFonts w:hint="eastAsia" w:ascii="仿宋_GB2312" w:hAnsi="仿宋_GB2312" w:eastAsia="仿宋_GB2312" w:cs="仿宋_GB2312"/>
          <w:kern w:val="2"/>
          <w:sz w:val="32"/>
          <w:szCs w:val="32"/>
          <w:u w:val="none" w:color="auto"/>
          <w:lang w:val="en-US" w:eastAsia="zh-CN" w:bidi="ar-SA"/>
        </w:rPr>
        <w:t>达到104个，覆盖率达到100%。</w:t>
      </w:r>
    </w:p>
    <w:p>
      <w:pPr>
        <w:numPr>
          <w:ilvl w:val="0"/>
          <w:numId w:val="2"/>
        </w:num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评价层次</w:t>
      </w:r>
    </w:p>
    <w:p>
      <w:pPr>
        <w:numPr>
          <w:ilvl w:val="0"/>
          <w:numId w:val="0"/>
        </w:num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w:t>
      </w:r>
      <w:r>
        <w:rPr>
          <w:rFonts w:hint="eastAsia" w:ascii="仿宋_GB2312" w:hAnsi="仿宋_GB2312" w:eastAsia="仿宋_GB2312" w:cs="仿宋_GB2312"/>
          <w:b w:val="0"/>
          <w:bCs w:val="0"/>
          <w:sz w:val="32"/>
          <w:szCs w:val="32"/>
          <w:highlight w:val="none"/>
          <w:lang w:val="en-US" w:eastAsia="zh-CN"/>
        </w:rPr>
        <w:t>不存在下级预算单位。</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(3)评价结果</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w:t>
      </w:r>
      <w:r>
        <w:rPr>
          <w:rFonts w:hint="eastAsia" w:ascii="仿宋_GB2312" w:hAnsi="仿宋_GB2312" w:eastAsia="仿宋_GB2312" w:cs="仿宋_GB2312"/>
          <w:b w:val="0"/>
          <w:bCs w:val="0"/>
          <w:sz w:val="32"/>
          <w:szCs w:val="32"/>
          <w:highlight w:val="none"/>
          <w:lang w:val="en-US" w:eastAsia="zh-CN"/>
        </w:rPr>
        <w:t>按要求向财政部门报告自评报告等相关绩效信息。2023年7月向财政部门报送《2022年部门整体支出绩效评价报告》、《2022年部门预算项目支出绩效评价报告》。</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(4)整改完成率</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w:t>
      </w:r>
      <w:r>
        <w:rPr>
          <w:rFonts w:hint="eastAsia" w:ascii="仿宋_GB2312" w:hAnsi="仿宋_GB2312" w:eastAsia="仿宋_GB2312" w:cs="仿宋_GB2312"/>
          <w:b w:val="0"/>
          <w:bCs w:val="0"/>
          <w:sz w:val="32"/>
          <w:szCs w:val="32"/>
          <w:highlight w:val="none"/>
          <w:lang w:val="en-US" w:eastAsia="zh-CN"/>
        </w:rPr>
        <w:t>2022年实施的工程类项目，已按期完成施工，没有整改的项目。</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8、依法接受财政监督</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(1)是否按要求开展自查自纠</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中共黑水县委政法委员会按照相关部门要求，在规定时间内开展了各项自查自纠工作，并按时报送自查自纠相关材料（包括：纸质和电子版）；报告内容完整。</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(2)重点检查发现违规违纪问题</w:t>
      </w:r>
    </w:p>
    <w:p>
      <w:pPr>
        <w:spacing w:line="58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2022年中没有违规违纪问题。</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(四)整体效益方面</w:t>
      </w:r>
    </w:p>
    <w:p>
      <w:p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1、部门整体绩效</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(1)重点项目绩效评价结果</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2022年无重点项目，故</w:t>
      </w:r>
      <w:r>
        <w:rPr>
          <w:rFonts w:hint="eastAsia" w:ascii="仿宋_GB2312" w:hAnsi="仿宋_GB2312" w:eastAsia="仿宋_GB2312" w:cs="仿宋_GB2312"/>
          <w:sz w:val="32"/>
          <w:szCs w:val="32"/>
          <w:highlight w:val="none"/>
          <w:lang w:val="en-US" w:eastAsia="zh-CN"/>
        </w:rPr>
        <w:t>中共黑水县委政法委员会</w:t>
      </w:r>
      <w:r>
        <w:rPr>
          <w:rFonts w:hint="eastAsia" w:ascii="仿宋_GB2312" w:hAnsi="仿宋_GB2312" w:eastAsia="仿宋_GB2312" w:cs="仿宋_GB2312"/>
          <w:sz w:val="32"/>
          <w:szCs w:val="32"/>
          <w:lang w:val="en-US" w:eastAsia="zh-CN"/>
        </w:rPr>
        <w:t>没有被州财政局抽中进行项目绩效评价；自行进行两个专项绩效自评（</w:t>
      </w:r>
      <w:r>
        <w:rPr>
          <w:rFonts w:hint="eastAsia" w:ascii="仿宋_GB2312" w:hAnsi="仿宋_GB2312" w:eastAsia="仿宋_GB2312" w:cs="仿宋_GB2312"/>
          <w:b w:val="0"/>
          <w:bCs w:val="0"/>
          <w:sz w:val="32"/>
          <w:szCs w:val="32"/>
          <w:highlight w:val="none"/>
          <w:lang w:val="en-US" w:eastAsia="zh-CN"/>
        </w:rPr>
        <w:t>“雪亮工程”、反电信诈骗工作</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(2)效率性分析</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政策法规规定，结合本单位的实际情况，建立健全了财务管理制度和约束机制，依法、有效地使用财政资金，提高财政资金使用效率，合理分配人、财、物，完成了部门职能目标，实现了较高的工作效率和支出绩效。</w:t>
      </w:r>
    </w:p>
    <w:p>
      <w:pPr>
        <w:spacing w:line="58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(3)有效性分析</w:t>
      </w:r>
    </w:p>
    <w:p>
      <w:pPr>
        <w:spacing w:after="0" w:line="360" w:lineRule="auto"/>
        <w:ind w:firstLine="640" w:firstLineChars="200"/>
        <w:rPr>
          <w:rFonts w:hint="eastAsia"/>
          <w:lang w:val="en-US" w:eastAsia="zh-CN"/>
        </w:rPr>
      </w:pPr>
      <w:r>
        <w:rPr>
          <w:rFonts w:hint="eastAsia" w:ascii="仿宋_GB2312" w:hAnsi="仿宋_GB2312" w:eastAsia="仿宋_GB2312" w:cs="仿宋_GB2312"/>
          <w:sz w:val="32"/>
          <w:szCs w:val="32"/>
          <w:lang w:val="en-US" w:eastAsia="zh-CN"/>
        </w:rPr>
        <w:t>中共黑水县委政法委员会主要职能是:</w:t>
      </w:r>
      <w:r>
        <w:rPr>
          <w:rFonts w:hint="eastAsia" w:ascii="仿宋_GB2312" w:hAnsi="宋体" w:eastAsia="仿宋_GB2312"/>
          <w:sz w:val="32"/>
          <w:szCs w:val="32"/>
        </w:rPr>
        <w:t>根据党的路线方针政策和县委的部署，研究制定贯彻落实的具体措施，统一政法各部门的思想和行动。组织、指导维护社会稳定工作，掌握和分析社会稳定情况，协调处理突发性事件和群体性事件。检查政法部门公正廉洁执法的情况，结合实际，研究制定促进公正廉洁执法的具体办法。大力支持和严格监督政法各部门依法行使职权，指导和协调政法各部门在依法相互制约的同时密切配合</w:t>
      </w:r>
      <w:r>
        <w:rPr>
          <w:rFonts w:hint="eastAsia" w:ascii="仿宋_GB2312" w:hAnsi="宋体" w:eastAsia="仿宋_GB2312"/>
          <w:sz w:val="32"/>
          <w:szCs w:val="32"/>
          <w:lang w:val="en-US" w:eastAsia="zh-CN"/>
        </w:rPr>
        <w:t>,</w:t>
      </w:r>
      <w:r>
        <w:rPr>
          <w:rFonts w:hint="eastAsia" w:ascii="仿宋_GB2312" w:hAnsi="宋体" w:eastAsia="仿宋_GB2312"/>
          <w:sz w:val="32"/>
          <w:szCs w:val="32"/>
        </w:rPr>
        <w:t>督促大案要案的查处工作。组织、协调社会管理综合治理工作，落实平安建设措施，推进社会管理创新，营造安定的社会环境。研究加强政法队伍建设和领导班子建设的措施，协助县委及县委组织部考察、管理政法部门的领导干部。组织、推动政法部门开展党风廉政建设，协助纪检部门查处违纪违法行为。研究分析涉及政法工作的舆论情况和影响社会稳定的舆情信息，指导、协调政法宣传、舆论引导和法律服务工作。组织、指导、协调全县防范和处理“法轮功”等邪教组织的工作，分析研究邪教组织活动情况，及时提出防范和处理意见，督促、协调有关决定和措施的落实。及时向县委反映政法工作的重大情况，办理县委和州委政法委交办的其他事项。</w:t>
      </w:r>
    </w:p>
    <w:p>
      <w:pPr>
        <w:keepNext w:val="0"/>
        <w:keepLines w:val="0"/>
        <w:pageBreakBefore w:val="0"/>
        <w:numPr>
          <w:ilvl w:val="0"/>
          <w:numId w:val="3"/>
        </w:numPr>
        <w:kinsoku/>
        <w:wordWrap/>
        <w:overflowPunct/>
        <w:topLinePunct w:val="0"/>
        <w:autoSpaceDE/>
        <w:autoSpaceDN/>
        <w:bidi w:val="0"/>
        <w:adjustRightIn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评价结论及建议</w:t>
      </w:r>
    </w:p>
    <w:p>
      <w:pPr>
        <w:keepNext w:val="0"/>
        <w:keepLines w:val="0"/>
        <w:pageBreakBefore w:val="0"/>
        <w:kinsoku/>
        <w:wordWrap/>
        <w:overflowPunct/>
        <w:topLinePunct w:val="0"/>
        <w:autoSpaceDE/>
        <w:autoSpaceDN/>
        <w:bidi w:val="0"/>
        <w:adjustRightInd/>
        <w:spacing w:line="576"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0" w:firstLineChars="200"/>
        <w:jc w:val="both"/>
        <w:textAlignment w:val="auto"/>
        <w:rPr>
          <w:rFonts w:hint="eastAsia" w:eastAsia="仿宋_GB2312"/>
          <w:lang w:val="en-US" w:eastAsia="zh-CN"/>
        </w:rPr>
      </w:pPr>
      <w:r>
        <w:rPr>
          <w:rFonts w:hint="eastAsia" w:ascii="仿宋_GB2312" w:hAnsi="仿宋_GB2312" w:eastAsia="仿宋_GB2312" w:cs="仿宋_GB2312"/>
          <w:sz w:val="32"/>
          <w:szCs w:val="32"/>
          <w:highlight w:val="none"/>
          <w:lang w:val="en-US" w:eastAsia="zh-CN"/>
        </w:rPr>
        <w:t>我委部门整体绩效目标基本完整、合理的反映了部门年度职责履行情况。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540" w:firstLineChars="168"/>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存在问题</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76" w:lineRule="exact"/>
        <w:ind w:left="0" w:leftChars="0" w:firstLine="600" w:firstLineChars="200"/>
        <w:jc w:val="both"/>
        <w:textAlignment w:val="auto"/>
        <w:rPr>
          <w:rFonts w:hint="eastAsia" w:ascii="仿宋_GB2312" w:hAnsi="仿宋" w:eastAsia="仿宋_GB2312" w:cs="Times New Roman"/>
          <w:b w:val="0"/>
          <w:kern w:val="2"/>
          <w:sz w:val="30"/>
          <w:szCs w:val="30"/>
          <w:lang w:val="en-US" w:eastAsia="zh-CN" w:bidi="ar-SA"/>
        </w:rPr>
      </w:pPr>
      <w:r>
        <w:rPr>
          <w:rFonts w:hint="eastAsia" w:ascii="仿宋_GB2312" w:hAnsi="仿宋" w:eastAsia="仿宋_GB2312" w:cs="Times New Roman"/>
          <w:b w:val="0"/>
          <w:kern w:val="2"/>
          <w:sz w:val="30"/>
          <w:szCs w:val="30"/>
          <w:lang w:val="en-US" w:eastAsia="zh-CN" w:bidi="ar-SA"/>
        </w:rPr>
        <w:t>我委年初绩效目标编制质量还有待提高，部门绩效目标制定是否纳入本部门集体决策范围；项目专项评价与部门整体支出绩效在评价内容及目标完成等方面存在重复。</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421" w:firstLineChars="131"/>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（三）改进建议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00" w:firstLineChars="200"/>
        <w:jc w:val="both"/>
        <w:textAlignment w:val="auto"/>
        <w:rPr>
          <w:rFonts w:ascii="仿宋_GB2312" w:hAnsi="仿宋" w:eastAsia="仿宋_GB2312" w:cs="仿宋_GB2312"/>
          <w:sz w:val="32"/>
          <w:szCs w:val="32"/>
        </w:rPr>
      </w:pPr>
      <w:r>
        <w:rPr>
          <w:rFonts w:hint="eastAsia" w:ascii="仿宋_GB2312" w:hAnsi="仿宋" w:eastAsia="仿宋_GB2312"/>
          <w:sz w:val="30"/>
          <w:szCs w:val="30"/>
          <w:lang w:val="en-US" w:eastAsia="zh-CN"/>
        </w:rPr>
        <w:t>我委将逐步加强整改，进一步提升预算管理意识，切实提高部门预算编制科学性、准确性，从源头上抓好预算执行工作，严格控制费用支出，控制超支现象的发生。</w:t>
      </w:r>
      <w:r>
        <w:rPr>
          <w:rFonts w:hint="eastAsia" w:ascii="仿宋_GB2312" w:hAnsi="仿宋" w:eastAsia="仿宋_GB2312" w:cs="Times New Roman"/>
          <w:b w:val="0"/>
          <w:kern w:val="2"/>
          <w:sz w:val="30"/>
          <w:szCs w:val="30"/>
          <w:lang w:val="en-US" w:eastAsia="zh-CN" w:bidi="ar-SA"/>
        </w:rPr>
        <w:t>绩效目标编制质量还有待提高，</w:t>
      </w:r>
      <w:r>
        <w:rPr>
          <w:rFonts w:hint="eastAsia" w:ascii="仿宋_GB2312" w:hAnsi="仿宋" w:eastAsia="仿宋_GB2312"/>
          <w:sz w:val="30"/>
          <w:szCs w:val="30"/>
          <w:lang w:val="en-US" w:eastAsia="zh-CN"/>
        </w:rPr>
        <w:t>将</w:t>
      </w:r>
      <w:r>
        <w:rPr>
          <w:rFonts w:hint="eastAsia" w:ascii="仿宋_GB2312" w:hAnsi="仿宋" w:eastAsia="仿宋_GB2312" w:cs="Times New Roman"/>
          <w:b w:val="0"/>
          <w:kern w:val="2"/>
          <w:sz w:val="30"/>
          <w:szCs w:val="30"/>
          <w:lang w:val="en-US" w:eastAsia="zh-CN" w:bidi="ar-SA"/>
        </w:rPr>
        <w:t>我委绩效目标制定纳入本部门集体决策范围，并形成长效机制。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both"/>
        <w:textAlignment w:val="auto"/>
        <w:rPr>
          <w:rFonts w:ascii="仿宋_GB2312" w:hAnsi="仿宋_GB2312" w:eastAsia="仿宋_GB2312" w:cs="仿宋_GB2312"/>
          <w:sz w:val="32"/>
          <w:szCs w:val="32"/>
        </w:rPr>
      </w:pPr>
    </w:p>
    <w:p>
      <w:pPr>
        <w:pStyle w:val="6"/>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4500" w:firstLineChars="1500"/>
        <w:jc w:val="both"/>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中共黑水县委政法委员会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00" w:firstLineChars="200"/>
        <w:jc w:val="both"/>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lang w:val="en-US" w:eastAsia="zh-CN"/>
        </w:rPr>
        <w:t xml:space="preserve">                              2023年8月28日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长城楷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1" w:name="_GoBack"/>
    <w:bookmarkEnd w:id="1"/>
    <w:r>
      <w:rPr>
        <w:sz w:val="18"/>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D3560"/>
    <w:multiLevelType w:val="singleLevel"/>
    <w:tmpl w:val="AF1D3560"/>
    <w:lvl w:ilvl="0" w:tentative="0">
      <w:start w:val="4"/>
      <w:numFmt w:val="chineseCounting"/>
      <w:suff w:val="nothing"/>
      <w:lvlText w:val="%1、"/>
      <w:lvlJc w:val="left"/>
      <w:rPr>
        <w:rFonts w:hint="eastAsia"/>
      </w:rPr>
    </w:lvl>
  </w:abstractNum>
  <w:abstractNum w:abstractNumId="1">
    <w:nsid w:val="D6A41EB8"/>
    <w:multiLevelType w:val="singleLevel"/>
    <w:tmpl w:val="D6A41EB8"/>
    <w:lvl w:ilvl="0" w:tentative="0">
      <w:start w:val="2"/>
      <w:numFmt w:val="chineseCounting"/>
      <w:suff w:val="nothing"/>
      <w:lvlText w:val="（%1）"/>
      <w:lvlJc w:val="left"/>
      <w:rPr>
        <w:rFonts w:hint="eastAsia"/>
      </w:rPr>
    </w:lvl>
  </w:abstractNum>
  <w:abstractNum w:abstractNumId="2">
    <w:nsid w:val="10B48FAF"/>
    <w:multiLevelType w:val="singleLevel"/>
    <w:tmpl w:val="10B48FAF"/>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0MjIwMmQxMDlmNzc0M2MwNjI5YTVlMjZlYzI1OWQifQ=="/>
  </w:docVars>
  <w:rsids>
    <w:rsidRoot w:val="00491B22"/>
    <w:rsid w:val="00291808"/>
    <w:rsid w:val="00491B22"/>
    <w:rsid w:val="0052390C"/>
    <w:rsid w:val="00B64153"/>
    <w:rsid w:val="00C11EB3"/>
    <w:rsid w:val="00F81762"/>
    <w:rsid w:val="00FB7DA6"/>
    <w:rsid w:val="010E3663"/>
    <w:rsid w:val="01170C6C"/>
    <w:rsid w:val="014567BF"/>
    <w:rsid w:val="019C654E"/>
    <w:rsid w:val="01BF7C17"/>
    <w:rsid w:val="01DC1F6F"/>
    <w:rsid w:val="03B74372"/>
    <w:rsid w:val="05454628"/>
    <w:rsid w:val="05A4614E"/>
    <w:rsid w:val="0670143B"/>
    <w:rsid w:val="07770794"/>
    <w:rsid w:val="07EE48A8"/>
    <w:rsid w:val="08765F38"/>
    <w:rsid w:val="097D48E0"/>
    <w:rsid w:val="09882B95"/>
    <w:rsid w:val="09E6015A"/>
    <w:rsid w:val="0A2368BD"/>
    <w:rsid w:val="0A2D1E1D"/>
    <w:rsid w:val="0A3215B5"/>
    <w:rsid w:val="0AEB50EF"/>
    <w:rsid w:val="0AFB3AE1"/>
    <w:rsid w:val="0B8C57CB"/>
    <w:rsid w:val="0BA01548"/>
    <w:rsid w:val="0BBD43F6"/>
    <w:rsid w:val="0D280A42"/>
    <w:rsid w:val="0E32198D"/>
    <w:rsid w:val="0E3D5F44"/>
    <w:rsid w:val="0EB24820"/>
    <w:rsid w:val="0EDE6978"/>
    <w:rsid w:val="0FBB05E0"/>
    <w:rsid w:val="103B2A81"/>
    <w:rsid w:val="105C4C05"/>
    <w:rsid w:val="10B10410"/>
    <w:rsid w:val="10D84FBB"/>
    <w:rsid w:val="110E3A7A"/>
    <w:rsid w:val="11B87E0B"/>
    <w:rsid w:val="12380D25"/>
    <w:rsid w:val="12D427E8"/>
    <w:rsid w:val="12E879ED"/>
    <w:rsid w:val="12F20FB6"/>
    <w:rsid w:val="130700E3"/>
    <w:rsid w:val="133E5763"/>
    <w:rsid w:val="13592432"/>
    <w:rsid w:val="138C4898"/>
    <w:rsid w:val="138E4C4A"/>
    <w:rsid w:val="139D793F"/>
    <w:rsid w:val="14790626"/>
    <w:rsid w:val="15292BE3"/>
    <w:rsid w:val="15B53838"/>
    <w:rsid w:val="15C2534F"/>
    <w:rsid w:val="15FF2359"/>
    <w:rsid w:val="16176605"/>
    <w:rsid w:val="165654BB"/>
    <w:rsid w:val="16C53C99"/>
    <w:rsid w:val="17BE697C"/>
    <w:rsid w:val="17F56FDE"/>
    <w:rsid w:val="18521393"/>
    <w:rsid w:val="1888090C"/>
    <w:rsid w:val="189558C7"/>
    <w:rsid w:val="18D23AB5"/>
    <w:rsid w:val="198B3B29"/>
    <w:rsid w:val="1A2E5301"/>
    <w:rsid w:val="1A473F6D"/>
    <w:rsid w:val="1CA90AAF"/>
    <w:rsid w:val="1CAF17BC"/>
    <w:rsid w:val="1CE92F66"/>
    <w:rsid w:val="1D4038F1"/>
    <w:rsid w:val="1DA94D01"/>
    <w:rsid w:val="1DD144D1"/>
    <w:rsid w:val="1E9024DB"/>
    <w:rsid w:val="1F513DD3"/>
    <w:rsid w:val="1F9D29F1"/>
    <w:rsid w:val="20104F8C"/>
    <w:rsid w:val="21F9149F"/>
    <w:rsid w:val="22405E15"/>
    <w:rsid w:val="22487395"/>
    <w:rsid w:val="225E1F74"/>
    <w:rsid w:val="22DA77F5"/>
    <w:rsid w:val="23101C2D"/>
    <w:rsid w:val="23230F89"/>
    <w:rsid w:val="2346347F"/>
    <w:rsid w:val="23E029CA"/>
    <w:rsid w:val="24357B89"/>
    <w:rsid w:val="24B761F4"/>
    <w:rsid w:val="24CB3D2D"/>
    <w:rsid w:val="252D673A"/>
    <w:rsid w:val="258A7494"/>
    <w:rsid w:val="25DA3878"/>
    <w:rsid w:val="26005237"/>
    <w:rsid w:val="270D71CE"/>
    <w:rsid w:val="2719049C"/>
    <w:rsid w:val="27B3347A"/>
    <w:rsid w:val="28C533C5"/>
    <w:rsid w:val="28E94E53"/>
    <w:rsid w:val="293158EB"/>
    <w:rsid w:val="2969170C"/>
    <w:rsid w:val="296B7711"/>
    <w:rsid w:val="296E5538"/>
    <w:rsid w:val="29CB0431"/>
    <w:rsid w:val="2A830FC6"/>
    <w:rsid w:val="2A851394"/>
    <w:rsid w:val="2A9F1D60"/>
    <w:rsid w:val="2AD200F1"/>
    <w:rsid w:val="2B3468C8"/>
    <w:rsid w:val="2B645E16"/>
    <w:rsid w:val="2E2262E1"/>
    <w:rsid w:val="2E6064D6"/>
    <w:rsid w:val="2F783D8C"/>
    <w:rsid w:val="2FD36C57"/>
    <w:rsid w:val="31472D2D"/>
    <w:rsid w:val="31A57A6B"/>
    <w:rsid w:val="31C87237"/>
    <w:rsid w:val="324F4377"/>
    <w:rsid w:val="32614A6C"/>
    <w:rsid w:val="326F04F6"/>
    <w:rsid w:val="32773FAB"/>
    <w:rsid w:val="33CC7F5D"/>
    <w:rsid w:val="33D03B0A"/>
    <w:rsid w:val="340E441F"/>
    <w:rsid w:val="346816AA"/>
    <w:rsid w:val="34D51758"/>
    <w:rsid w:val="34EB1F43"/>
    <w:rsid w:val="35A07298"/>
    <w:rsid w:val="36435EC2"/>
    <w:rsid w:val="36F10ECC"/>
    <w:rsid w:val="37C2362F"/>
    <w:rsid w:val="37F53008"/>
    <w:rsid w:val="37F65E58"/>
    <w:rsid w:val="39625CE5"/>
    <w:rsid w:val="3A283EB7"/>
    <w:rsid w:val="3A994FF3"/>
    <w:rsid w:val="3AB83C6D"/>
    <w:rsid w:val="3B2A126F"/>
    <w:rsid w:val="3B8273A5"/>
    <w:rsid w:val="3B8B325F"/>
    <w:rsid w:val="3BEA3100"/>
    <w:rsid w:val="3C454197"/>
    <w:rsid w:val="3C8803C6"/>
    <w:rsid w:val="3D62073D"/>
    <w:rsid w:val="3D827C21"/>
    <w:rsid w:val="3EC90598"/>
    <w:rsid w:val="3F332CFB"/>
    <w:rsid w:val="3F5367B3"/>
    <w:rsid w:val="3FBF1B64"/>
    <w:rsid w:val="40E915F9"/>
    <w:rsid w:val="41012F0D"/>
    <w:rsid w:val="411D5C8A"/>
    <w:rsid w:val="41657637"/>
    <w:rsid w:val="417072DB"/>
    <w:rsid w:val="41B7383D"/>
    <w:rsid w:val="41C850EF"/>
    <w:rsid w:val="42942A42"/>
    <w:rsid w:val="42B75C2C"/>
    <w:rsid w:val="42E7405B"/>
    <w:rsid w:val="435D443C"/>
    <w:rsid w:val="43867EBA"/>
    <w:rsid w:val="43CB070E"/>
    <w:rsid w:val="44B228D7"/>
    <w:rsid w:val="45485D41"/>
    <w:rsid w:val="45FB04DA"/>
    <w:rsid w:val="46033ADB"/>
    <w:rsid w:val="460441D7"/>
    <w:rsid w:val="463241F8"/>
    <w:rsid w:val="46E4125D"/>
    <w:rsid w:val="46F272F3"/>
    <w:rsid w:val="470E4686"/>
    <w:rsid w:val="473A5FC9"/>
    <w:rsid w:val="47645552"/>
    <w:rsid w:val="4766286F"/>
    <w:rsid w:val="47DB51F6"/>
    <w:rsid w:val="4872106B"/>
    <w:rsid w:val="48D01874"/>
    <w:rsid w:val="48FE2E23"/>
    <w:rsid w:val="49745CFE"/>
    <w:rsid w:val="498A7B2B"/>
    <w:rsid w:val="49B775D1"/>
    <w:rsid w:val="49C441F5"/>
    <w:rsid w:val="49FE5A58"/>
    <w:rsid w:val="4A4B7EAB"/>
    <w:rsid w:val="4B936091"/>
    <w:rsid w:val="4BD832B1"/>
    <w:rsid w:val="4C067B67"/>
    <w:rsid w:val="4C14523A"/>
    <w:rsid w:val="4C780D67"/>
    <w:rsid w:val="4D742D0B"/>
    <w:rsid w:val="4DE80F4C"/>
    <w:rsid w:val="4E494C1B"/>
    <w:rsid w:val="4E4958F8"/>
    <w:rsid w:val="5088786A"/>
    <w:rsid w:val="510E1D7A"/>
    <w:rsid w:val="51634CAE"/>
    <w:rsid w:val="519A3C51"/>
    <w:rsid w:val="51CF0DA2"/>
    <w:rsid w:val="525633AC"/>
    <w:rsid w:val="52E36981"/>
    <w:rsid w:val="530A33C8"/>
    <w:rsid w:val="531E46F3"/>
    <w:rsid w:val="53A52619"/>
    <w:rsid w:val="53DD33E6"/>
    <w:rsid w:val="53E37CDA"/>
    <w:rsid w:val="54456B26"/>
    <w:rsid w:val="54C74D3D"/>
    <w:rsid w:val="552B0942"/>
    <w:rsid w:val="565E7571"/>
    <w:rsid w:val="57BB6E71"/>
    <w:rsid w:val="581A0C87"/>
    <w:rsid w:val="58AF6143"/>
    <w:rsid w:val="58F01FDD"/>
    <w:rsid w:val="58F04E73"/>
    <w:rsid w:val="5A6D01F6"/>
    <w:rsid w:val="5AB20794"/>
    <w:rsid w:val="5AF15D30"/>
    <w:rsid w:val="5B5B4ABB"/>
    <w:rsid w:val="5C6129FF"/>
    <w:rsid w:val="5C8D3FD6"/>
    <w:rsid w:val="5CF91222"/>
    <w:rsid w:val="5DC76127"/>
    <w:rsid w:val="5DE331B0"/>
    <w:rsid w:val="5E4A0B98"/>
    <w:rsid w:val="5E7F7F93"/>
    <w:rsid w:val="5F30162D"/>
    <w:rsid w:val="5F455131"/>
    <w:rsid w:val="5F61324E"/>
    <w:rsid w:val="60363E1D"/>
    <w:rsid w:val="60D032A5"/>
    <w:rsid w:val="614C5289"/>
    <w:rsid w:val="61BA61AD"/>
    <w:rsid w:val="626606C2"/>
    <w:rsid w:val="62E51C55"/>
    <w:rsid w:val="63524E0E"/>
    <w:rsid w:val="640F47F5"/>
    <w:rsid w:val="642F5808"/>
    <w:rsid w:val="643909B3"/>
    <w:rsid w:val="64861648"/>
    <w:rsid w:val="65507D36"/>
    <w:rsid w:val="65820F99"/>
    <w:rsid w:val="65B550E6"/>
    <w:rsid w:val="65E81CE4"/>
    <w:rsid w:val="65E9593F"/>
    <w:rsid w:val="66CC0F36"/>
    <w:rsid w:val="67295FD6"/>
    <w:rsid w:val="67414671"/>
    <w:rsid w:val="682643B9"/>
    <w:rsid w:val="687F18BB"/>
    <w:rsid w:val="6969194B"/>
    <w:rsid w:val="696D3850"/>
    <w:rsid w:val="69C24CAC"/>
    <w:rsid w:val="69FB7825"/>
    <w:rsid w:val="6A1A10F8"/>
    <w:rsid w:val="6AD54FD3"/>
    <w:rsid w:val="6BC908EE"/>
    <w:rsid w:val="6C57370F"/>
    <w:rsid w:val="6D297CDD"/>
    <w:rsid w:val="6D7028AD"/>
    <w:rsid w:val="6DF7296A"/>
    <w:rsid w:val="6E2B47BB"/>
    <w:rsid w:val="6E2D45C2"/>
    <w:rsid w:val="6E443A9C"/>
    <w:rsid w:val="6E78394F"/>
    <w:rsid w:val="6EBA667B"/>
    <w:rsid w:val="6F28288F"/>
    <w:rsid w:val="6F852973"/>
    <w:rsid w:val="6FA00679"/>
    <w:rsid w:val="6FB611E5"/>
    <w:rsid w:val="6FC20791"/>
    <w:rsid w:val="6FEF765C"/>
    <w:rsid w:val="7018546D"/>
    <w:rsid w:val="7155009E"/>
    <w:rsid w:val="71BF75AC"/>
    <w:rsid w:val="723905F0"/>
    <w:rsid w:val="723F0355"/>
    <w:rsid w:val="724921EE"/>
    <w:rsid w:val="725B5B42"/>
    <w:rsid w:val="72D43388"/>
    <w:rsid w:val="72D75956"/>
    <w:rsid w:val="73080D08"/>
    <w:rsid w:val="74220029"/>
    <w:rsid w:val="74661FD1"/>
    <w:rsid w:val="74CC3D7E"/>
    <w:rsid w:val="74FD782B"/>
    <w:rsid w:val="75351FE1"/>
    <w:rsid w:val="75654C85"/>
    <w:rsid w:val="75DA4692"/>
    <w:rsid w:val="768E5C10"/>
    <w:rsid w:val="76E77A71"/>
    <w:rsid w:val="77174327"/>
    <w:rsid w:val="782D110D"/>
    <w:rsid w:val="78410454"/>
    <w:rsid w:val="789E4BEF"/>
    <w:rsid w:val="792D297D"/>
    <w:rsid w:val="79D02A77"/>
    <w:rsid w:val="7A0202E5"/>
    <w:rsid w:val="7B040942"/>
    <w:rsid w:val="7BC13ECF"/>
    <w:rsid w:val="7C777081"/>
    <w:rsid w:val="7D6E4435"/>
    <w:rsid w:val="7DE606F8"/>
    <w:rsid w:val="7E651989"/>
    <w:rsid w:val="7EB308FC"/>
    <w:rsid w:val="7F46527E"/>
    <w:rsid w:val="7FA50CF8"/>
    <w:rsid w:val="7FFA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Book Antiqua" w:hAnsi="Book Antiqua" w:eastAsia="长城楷体"/>
      <w:sz w:val="32"/>
      <w:szCs w:val="20"/>
    </w:r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3469</Words>
  <Characters>3792</Characters>
  <Lines>2</Lines>
  <Paragraphs>1</Paragraphs>
  <TotalTime>0</TotalTime>
  <ScaleCrop>false</ScaleCrop>
  <LinksUpToDate>false</LinksUpToDate>
  <CharactersWithSpaces>3839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2023-11-23T15:27:56Z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26FA3CDE4DB64FA0ACCBEFA59EAEB811_12</vt:lpwstr>
  </property>
</Properties>
</file>