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0D41DE">
      <w:pPr>
        <w:keepNext w:val="0"/>
        <w:keepLines w:val="0"/>
        <w:pageBreakBefore w:val="0"/>
        <w:kinsoku/>
        <w:wordWrap/>
        <w:overflowPunct/>
        <w:topLinePunct w:val="0"/>
        <w:autoSpaceDE/>
        <w:autoSpaceDN/>
        <w:bidi w:val="0"/>
        <w:adjustRightInd w:val="0"/>
        <w:spacing w:line="560" w:lineRule="exact"/>
        <w:textAlignment w:val="auto"/>
        <w:rPr>
          <w:rFonts w:hint="eastAsia" w:ascii="仿宋_GB2312" w:hAnsi="仿宋_GB2312" w:eastAsia="仿宋_GB2312" w:cs="仿宋_GB2312"/>
          <w:color w:val="auto"/>
          <w:sz w:val="32"/>
          <w:szCs w:val="32"/>
          <w:lang w:val="en-US" w:eastAsia="zh-CN"/>
        </w:rPr>
      </w:pPr>
      <w:bookmarkStart w:id="0" w:name="_Toc15396616"/>
      <w:r>
        <w:rPr>
          <w:rFonts w:hint="eastAsia" w:ascii="仿宋_GB2312" w:hAnsi="仿宋_GB2312" w:eastAsia="仿宋_GB2312" w:cs="仿宋_GB2312"/>
          <w:color w:val="auto"/>
          <w:sz w:val="32"/>
          <w:szCs w:val="32"/>
          <w:lang w:val="en-US" w:eastAsia="zh-CN"/>
        </w:rPr>
        <w:t>附件2</w:t>
      </w:r>
    </w:p>
    <w:p w14:paraId="1D21CE98">
      <w:pPr>
        <w:ind w:right="0" w:rightChars="0"/>
        <w:jc w:val="center"/>
        <w:rPr>
          <w:rFonts w:hint="eastAsia"/>
          <w:lang w:eastAsia="zh-CN"/>
        </w:rPr>
      </w:pPr>
      <w:r>
        <w:rPr>
          <w:rFonts w:hint="eastAsia" w:ascii="方正粗宋简体" w:hAnsi="宋体" w:eastAsia="方正粗宋简体" w:cs="Times New Roman"/>
          <w:b/>
          <w:bCs/>
          <w:color w:val="FF0000"/>
          <w:w w:val="43"/>
          <w:sz w:val="154"/>
          <w:szCs w:val="154"/>
          <w:lang w:eastAsia="zh-CN"/>
        </w:rPr>
        <w:t>中共黑水县委政法委员会文</w:t>
      </w:r>
      <w:r>
        <w:rPr>
          <w:rFonts w:hint="eastAsia" w:ascii="方正粗宋简体" w:hAnsi="宋体" w:eastAsia="方正粗宋简体" w:cs="Times New Roman"/>
          <w:b/>
          <w:bCs/>
          <w:color w:val="FF0000"/>
          <w:spacing w:val="36"/>
          <w:w w:val="43"/>
          <w:sz w:val="154"/>
          <w:szCs w:val="154"/>
          <w:lang w:eastAsia="zh-CN"/>
        </w:rPr>
        <w:t>件</w:t>
      </w:r>
    </w:p>
    <w:p w14:paraId="32F37EBF">
      <w:pPr>
        <w:keepNext w:val="0"/>
        <w:keepLines w:val="0"/>
        <w:pageBreakBefore w:val="0"/>
        <w:kinsoku/>
        <w:wordWrap/>
        <w:overflowPunct/>
        <w:topLinePunct w:val="0"/>
        <w:autoSpaceDE/>
        <w:autoSpaceDN/>
        <w:bidi w:val="0"/>
        <w:snapToGrid/>
        <w:spacing w:line="540" w:lineRule="exact"/>
        <w:jc w:val="both"/>
        <w:textAlignment w:val="auto"/>
        <w:outlineLvl w:val="0"/>
        <w:rPr>
          <w:rFonts w:hint="eastAsia" w:ascii="方正小标宋简体" w:hAnsi="方正小标宋简体" w:eastAsia="方正小标宋简体" w:cs="方正小标宋简体"/>
          <w:b w:val="0"/>
          <w:bCs/>
          <w:sz w:val="44"/>
          <w:szCs w:val="44"/>
          <w:lang w:val="en-US" w:eastAsia="zh-CN"/>
        </w:rPr>
      </w:pPr>
      <w:r>
        <w:rPr>
          <w:rFonts w:ascii="Calibri" w:hAnsi="Calibri" w:eastAsia="宋体" w:cs="Times New Roman"/>
          <w:b/>
          <w:strike/>
          <w:color w:val="FF0000"/>
          <w:sz w:val="84"/>
          <w:szCs w:val="84"/>
          <w:lang w:eastAsia="zh-CN"/>
        </w:rPr>
        <w:t xml:space="preserve">       </w:t>
      </w:r>
      <w:r>
        <w:rPr>
          <w:rFonts w:hint="eastAsia" w:ascii="Calibri" w:hAnsi="Calibri" w:eastAsia="宋体" w:cs="Times New Roman"/>
          <w:b/>
          <w:strike/>
          <w:color w:val="FF0000"/>
          <w:sz w:val="84"/>
          <w:szCs w:val="84"/>
          <w:lang w:val="en-US" w:eastAsia="zh-CN"/>
        </w:rPr>
        <w:t xml:space="preserve"> </w:t>
      </w:r>
      <w:r>
        <w:rPr>
          <w:rFonts w:ascii="Calibri" w:hAnsi="Calibri" w:eastAsia="宋体" w:cs="Times New Roman"/>
          <w:b/>
          <w:strike/>
          <w:color w:val="FF0000"/>
          <w:sz w:val="84"/>
          <w:szCs w:val="84"/>
          <w:lang w:eastAsia="zh-CN"/>
        </w:rPr>
        <w:t xml:space="preserve"> </w:t>
      </w:r>
      <w:r>
        <w:rPr>
          <w:rFonts w:hint="eastAsia" w:ascii="Calibri" w:hAnsi="Calibri" w:eastAsia="宋体" w:cs="Times New Roman"/>
          <w:b/>
          <w:strike/>
          <w:color w:val="FF0000"/>
          <w:sz w:val="84"/>
          <w:szCs w:val="84"/>
          <w:lang w:val="en-US" w:eastAsia="zh-CN"/>
        </w:rPr>
        <w:t xml:space="preserve"> </w:t>
      </w:r>
      <w:r>
        <w:rPr>
          <w:rFonts w:hint="eastAsia" w:ascii="Calibri" w:hAnsi="Calibri" w:eastAsia="宋体" w:cs="Times New Roman"/>
          <w:b/>
          <w:color w:val="FF0000"/>
          <w:sz w:val="52"/>
          <w:szCs w:val="52"/>
          <w:lang w:eastAsia="zh-CN"/>
        </w:rPr>
        <w:t>★</w:t>
      </w:r>
      <w:r>
        <w:rPr>
          <w:rFonts w:ascii="Calibri" w:hAnsi="Calibri" w:eastAsia="宋体" w:cs="Times New Roman"/>
          <w:b/>
          <w:strike/>
          <w:color w:val="FF0000"/>
          <w:sz w:val="84"/>
          <w:szCs w:val="84"/>
          <w:lang w:eastAsia="zh-CN"/>
        </w:rPr>
        <w:t xml:space="preserve">  </w:t>
      </w:r>
      <w:r>
        <w:rPr>
          <w:rFonts w:hint="eastAsia" w:ascii="Calibri" w:hAnsi="Calibri" w:eastAsia="宋体" w:cs="Times New Roman"/>
          <w:b/>
          <w:strike/>
          <w:color w:val="FF0000"/>
          <w:sz w:val="84"/>
          <w:szCs w:val="84"/>
          <w:lang w:val="en-US" w:eastAsia="zh-CN"/>
        </w:rPr>
        <w:t xml:space="preserve">   </w:t>
      </w:r>
      <w:r>
        <w:rPr>
          <w:rFonts w:ascii="Calibri" w:hAnsi="Calibri" w:eastAsia="宋体" w:cs="Times New Roman"/>
          <w:b/>
          <w:strike/>
          <w:color w:val="FF0000"/>
          <w:sz w:val="84"/>
          <w:szCs w:val="84"/>
          <w:lang w:eastAsia="zh-CN"/>
        </w:rPr>
        <w:t xml:space="preserve"> </w:t>
      </w:r>
      <w:r>
        <w:rPr>
          <w:rFonts w:hint="eastAsia" w:ascii="Calibri" w:hAnsi="Calibri" w:eastAsia="宋体" w:cs="Times New Roman"/>
          <w:b/>
          <w:strike/>
          <w:color w:val="FF0000"/>
          <w:sz w:val="84"/>
          <w:szCs w:val="84"/>
          <w:lang w:val="en-US" w:eastAsia="zh-CN"/>
        </w:rPr>
        <w:t xml:space="preserve"> </w:t>
      </w:r>
      <w:r>
        <w:rPr>
          <w:rFonts w:ascii="Calibri" w:hAnsi="Calibri" w:eastAsia="宋体" w:cs="Times New Roman"/>
          <w:b/>
          <w:strike/>
          <w:color w:val="FF0000"/>
          <w:sz w:val="84"/>
          <w:szCs w:val="84"/>
          <w:lang w:eastAsia="zh-CN"/>
        </w:rPr>
        <w:t xml:space="preserve">   </w:t>
      </w:r>
    </w:p>
    <w:p w14:paraId="785F6754">
      <w:pPr>
        <w:keepNext w:val="0"/>
        <w:keepLines w:val="0"/>
        <w:pageBreakBefore w:val="0"/>
        <w:kinsoku/>
        <w:wordWrap/>
        <w:overflowPunct/>
        <w:topLinePunct w:val="0"/>
        <w:autoSpaceDE/>
        <w:autoSpaceDN/>
        <w:bidi w:val="0"/>
        <w:adjustRightInd/>
        <w:snapToGrid/>
        <w:spacing w:line="540" w:lineRule="exact"/>
        <w:jc w:val="center"/>
        <w:textAlignment w:val="auto"/>
        <w:outlineLvl w:val="0"/>
        <w:rPr>
          <w:rFonts w:hint="eastAsia" w:ascii="方正小标宋_GBK" w:hAnsi="方正小标宋_GBK" w:eastAsia="方正小标宋_GBK" w:cs="方正小标宋_GBK"/>
          <w:b w:val="0"/>
          <w:bCs/>
          <w:sz w:val="44"/>
          <w:szCs w:val="44"/>
          <w:lang w:val="en-US" w:eastAsia="zh-CN"/>
        </w:rPr>
      </w:pPr>
    </w:p>
    <w:p w14:paraId="3D9A6E59">
      <w:pPr>
        <w:keepNext w:val="0"/>
        <w:keepLines w:val="0"/>
        <w:pageBreakBefore w:val="0"/>
        <w:kinsoku/>
        <w:wordWrap/>
        <w:overflowPunct/>
        <w:topLinePunct w:val="0"/>
        <w:autoSpaceDE/>
        <w:autoSpaceDN/>
        <w:bidi w:val="0"/>
        <w:adjustRightInd/>
        <w:snapToGrid/>
        <w:spacing w:line="540" w:lineRule="exact"/>
        <w:jc w:val="center"/>
        <w:textAlignment w:val="auto"/>
        <w:outlineLvl w:val="0"/>
        <w:rPr>
          <w:rFonts w:hint="eastAsia" w:ascii="方正小标宋_GBK" w:hAnsi="方正小标宋_GBK" w:eastAsia="方正小标宋_GBK" w:cs="方正小标宋_GBK"/>
          <w:b/>
          <w:sz w:val="44"/>
          <w:szCs w:val="44"/>
        </w:rPr>
      </w:pPr>
      <w:r>
        <w:rPr>
          <w:rFonts w:hint="eastAsia" w:ascii="方正小标宋_GBK" w:hAnsi="方正小标宋_GBK" w:eastAsia="方正小标宋_GBK" w:cs="方正小标宋_GBK"/>
          <w:w w:val="95"/>
          <w:kern w:val="0"/>
          <w:sz w:val="44"/>
          <w:szCs w:val="44"/>
        </w:rPr>
        <w:t>黑水县矛盾纠纷大调解协调中心</w:t>
      </w:r>
      <w:r>
        <w:rPr>
          <w:rFonts w:hint="eastAsia" w:ascii="方正小标宋_GBK" w:hAnsi="方正小标宋_GBK" w:eastAsia="方正小标宋_GBK" w:cs="方正小标宋_GBK"/>
          <w:w w:val="95"/>
          <w:kern w:val="0"/>
          <w:sz w:val="44"/>
          <w:szCs w:val="44"/>
          <w:lang w:val="en-US" w:eastAsia="zh-CN"/>
        </w:rPr>
        <w:t xml:space="preserve"> 四川省黑水县</w:t>
      </w:r>
      <w:r>
        <w:rPr>
          <w:rFonts w:hint="eastAsia" w:ascii="方正小标宋_GBK" w:hAnsi="方正小标宋_GBK" w:eastAsia="方正小标宋_GBK" w:cs="方正小标宋_GBK"/>
          <w:kern w:val="0"/>
          <w:sz w:val="44"/>
          <w:szCs w:val="44"/>
          <w:lang w:val="en-US" w:eastAsia="zh-CN"/>
        </w:rPr>
        <w:t>公证处</w:t>
      </w:r>
      <w:r>
        <w:rPr>
          <w:rFonts w:hint="eastAsia" w:ascii="方正小标宋_GBK" w:hAnsi="方正小标宋_GBK" w:eastAsia="方正小标宋_GBK" w:cs="方正小标宋_GBK"/>
          <w:b w:val="0"/>
          <w:bCs/>
          <w:sz w:val="44"/>
          <w:szCs w:val="44"/>
        </w:rPr>
        <w:t>20</w:t>
      </w:r>
      <w:r>
        <w:rPr>
          <w:rFonts w:hint="eastAsia" w:ascii="方正小标宋_GBK" w:hAnsi="方正小标宋_GBK" w:eastAsia="方正小标宋_GBK" w:cs="方正小标宋_GBK"/>
          <w:b w:val="0"/>
          <w:bCs/>
          <w:sz w:val="44"/>
          <w:szCs w:val="44"/>
          <w:lang w:val="en-US" w:eastAsia="zh-CN"/>
        </w:rPr>
        <w:t>24</w:t>
      </w:r>
      <w:r>
        <w:rPr>
          <w:rFonts w:hint="eastAsia" w:ascii="方正小标宋_GBK" w:hAnsi="方正小标宋_GBK" w:eastAsia="方正小标宋_GBK" w:cs="方正小标宋_GBK"/>
          <w:b w:val="0"/>
          <w:bCs/>
          <w:sz w:val="44"/>
          <w:szCs w:val="44"/>
        </w:rPr>
        <w:t>年</w:t>
      </w:r>
      <w:r>
        <w:rPr>
          <w:rFonts w:hint="eastAsia" w:ascii="方正小标宋_GBK" w:hAnsi="方正小标宋_GBK" w:eastAsia="方正小标宋_GBK" w:cs="方正小标宋_GBK"/>
          <w:b w:val="0"/>
          <w:bCs/>
          <w:sz w:val="44"/>
          <w:szCs w:val="44"/>
          <w:lang w:eastAsia="zh-CN"/>
        </w:rPr>
        <w:t>度</w:t>
      </w:r>
      <w:r>
        <w:rPr>
          <w:rFonts w:hint="eastAsia" w:ascii="方正小标宋_GBK" w:hAnsi="方正小标宋_GBK" w:eastAsia="方正小标宋_GBK" w:cs="方正小标宋_GBK"/>
          <w:b w:val="0"/>
          <w:bCs/>
          <w:sz w:val="44"/>
          <w:szCs w:val="44"/>
        </w:rPr>
        <w:t>部门整体支出绩效评价报告</w:t>
      </w:r>
      <w:bookmarkEnd w:id="0"/>
    </w:p>
    <w:p w14:paraId="7F64EB55">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rPr>
      </w:pPr>
    </w:p>
    <w:p w14:paraId="3341B82B">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一、部门（单位）概况</w:t>
      </w:r>
    </w:p>
    <w:p w14:paraId="5E5208AD">
      <w:pPr>
        <w:keepNext w:val="0"/>
        <w:keepLines w:val="0"/>
        <w:pageBreakBefore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（一）机构组成。</w:t>
      </w:r>
    </w:p>
    <w:p w14:paraId="06D617FD">
      <w:pPr>
        <w:pStyle w:val="7"/>
        <w:keepNext w:val="0"/>
        <w:keepLines w:val="0"/>
        <w:pageBreakBefore w:val="0"/>
        <w:widowControl/>
        <w:kinsoku/>
        <w:wordWrap/>
        <w:overflowPunct/>
        <w:topLinePunct w:val="0"/>
        <w:autoSpaceDE/>
        <w:autoSpaceDN/>
        <w:bidi w:val="0"/>
        <w:snapToGrid/>
        <w:spacing w:before="0" w:beforeAutospacing="0" w:after="0" w:afterAutospacing="0" w:line="54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 w:eastAsia="仿宋_GB2312" w:cs="仿宋_GB2312"/>
          <w:color w:val="auto"/>
          <w:sz w:val="32"/>
          <w:szCs w:val="32"/>
        </w:rPr>
        <w:t>根据《中国共产党机构编制工作条例》和《黑水县机构改革方案》（黑委〔2024〕</w:t>
      </w:r>
      <w:r>
        <w:rPr>
          <w:rFonts w:hint="eastAsia" w:ascii="仿宋_GB2312" w:hAnsi="仿宋" w:eastAsia="仿宋_GB2312" w:cs="仿宋_GB2312"/>
          <w:color w:val="auto"/>
          <w:sz w:val="32"/>
          <w:szCs w:val="32"/>
          <w:lang w:val="en-US" w:eastAsia="zh-CN"/>
        </w:rPr>
        <w:t>42</w:t>
      </w:r>
      <w:r>
        <w:rPr>
          <w:rFonts w:hint="eastAsia" w:ascii="仿宋_GB2312" w:hAnsi="仿宋" w:eastAsia="仿宋_GB2312" w:cs="仿宋_GB2312"/>
          <w:color w:val="auto"/>
          <w:sz w:val="32"/>
          <w:szCs w:val="32"/>
        </w:rPr>
        <w:t>号）以及中央、省委、州委</w:t>
      </w:r>
      <w:r>
        <w:rPr>
          <w:rFonts w:hint="eastAsia" w:ascii="仿宋_GB2312" w:hAnsi="仿宋" w:eastAsia="仿宋_GB2312" w:cs="仿宋_GB2312"/>
          <w:color w:val="auto"/>
          <w:sz w:val="32"/>
          <w:szCs w:val="32"/>
          <w:lang w:eastAsia="zh-CN"/>
        </w:rPr>
        <w:t>、</w:t>
      </w:r>
      <w:r>
        <w:rPr>
          <w:rFonts w:hint="eastAsia" w:ascii="仿宋_GB2312" w:hAnsi="仿宋" w:eastAsia="仿宋_GB2312" w:cs="仿宋_GB2312"/>
          <w:color w:val="auto"/>
          <w:sz w:val="32"/>
          <w:szCs w:val="32"/>
        </w:rPr>
        <w:t>县委对政法、司法行政工作的有关要求</w:t>
      </w:r>
      <w:r>
        <w:rPr>
          <w:rFonts w:hint="eastAsia" w:ascii="仿宋_GB2312" w:hAnsi="仿宋" w:eastAsia="仿宋_GB2312" w:cs="仿宋_GB2312"/>
          <w:color w:val="auto"/>
          <w:sz w:val="32"/>
          <w:szCs w:val="32"/>
          <w:lang w:eastAsia="zh-CN"/>
        </w:rPr>
        <w:t>，</w:t>
      </w:r>
      <w:r>
        <w:rPr>
          <w:rFonts w:hint="eastAsia" w:ascii="仿宋_GB2312" w:hAnsi="仿宋" w:eastAsia="仿宋_GB2312" w:cs="仿宋_GB2312"/>
          <w:color w:val="auto"/>
          <w:sz w:val="32"/>
          <w:szCs w:val="32"/>
        </w:rPr>
        <w:t>县委政法委</w:t>
      </w:r>
      <w:r>
        <w:rPr>
          <w:rFonts w:hint="eastAsia" w:ascii="仿宋_GB2312" w:hAnsi="仿宋" w:eastAsia="仿宋_GB2312" w:cs="仿宋_GB2312"/>
          <w:color w:val="auto"/>
          <w:sz w:val="32"/>
          <w:szCs w:val="32"/>
          <w:lang w:eastAsia="zh-CN"/>
        </w:rPr>
        <w:t>与</w:t>
      </w:r>
      <w:r>
        <w:rPr>
          <w:rFonts w:hint="eastAsia" w:ascii="仿宋_GB2312" w:hAnsi="仿宋" w:eastAsia="仿宋_GB2312" w:cs="仿宋_GB2312"/>
          <w:color w:val="auto"/>
          <w:sz w:val="32"/>
          <w:szCs w:val="32"/>
        </w:rPr>
        <w:t>县司法局合署办公，实行一套工作机构，两个机关名称。</w:t>
      </w:r>
      <w:r>
        <w:rPr>
          <w:rFonts w:hint="eastAsia" w:ascii="仿宋_GB2312" w:hAnsi="仿宋_GB2312" w:eastAsia="仿宋_GB2312" w:cs="仿宋_GB2312"/>
          <w:color w:val="auto"/>
          <w:kern w:val="2"/>
          <w:sz w:val="32"/>
          <w:szCs w:val="32"/>
          <w:lang w:val="en-US" w:eastAsia="zh-CN" w:bidi="ar-SA"/>
        </w:rPr>
        <w:t>黑水县矛盾纠纷大调解协调中心（四川省黑水县公证处）属县委政法委（县司法局）直属事业单位。</w:t>
      </w:r>
    </w:p>
    <w:p w14:paraId="3A0091D5">
      <w:pPr>
        <w:keepNext w:val="0"/>
        <w:keepLines w:val="0"/>
        <w:pageBreakBefore w:val="0"/>
        <w:numPr>
          <w:ilvl w:val="0"/>
          <w:numId w:val="0"/>
        </w:numPr>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b/>
          <w:color w:val="auto"/>
          <w:sz w:val="32"/>
          <w:szCs w:val="32"/>
        </w:rPr>
      </w:pPr>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rPr>
        <w:t>主要职能</w:t>
      </w:r>
      <w:r>
        <w:rPr>
          <w:rFonts w:hint="eastAsia" w:ascii="仿宋_GB2312" w:hAnsi="仿宋_GB2312" w:eastAsia="仿宋_GB2312" w:cs="仿宋_GB2312"/>
          <w:b/>
          <w:color w:val="auto"/>
          <w:sz w:val="32"/>
          <w:szCs w:val="32"/>
        </w:rPr>
        <w:t>。</w:t>
      </w:r>
    </w:p>
    <w:p w14:paraId="0905188E">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3" w:firstLineChars="200"/>
        <w:textAlignment w:val="auto"/>
        <w:rPr>
          <w:rFonts w:hint="eastAsia" w:ascii="方正仿宋_GBK" w:hAnsi="方正仿宋_GBK" w:eastAsia="方正仿宋_GBK" w:cs="方正仿宋_GBK"/>
          <w:sz w:val="32"/>
          <w:szCs w:val="32"/>
          <w:lang w:eastAsia="zh-CN"/>
        </w:rPr>
      </w:pPr>
      <w:r>
        <w:rPr>
          <w:rFonts w:hint="eastAsia" w:ascii="仿宋_GB2312" w:hAnsi="仿宋_GB2312" w:eastAsia="仿宋_GB2312" w:cs="仿宋_GB2312"/>
          <w:b/>
          <w:bCs/>
          <w:sz w:val="32"/>
          <w:szCs w:val="32"/>
        </w:rPr>
        <w:t>县</w:t>
      </w:r>
      <w:r>
        <w:rPr>
          <w:rFonts w:hint="eastAsia" w:ascii="仿宋_GB2312" w:hAnsi="仿宋_GB2312" w:eastAsia="仿宋_GB2312" w:cs="仿宋_GB2312"/>
          <w:b/>
          <w:bCs/>
          <w:sz w:val="32"/>
          <w:szCs w:val="32"/>
          <w:lang w:eastAsia="zh-CN"/>
        </w:rPr>
        <w:t>矛盾纠纷大调解协调中心：</w:t>
      </w:r>
      <w:r>
        <w:rPr>
          <w:rFonts w:hint="eastAsia" w:ascii="仿宋_GB2312" w:hAnsi="仿宋_GB2312" w:eastAsia="仿宋_GB2312" w:cs="仿宋_GB2312"/>
          <w:sz w:val="32"/>
          <w:szCs w:val="32"/>
        </w:rPr>
        <w:t>处理矛盾纠纷多元化解</w:t>
      </w:r>
      <w:r>
        <w:rPr>
          <w:rFonts w:hint="eastAsia" w:ascii="仿宋_GB2312" w:hAnsi="仿宋_GB2312" w:eastAsia="仿宋_GB2312" w:cs="仿宋_GB2312"/>
          <w:sz w:val="32"/>
          <w:szCs w:val="32"/>
          <w:lang w:val="en-US" w:eastAsia="zh-CN"/>
        </w:rPr>
        <w:t>协调</w:t>
      </w:r>
      <w:r>
        <w:rPr>
          <w:rFonts w:hint="eastAsia" w:ascii="方正仿宋_GBK" w:hAnsi="方正仿宋_GBK" w:eastAsia="方正仿宋_GBK" w:cs="方正仿宋_GBK"/>
          <w:sz w:val="32"/>
          <w:szCs w:val="32"/>
          <w:lang w:val="en-US" w:eastAsia="zh-CN"/>
        </w:rPr>
        <w:t>办公室</w:t>
      </w:r>
      <w:r>
        <w:rPr>
          <w:rFonts w:hint="eastAsia" w:ascii="方正仿宋_GBK" w:hAnsi="方正仿宋_GBK" w:eastAsia="方正仿宋_GBK" w:cs="方正仿宋_GBK"/>
          <w:sz w:val="32"/>
          <w:szCs w:val="32"/>
        </w:rPr>
        <w:t>的日常工作；制定并落实矛盾纠</w:t>
      </w:r>
      <w:r>
        <w:rPr>
          <w:rFonts w:hint="eastAsia" w:ascii="仿宋_GB2312" w:hAnsi="仿宋_GB2312" w:eastAsia="仿宋_GB2312" w:cs="仿宋_GB2312"/>
          <w:sz w:val="32"/>
          <w:szCs w:val="32"/>
        </w:rPr>
        <w:t>纷多元化解中</w:t>
      </w:r>
      <w:r>
        <w:rPr>
          <w:rFonts w:hint="eastAsia" w:ascii="方正仿宋_GBK" w:hAnsi="方正仿宋_GBK" w:eastAsia="方正仿宋_GBK" w:cs="方正仿宋_GBK"/>
          <w:sz w:val="32"/>
          <w:szCs w:val="32"/>
        </w:rPr>
        <w:t>心的各项工作规划；</w:t>
      </w:r>
      <w:r>
        <w:rPr>
          <w:rFonts w:hint="eastAsia" w:ascii="方正仿宋_GBK" w:hAnsi="方正仿宋_GBK" w:eastAsia="方正仿宋_GBK" w:cs="方正仿宋_GBK"/>
          <w:sz w:val="32"/>
          <w:szCs w:val="32"/>
          <w:lang w:eastAsia="zh-CN"/>
        </w:rPr>
        <w:t>开展矛盾</w:t>
      </w:r>
      <w:r>
        <w:rPr>
          <w:rFonts w:hint="eastAsia" w:ascii="方正仿宋_GBK" w:hAnsi="方正仿宋_GBK" w:eastAsia="方正仿宋_GBK" w:cs="方正仿宋_GBK"/>
          <w:sz w:val="32"/>
          <w:szCs w:val="32"/>
        </w:rPr>
        <w:t>纠纷多元化解</w:t>
      </w:r>
      <w:r>
        <w:rPr>
          <w:rFonts w:hint="eastAsia" w:ascii="方正仿宋_GBK" w:hAnsi="方正仿宋_GBK" w:eastAsia="方正仿宋_GBK" w:cs="方正仿宋_GBK"/>
          <w:sz w:val="32"/>
          <w:szCs w:val="32"/>
          <w:lang w:eastAsia="zh-CN"/>
        </w:rPr>
        <w:t>工作，</w:t>
      </w:r>
      <w:r>
        <w:rPr>
          <w:rFonts w:hint="eastAsia" w:ascii="方正仿宋_GBK" w:hAnsi="方正仿宋_GBK" w:eastAsia="方正仿宋_GBK" w:cs="方正仿宋_GBK"/>
          <w:sz w:val="32"/>
          <w:szCs w:val="32"/>
        </w:rPr>
        <w:t>对各单位</w:t>
      </w:r>
      <w:r>
        <w:rPr>
          <w:rFonts w:hint="eastAsia" w:ascii="方正仿宋_GBK" w:hAnsi="方正仿宋_GBK" w:eastAsia="方正仿宋_GBK" w:cs="方正仿宋_GBK"/>
          <w:sz w:val="32"/>
          <w:szCs w:val="32"/>
          <w:lang w:eastAsia="zh-CN"/>
        </w:rPr>
        <w:t>的机关效能</w:t>
      </w:r>
      <w:r>
        <w:rPr>
          <w:rFonts w:hint="eastAsia" w:ascii="方正仿宋_GBK" w:hAnsi="方正仿宋_GBK" w:eastAsia="方正仿宋_GBK" w:cs="方正仿宋_GBK"/>
          <w:sz w:val="32"/>
          <w:szCs w:val="32"/>
        </w:rPr>
        <w:t>实施监察和协调指导；负责承办来文传阅、领导小组综合性文稿的起草及处理督办等工作；负责搜集各种渠道的信息，了解矛盾纠纷多元化解工作进展的情况及存在问题，当好领导的参谋和助手；组织评议各单位及其工作人员的机关效能工作，总结推广先进经验</w:t>
      </w:r>
      <w:r>
        <w:rPr>
          <w:rFonts w:hint="eastAsia" w:ascii="方正仿宋_GBK" w:hAnsi="方正仿宋_GBK" w:eastAsia="方正仿宋_GBK" w:cs="方正仿宋_GBK"/>
          <w:sz w:val="32"/>
          <w:szCs w:val="32"/>
          <w:lang w:eastAsia="zh-CN"/>
        </w:rPr>
        <w:t>。</w:t>
      </w:r>
    </w:p>
    <w:p w14:paraId="3549E762">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sz w:val="32"/>
          <w:szCs w:val="32"/>
          <w:lang w:val="en-US" w:eastAsia="zh-CN"/>
        </w:rPr>
        <w:t>县公证处：</w:t>
      </w:r>
      <w:r>
        <w:rPr>
          <w:rFonts w:hint="eastAsia" w:ascii="仿宋_GB2312" w:hAnsi="仿宋_GB2312" w:eastAsia="仿宋_GB2312" w:cs="仿宋_GB2312"/>
          <w:color w:val="auto"/>
          <w:sz w:val="32"/>
          <w:szCs w:val="32"/>
          <w:lang w:val="en-US" w:eastAsia="zh-CN"/>
        </w:rPr>
        <w:t>办理公证事务，出具公</w:t>
      </w:r>
      <w:r>
        <w:rPr>
          <w:rFonts w:hint="eastAsia" w:ascii="仿宋_GB2312" w:hAnsi="仿宋_GB2312" w:eastAsia="仿宋_GB2312" w:cs="仿宋_GB2312"/>
          <w:color w:val="auto"/>
          <w:sz w:val="32"/>
          <w:szCs w:val="32"/>
        </w:rPr>
        <w:t>证证明。如公证经济合同、收养、遗嘱等法律行为，公证学历、出生、亲属关系等有法律意义的事实和文书，赋予债权文书具有强制执行效力，办理保全证据和提存公证等；向社会提供法律服务。除办理公证事务外，公证法律服务的内容还包括：解答法律咨询，代写法律文书，代当事人保管遗嘱、文件和其他贵重物品，清点、封存遗产，调解公证事项的纠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参与当事人之间的谈判和其他经济活动，进行回访监督，提出公证建议，担任法律顾问，代办与公证有关的法律手续等；对社会性活动实施法律监督。</w:t>
      </w:r>
      <w:r>
        <w:rPr>
          <w:rFonts w:hint="eastAsia" w:ascii="仿宋_GB2312" w:hAnsi="仿宋_GB2312" w:eastAsia="仿宋_GB2312" w:cs="仿宋_GB2312"/>
          <w:color w:val="auto"/>
          <w:sz w:val="32"/>
          <w:szCs w:val="32"/>
          <w:lang w:eastAsia="zh-CN"/>
        </w:rPr>
        <w:t>对</w:t>
      </w:r>
      <w:r>
        <w:rPr>
          <w:rFonts w:hint="eastAsia" w:ascii="仿宋_GB2312" w:hAnsi="仿宋_GB2312" w:eastAsia="仿宋_GB2312" w:cs="仿宋_GB2312"/>
          <w:color w:val="auto"/>
          <w:sz w:val="32"/>
          <w:szCs w:val="32"/>
        </w:rPr>
        <w:t>招标投标、拍卖、</w:t>
      </w:r>
      <w:r>
        <w:rPr>
          <w:rFonts w:hint="eastAsia" w:ascii="仿宋_GB2312" w:hAnsi="仿宋_GB2312" w:eastAsia="仿宋_GB2312" w:cs="仿宋_GB2312"/>
          <w:color w:val="auto"/>
          <w:sz w:val="32"/>
          <w:szCs w:val="32"/>
          <w:lang w:eastAsia="zh-CN"/>
        </w:rPr>
        <w:t>面向社会的</w:t>
      </w:r>
      <w:r>
        <w:rPr>
          <w:rFonts w:hint="eastAsia" w:ascii="仿宋_GB2312" w:hAnsi="仿宋_GB2312" w:eastAsia="仿宋_GB2312" w:cs="仿宋_GB2312"/>
          <w:color w:val="auto"/>
          <w:sz w:val="32"/>
          <w:szCs w:val="32"/>
        </w:rPr>
        <w:t>竞赛活动、商品的抽样检测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 xml:space="preserve">股份公司创立大会、公司股东大会等与公众或社会经济生活有密切关系的社会活动进行公证监督，以维护正常的经济秩序。     </w:t>
      </w:r>
    </w:p>
    <w:p w14:paraId="3B0A3BC9">
      <w:pPr>
        <w:keepNext w:val="0"/>
        <w:keepLines w:val="0"/>
        <w:pageBreakBefore w:val="0"/>
        <w:widowControl w:val="0"/>
        <w:numPr>
          <w:ilvl w:val="0"/>
          <w:numId w:val="1"/>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人员概况。</w:t>
      </w:r>
    </w:p>
    <w:p w14:paraId="4B128C84">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kern w:val="2"/>
          <w:sz w:val="32"/>
          <w:szCs w:val="32"/>
          <w:lang w:val="en-US" w:eastAsia="zh-CN" w:bidi="ar-SA"/>
        </w:rPr>
        <w:t>本单位</w:t>
      </w:r>
      <w:r>
        <w:rPr>
          <w:rFonts w:hint="eastAsia" w:ascii="仿宋_GB2312" w:hAnsi="仿宋_GB2312" w:eastAsia="仿宋_GB2312" w:cs="仿宋_GB2312"/>
          <w:sz w:val="32"/>
          <w:szCs w:val="32"/>
          <w:lang w:val="en-US" w:eastAsia="zh-CN"/>
        </w:rPr>
        <w:t>事业编制10名，</w:t>
      </w:r>
      <w:r>
        <w:rPr>
          <w:rFonts w:hint="eastAsia" w:ascii="仿宋_GB2312" w:hAnsi="仿宋_GB2312" w:eastAsia="仿宋_GB2312" w:cs="仿宋_GB2312"/>
          <w:color w:val="auto"/>
          <w:sz w:val="32"/>
          <w:szCs w:val="32"/>
          <w:lang w:val="en-US" w:eastAsia="zh-CN"/>
        </w:rPr>
        <w:t>年末在岗在编</w:t>
      </w:r>
      <w:r>
        <w:rPr>
          <w:rFonts w:hint="eastAsia" w:ascii="仿宋_GB2312" w:hAnsi="仿宋_GB2312" w:eastAsia="仿宋_GB2312" w:cs="仿宋_GB2312"/>
          <w:sz w:val="32"/>
          <w:szCs w:val="32"/>
          <w:lang w:val="en-US" w:eastAsia="zh-CN"/>
        </w:rPr>
        <w:t>职工人数为8人，</w:t>
      </w:r>
      <w:r>
        <w:rPr>
          <w:rFonts w:hint="eastAsia" w:ascii="仿宋_GB2312" w:hAnsi="仿宋_GB2312" w:eastAsia="仿宋_GB2312" w:cs="仿宋_GB2312"/>
          <w:color w:val="auto"/>
          <w:sz w:val="32"/>
          <w:szCs w:val="32"/>
          <w:lang w:eastAsia="zh-CN"/>
        </w:rPr>
        <w:t>年末</w:t>
      </w:r>
      <w:r>
        <w:rPr>
          <w:rFonts w:hint="eastAsia" w:ascii="仿宋_GB2312" w:hAnsi="仿宋_GB2312" w:eastAsia="仿宋_GB2312" w:cs="仿宋_GB2312"/>
          <w:color w:val="auto"/>
          <w:sz w:val="32"/>
          <w:szCs w:val="32"/>
        </w:rPr>
        <w:t>退休</w:t>
      </w:r>
      <w:r>
        <w:rPr>
          <w:rFonts w:hint="eastAsia" w:ascii="仿宋_GB2312" w:hAnsi="仿宋_GB2312" w:eastAsia="仿宋_GB2312" w:cs="仿宋_GB2312"/>
          <w:color w:val="auto"/>
          <w:sz w:val="32"/>
          <w:szCs w:val="32"/>
          <w:lang w:eastAsia="zh-CN"/>
        </w:rPr>
        <w:t>职工</w:t>
      </w:r>
      <w:r>
        <w:rPr>
          <w:rFonts w:hint="eastAsia" w:ascii="仿宋_GB2312" w:hAnsi="仿宋_GB2312" w:eastAsia="仿宋_GB2312" w:cs="仿宋_GB2312"/>
          <w:sz w:val="32"/>
          <w:szCs w:val="32"/>
          <w:lang w:eastAsia="zh-CN"/>
        </w:rPr>
        <w:t>人数为</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w:t>
      </w:r>
    </w:p>
    <w:p w14:paraId="68E3B14A">
      <w:pPr>
        <w:keepNext w:val="0"/>
        <w:keepLines w:val="0"/>
        <w:pageBreakBefore w:val="0"/>
        <w:widowControl w:val="0"/>
        <w:numPr>
          <w:ilvl w:val="0"/>
          <w:numId w:val="2"/>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部门财政资金收支情况</w:t>
      </w:r>
    </w:p>
    <w:p w14:paraId="09A2BDE6">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 w:eastAsia="仿宋_GB2312" w:cs="仿宋_GB2312"/>
          <w:color w:val="auto"/>
          <w:w w:val="100"/>
          <w:sz w:val="32"/>
          <w:szCs w:val="32"/>
          <w:lang w:eastAsia="zh-CN"/>
        </w:rPr>
      </w:pPr>
      <w:r>
        <w:rPr>
          <w:rFonts w:hint="eastAsia" w:ascii="楷体_GB2312" w:hAnsi="楷体_GB2312" w:eastAsia="楷体_GB2312" w:cs="楷体_GB2312"/>
          <w:b/>
          <w:bCs/>
          <w:color w:val="auto"/>
          <w:sz w:val="32"/>
          <w:szCs w:val="32"/>
          <w:lang w:eastAsia="zh-CN"/>
        </w:rPr>
        <w:t>（一）</w:t>
      </w:r>
      <w:r>
        <w:rPr>
          <w:rFonts w:hint="eastAsia" w:ascii="楷体_GB2312" w:hAnsi="楷体_GB2312" w:eastAsia="楷体_GB2312" w:cs="楷体_GB2312"/>
          <w:b/>
          <w:bCs/>
          <w:color w:val="auto"/>
          <w:sz w:val="32"/>
          <w:szCs w:val="32"/>
        </w:rPr>
        <w:t>部门财政资金收入情况</w:t>
      </w:r>
      <w:r>
        <w:rPr>
          <w:rFonts w:hint="eastAsia" w:ascii="楷体_GB2312" w:hAnsi="楷体_GB2312" w:eastAsia="楷体_GB2312" w:cs="楷体_GB2312"/>
          <w:b/>
          <w:bCs/>
          <w:color w:val="auto"/>
          <w:sz w:val="32"/>
          <w:szCs w:val="32"/>
          <w:lang w:eastAsia="zh-CN"/>
        </w:rPr>
        <w:t>。</w:t>
      </w:r>
      <w:r>
        <w:rPr>
          <w:rFonts w:hint="eastAsia" w:ascii="仿宋_GB2312" w:hAnsi="仿宋" w:eastAsia="仿宋_GB2312"/>
          <w:sz w:val="32"/>
          <w:szCs w:val="32"/>
        </w:rPr>
        <w:t>202</w:t>
      </w:r>
      <w:r>
        <w:rPr>
          <w:rFonts w:hint="eastAsia" w:ascii="仿宋_GB2312" w:hAnsi="仿宋" w:eastAsia="仿宋_GB2312"/>
          <w:sz w:val="32"/>
          <w:szCs w:val="32"/>
          <w:lang w:val="en-US" w:eastAsia="zh-CN"/>
        </w:rPr>
        <w:t>4</w:t>
      </w:r>
      <w:r>
        <w:rPr>
          <w:rFonts w:hint="eastAsia" w:ascii="仿宋_GB2312" w:hAnsi="仿宋" w:eastAsia="仿宋_GB2312"/>
          <w:sz w:val="32"/>
          <w:szCs w:val="32"/>
        </w:rPr>
        <w:t>年收入总计</w:t>
      </w:r>
      <w:r>
        <w:rPr>
          <w:rFonts w:hint="eastAsia" w:ascii="仿宋_GB2312" w:hAnsi="仿宋" w:eastAsia="仿宋_GB2312"/>
          <w:sz w:val="32"/>
          <w:szCs w:val="32"/>
          <w:lang w:val="en-US" w:eastAsia="zh-CN"/>
        </w:rPr>
        <w:t>188.63</w:t>
      </w:r>
      <w:r>
        <w:rPr>
          <w:rFonts w:hint="eastAsia" w:ascii="仿宋_GB2312" w:hAnsi="仿宋" w:eastAsia="仿宋_GB2312"/>
          <w:sz w:val="32"/>
          <w:szCs w:val="32"/>
        </w:rPr>
        <w:t>万元，与202</w:t>
      </w:r>
      <w:r>
        <w:rPr>
          <w:rFonts w:hint="eastAsia" w:ascii="仿宋_GB2312" w:hAnsi="仿宋" w:eastAsia="仿宋_GB2312"/>
          <w:sz w:val="32"/>
          <w:szCs w:val="32"/>
          <w:lang w:val="en-US" w:eastAsia="zh-CN"/>
        </w:rPr>
        <w:t>3</w:t>
      </w:r>
      <w:r>
        <w:rPr>
          <w:rFonts w:hint="eastAsia" w:ascii="仿宋_GB2312" w:hAnsi="仿宋" w:eastAsia="仿宋_GB2312"/>
          <w:sz w:val="32"/>
          <w:szCs w:val="32"/>
        </w:rPr>
        <w:t>年</w:t>
      </w:r>
      <w:r>
        <w:rPr>
          <w:rFonts w:hint="eastAsia" w:ascii="仿宋_GB2312" w:hAnsi="仿宋" w:eastAsia="仿宋_GB2312"/>
          <w:sz w:val="32"/>
          <w:szCs w:val="32"/>
          <w:lang w:val="en-US" w:eastAsia="zh-CN"/>
        </w:rPr>
        <w:t>85.49万元</w:t>
      </w:r>
      <w:r>
        <w:rPr>
          <w:rFonts w:hint="eastAsia" w:ascii="仿宋_GB2312" w:hAnsi="仿宋" w:eastAsia="仿宋_GB2312"/>
          <w:sz w:val="32"/>
          <w:szCs w:val="32"/>
        </w:rPr>
        <w:t>相比，</w:t>
      </w:r>
      <w:r>
        <w:rPr>
          <w:rFonts w:hint="eastAsia" w:ascii="仿宋_GB2312" w:hAnsi="仿宋" w:eastAsia="仿宋_GB2312"/>
          <w:sz w:val="32"/>
          <w:szCs w:val="32"/>
          <w:lang w:eastAsia="zh-CN"/>
        </w:rPr>
        <w:t>增加</w:t>
      </w:r>
      <w:r>
        <w:rPr>
          <w:rFonts w:hint="eastAsia" w:ascii="仿宋_GB2312" w:hAnsi="仿宋" w:eastAsia="仿宋_GB2312"/>
          <w:sz w:val="32"/>
          <w:szCs w:val="32"/>
          <w:lang w:val="en-US" w:eastAsia="zh-CN"/>
        </w:rPr>
        <w:t>103.14</w:t>
      </w:r>
      <w:r>
        <w:rPr>
          <w:rFonts w:hint="eastAsia" w:ascii="仿宋_GB2312" w:hAnsi="仿宋" w:eastAsia="仿宋_GB2312"/>
          <w:sz w:val="32"/>
          <w:szCs w:val="32"/>
        </w:rPr>
        <w:t>万元，</w:t>
      </w:r>
      <w:r>
        <w:rPr>
          <w:rFonts w:hint="eastAsia" w:ascii="仿宋_GB2312" w:hAnsi="仿宋" w:eastAsia="仿宋_GB2312"/>
          <w:sz w:val="32"/>
          <w:szCs w:val="32"/>
          <w:lang w:eastAsia="zh-CN"/>
        </w:rPr>
        <w:t>增长</w:t>
      </w:r>
      <w:r>
        <w:rPr>
          <w:rFonts w:hint="eastAsia" w:ascii="仿宋_GB2312" w:hAnsi="仿宋" w:eastAsia="仿宋_GB2312"/>
          <w:sz w:val="32"/>
          <w:szCs w:val="32"/>
          <w:lang w:val="en-US" w:eastAsia="zh-CN"/>
        </w:rPr>
        <w:t>120.65</w:t>
      </w:r>
      <w:r>
        <w:rPr>
          <w:rFonts w:hint="eastAsia" w:ascii="仿宋_GB2312" w:hAnsi="仿宋" w:eastAsia="仿宋_GB2312"/>
          <w:sz w:val="32"/>
          <w:szCs w:val="32"/>
        </w:rPr>
        <w:t>%</w:t>
      </w:r>
      <w:r>
        <w:rPr>
          <w:rFonts w:hint="eastAsia" w:ascii="仿宋_GB2312" w:hAnsi="仿宋" w:eastAsia="仿宋_GB2312"/>
          <w:sz w:val="32"/>
          <w:szCs w:val="32"/>
          <w:lang w:eastAsia="zh-CN"/>
        </w:rPr>
        <w:t>。</w:t>
      </w:r>
      <w:r>
        <w:rPr>
          <w:rFonts w:hint="eastAsia" w:ascii="仿宋_GB2312" w:hAnsi="仿宋" w:eastAsia="仿宋_GB2312"/>
          <w:b/>
          <w:bCs/>
          <w:sz w:val="32"/>
          <w:szCs w:val="32"/>
        </w:rPr>
        <w:t>主要原因是</w:t>
      </w:r>
      <w:r>
        <w:rPr>
          <w:rFonts w:hint="eastAsia" w:ascii="仿宋_GB2312" w:hAnsi="仿宋" w:eastAsia="仿宋_GB2312"/>
          <w:b/>
          <w:bCs/>
          <w:sz w:val="32"/>
          <w:szCs w:val="32"/>
          <w:lang w:eastAsia="zh-CN"/>
        </w:rPr>
        <w:t>：</w:t>
      </w:r>
      <w:r>
        <w:rPr>
          <w:rFonts w:hint="eastAsia" w:ascii="仿宋_GB2312" w:hAnsi="楷体_GB2312" w:eastAsia="仿宋_GB2312" w:cs="楷体_GB2312"/>
          <w:bCs/>
          <w:color w:val="auto"/>
          <w:w w:val="100"/>
          <w:sz w:val="32"/>
          <w:szCs w:val="32"/>
          <w:lang w:val="en-US" w:eastAsia="zh-CN"/>
        </w:rPr>
        <w:t>2024年</w:t>
      </w:r>
      <w:r>
        <w:rPr>
          <w:rFonts w:hint="eastAsia" w:ascii="仿宋_GB2312" w:hAnsi="楷体_GB2312" w:eastAsia="仿宋_GB2312" w:cs="楷体_GB2312"/>
          <w:bCs/>
          <w:color w:val="auto"/>
          <w:w w:val="100"/>
          <w:sz w:val="32"/>
          <w:szCs w:val="32"/>
          <w:lang w:eastAsia="zh-CN"/>
        </w:rPr>
        <w:t>小县</w:t>
      </w:r>
      <w:r>
        <w:rPr>
          <w:rFonts w:hint="eastAsia" w:ascii="仿宋_GB2312" w:hAnsi="仿宋_GB2312" w:eastAsia="仿宋_GB2312" w:cs="仿宋_GB2312"/>
          <w:w w:val="100"/>
          <w:sz w:val="32"/>
          <w:lang w:val="en-US" w:eastAsia="zh-CN"/>
        </w:rPr>
        <w:t>机构改革，</w:t>
      </w:r>
      <w:r>
        <w:rPr>
          <w:rFonts w:hint="eastAsia" w:ascii="仿宋_GB2312" w:hAnsi="仿宋" w:eastAsia="仿宋_GB2312" w:cs="仿宋_GB2312"/>
          <w:color w:val="auto"/>
          <w:w w:val="100"/>
          <w:sz w:val="32"/>
          <w:szCs w:val="32"/>
        </w:rPr>
        <w:t>县</w:t>
      </w:r>
      <w:r>
        <w:rPr>
          <w:rFonts w:hint="eastAsia" w:ascii="仿宋_GB2312" w:hAnsi="仿宋" w:eastAsia="仿宋_GB2312" w:cs="仿宋_GB2312"/>
          <w:color w:val="auto"/>
          <w:w w:val="100"/>
          <w:sz w:val="32"/>
          <w:szCs w:val="32"/>
          <w:lang w:eastAsia="zh-CN"/>
        </w:rPr>
        <w:t>矛调中心与</w:t>
      </w:r>
      <w:r>
        <w:rPr>
          <w:rFonts w:hint="eastAsia" w:ascii="仿宋_GB2312" w:hAnsi="仿宋" w:eastAsia="仿宋_GB2312" w:cs="仿宋_GB2312"/>
          <w:color w:val="auto"/>
          <w:w w:val="100"/>
          <w:sz w:val="32"/>
          <w:szCs w:val="32"/>
        </w:rPr>
        <w:t>县</w:t>
      </w:r>
      <w:r>
        <w:rPr>
          <w:rFonts w:hint="eastAsia" w:ascii="仿宋_GB2312" w:hAnsi="仿宋" w:eastAsia="仿宋_GB2312" w:cs="仿宋_GB2312"/>
          <w:color w:val="auto"/>
          <w:w w:val="100"/>
          <w:sz w:val="32"/>
          <w:szCs w:val="32"/>
          <w:lang w:eastAsia="zh-CN"/>
        </w:rPr>
        <w:t>公证处</w:t>
      </w:r>
      <w:r>
        <w:rPr>
          <w:rFonts w:hint="eastAsia" w:ascii="仿宋_GB2312" w:hAnsi="仿宋" w:eastAsia="仿宋_GB2312" w:cs="仿宋_GB2312"/>
          <w:color w:val="auto"/>
          <w:w w:val="100"/>
          <w:sz w:val="32"/>
          <w:szCs w:val="32"/>
        </w:rPr>
        <w:t>合署办公，</w:t>
      </w:r>
      <w:r>
        <w:rPr>
          <w:rFonts w:hint="eastAsia" w:ascii="仿宋_GB2312" w:hAnsi="仿宋" w:eastAsia="仿宋_GB2312" w:cs="仿宋_GB2312"/>
          <w:color w:val="auto"/>
          <w:w w:val="100"/>
          <w:sz w:val="32"/>
          <w:szCs w:val="32"/>
          <w:lang w:eastAsia="zh-CN"/>
        </w:rPr>
        <w:t>人、财、物统一管理核算。</w:t>
      </w:r>
    </w:p>
    <w:p w14:paraId="16FBAE8A">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 w:eastAsia="仿宋_GB2312" w:cs="仿宋_GB2312"/>
          <w:color w:val="auto"/>
          <w:w w:val="100"/>
          <w:sz w:val="32"/>
          <w:szCs w:val="32"/>
          <w:lang w:eastAsia="zh-CN"/>
        </w:rPr>
      </w:pP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lang w:val="en-US" w:eastAsia="zh-CN"/>
        </w:rPr>
        <w:t>二</w:t>
      </w:r>
      <w:r>
        <w:rPr>
          <w:rFonts w:hint="eastAsia" w:ascii="楷体_GB2312" w:hAnsi="楷体_GB2312" w:eastAsia="楷体_GB2312" w:cs="楷体_GB2312"/>
          <w:b/>
          <w:bCs/>
          <w:color w:val="auto"/>
          <w:sz w:val="32"/>
          <w:szCs w:val="32"/>
          <w:lang w:eastAsia="zh-CN"/>
        </w:rPr>
        <w:t>）</w:t>
      </w:r>
      <w:r>
        <w:rPr>
          <w:rFonts w:hint="eastAsia" w:ascii="楷体_GB2312" w:hAnsi="楷体_GB2312" w:eastAsia="楷体_GB2312" w:cs="楷体_GB2312"/>
          <w:b/>
          <w:bCs/>
          <w:color w:val="auto"/>
          <w:sz w:val="32"/>
          <w:szCs w:val="32"/>
        </w:rPr>
        <w:t>部门财政资金支出情况</w:t>
      </w:r>
      <w:r>
        <w:rPr>
          <w:rFonts w:hint="eastAsia" w:ascii="楷体_GB2312" w:hAnsi="楷体_GB2312" w:eastAsia="楷体_GB2312" w:cs="楷体_GB2312"/>
          <w:b/>
          <w:bCs/>
          <w:color w:val="auto"/>
          <w:sz w:val="32"/>
          <w:szCs w:val="32"/>
          <w:lang w:eastAsia="zh-CN"/>
        </w:rPr>
        <w:t>。</w:t>
      </w:r>
      <w:r>
        <w:rPr>
          <w:rFonts w:hint="eastAsia" w:ascii="仿宋_GB2312" w:hAnsi="仿宋_GB2312" w:eastAsia="仿宋_GB2312" w:cs="仿宋_GB2312"/>
          <w:b w:val="0"/>
          <w:bCs w:val="0"/>
          <w:color w:val="auto"/>
          <w:sz w:val="32"/>
          <w:szCs w:val="32"/>
          <w:lang w:eastAsia="zh-CN"/>
        </w:rPr>
        <w:t>20</w:t>
      </w:r>
      <w:r>
        <w:rPr>
          <w:rFonts w:hint="eastAsia" w:ascii="仿宋_GB2312" w:hAnsi="仿宋_GB2312" w:eastAsia="仿宋_GB2312" w:cs="仿宋_GB2312"/>
          <w:b w:val="0"/>
          <w:bCs w:val="0"/>
          <w:color w:val="auto"/>
          <w:sz w:val="32"/>
          <w:szCs w:val="32"/>
          <w:lang w:val="en-US" w:eastAsia="zh-CN"/>
        </w:rPr>
        <w:t>24</w:t>
      </w:r>
      <w:r>
        <w:rPr>
          <w:rFonts w:hint="eastAsia" w:ascii="仿宋_GB2312" w:hAnsi="仿宋_GB2312" w:eastAsia="仿宋_GB2312" w:cs="仿宋_GB2312"/>
          <w:b w:val="0"/>
          <w:bCs w:val="0"/>
          <w:color w:val="auto"/>
          <w:sz w:val="32"/>
          <w:szCs w:val="32"/>
          <w:lang w:eastAsia="zh-CN"/>
        </w:rPr>
        <w:t>年</w:t>
      </w:r>
      <w:r>
        <w:rPr>
          <w:rFonts w:hint="eastAsia" w:ascii="仿宋_GB2312" w:hAnsi="仿宋_GB2312" w:eastAsia="仿宋_GB2312" w:cs="仿宋_GB2312"/>
          <w:b w:val="0"/>
          <w:bCs w:val="0"/>
          <w:color w:val="auto"/>
          <w:sz w:val="32"/>
          <w:szCs w:val="32"/>
          <w:lang w:val="en-US" w:eastAsia="zh-CN"/>
        </w:rPr>
        <w:t>支出总计188.63</w:t>
      </w:r>
      <w:r>
        <w:rPr>
          <w:rFonts w:hint="eastAsia" w:ascii="仿宋_GB2312" w:hAnsi="仿宋_GB2312" w:eastAsia="仿宋_GB2312" w:cs="仿宋_GB2312"/>
          <w:b w:val="0"/>
          <w:bCs w:val="0"/>
          <w:color w:val="auto"/>
          <w:sz w:val="32"/>
          <w:szCs w:val="32"/>
        </w:rPr>
        <w:t>万元</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与</w:t>
      </w:r>
      <w:r>
        <w:rPr>
          <w:rFonts w:hint="eastAsia" w:ascii="仿宋_GB2312" w:hAnsi="仿宋_GB2312" w:eastAsia="仿宋_GB2312" w:cs="仿宋_GB2312"/>
          <w:b w:val="0"/>
          <w:bCs w:val="0"/>
          <w:color w:val="auto"/>
          <w:sz w:val="32"/>
          <w:szCs w:val="32"/>
          <w:lang w:eastAsia="zh-CN"/>
        </w:rPr>
        <w:t>20</w:t>
      </w:r>
      <w:r>
        <w:rPr>
          <w:rFonts w:hint="eastAsia" w:ascii="仿宋_GB2312" w:hAnsi="仿宋_GB2312" w:eastAsia="仿宋_GB2312" w:cs="仿宋_GB2312"/>
          <w:b w:val="0"/>
          <w:bCs w:val="0"/>
          <w:color w:val="auto"/>
          <w:sz w:val="32"/>
          <w:szCs w:val="32"/>
          <w:lang w:val="en-US" w:eastAsia="zh-CN"/>
        </w:rPr>
        <w:t>23</w:t>
      </w:r>
      <w:r>
        <w:rPr>
          <w:rFonts w:hint="eastAsia" w:ascii="仿宋_GB2312" w:hAnsi="仿宋_GB2312" w:eastAsia="仿宋_GB2312" w:cs="仿宋_GB2312"/>
          <w:b w:val="0"/>
          <w:bCs w:val="0"/>
          <w:color w:val="auto"/>
          <w:sz w:val="32"/>
          <w:szCs w:val="32"/>
          <w:lang w:eastAsia="zh-CN"/>
        </w:rPr>
        <w:t>年</w:t>
      </w:r>
      <w:r>
        <w:rPr>
          <w:rFonts w:hint="eastAsia" w:ascii="仿宋_GB2312" w:hAnsi="仿宋" w:eastAsia="仿宋_GB2312"/>
          <w:sz w:val="32"/>
          <w:szCs w:val="32"/>
          <w:lang w:val="en-US" w:eastAsia="zh-CN"/>
        </w:rPr>
        <w:t>85.49万元</w:t>
      </w:r>
      <w:r>
        <w:rPr>
          <w:rFonts w:hint="eastAsia" w:ascii="仿宋_GB2312" w:hAnsi="仿宋" w:eastAsia="仿宋_GB2312"/>
          <w:sz w:val="32"/>
          <w:szCs w:val="32"/>
        </w:rPr>
        <w:t>相比，</w:t>
      </w:r>
      <w:r>
        <w:rPr>
          <w:rFonts w:hint="eastAsia" w:ascii="仿宋_GB2312" w:hAnsi="仿宋" w:eastAsia="仿宋_GB2312"/>
          <w:sz w:val="32"/>
          <w:szCs w:val="32"/>
          <w:lang w:eastAsia="zh-CN"/>
        </w:rPr>
        <w:t>增加</w:t>
      </w:r>
      <w:r>
        <w:rPr>
          <w:rFonts w:hint="eastAsia" w:ascii="仿宋_GB2312" w:hAnsi="仿宋" w:eastAsia="仿宋_GB2312"/>
          <w:sz w:val="32"/>
          <w:szCs w:val="32"/>
          <w:lang w:val="en-US" w:eastAsia="zh-CN"/>
        </w:rPr>
        <w:t>103.14</w:t>
      </w:r>
      <w:r>
        <w:rPr>
          <w:rFonts w:hint="eastAsia" w:ascii="仿宋_GB2312" w:hAnsi="仿宋" w:eastAsia="仿宋_GB2312"/>
          <w:sz w:val="32"/>
          <w:szCs w:val="32"/>
        </w:rPr>
        <w:t>万元，</w:t>
      </w:r>
      <w:r>
        <w:rPr>
          <w:rFonts w:hint="eastAsia" w:ascii="仿宋_GB2312" w:hAnsi="仿宋" w:eastAsia="仿宋_GB2312"/>
          <w:sz w:val="32"/>
          <w:szCs w:val="32"/>
          <w:lang w:eastAsia="zh-CN"/>
        </w:rPr>
        <w:t>增长</w:t>
      </w:r>
      <w:r>
        <w:rPr>
          <w:rFonts w:hint="eastAsia" w:ascii="仿宋_GB2312" w:hAnsi="仿宋" w:eastAsia="仿宋_GB2312"/>
          <w:sz w:val="32"/>
          <w:szCs w:val="32"/>
          <w:lang w:val="en-US" w:eastAsia="zh-CN"/>
        </w:rPr>
        <w:t>120.65</w:t>
      </w:r>
      <w:r>
        <w:rPr>
          <w:rFonts w:hint="eastAsia" w:ascii="仿宋_GB2312" w:hAnsi="仿宋" w:eastAsia="仿宋_GB2312"/>
          <w:sz w:val="32"/>
          <w:szCs w:val="32"/>
        </w:rPr>
        <w:t>%</w:t>
      </w:r>
      <w:r>
        <w:rPr>
          <w:rFonts w:hint="eastAsia" w:ascii="仿宋_GB2312" w:hAnsi="仿宋" w:eastAsia="仿宋_GB2312"/>
          <w:sz w:val="32"/>
          <w:szCs w:val="32"/>
          <w:lang w:eastAsia="zh-CN"/>
        </w:rPr>
        <w:t>。</w:t>
      </w:r>
      <w:r>
        <w:rPr>
          <w:rFonts w:hint="eastAsia" w:ascii="仿宋_GB2312" w:hAnsi="仿宋_GB2312" w:eastAsia="仿宋_GB2312" w:cs="仿宋_GB2312"/>
          <w:b w:val="0"/>
          <w:bCs w:val="0"/>
          <w:color w:val="auto"/>
          <w:sz w:val="32"/>
          <w:szCs w:val="32"/>
        </w:rPr>
        <w:t>其中：</w:t>
      </w:r>
      <w:r>
        <w:rPr>
          <w:rFonts w:hint="eastAsia" w:ascii="仿宋_GB2312" w:hAnsi="楷体_GB2312" w:eastAsia="仿宋_GB2312" w:cs="楷体_GB2312"/>
          <w:bCs/>
          <w:color w:val="auto"/>
          <w:w w:val="100"/>
          <w:sz w:val="32"/>
          <w:szCs w:val="32"/>
        </w:rPr>
        <w:t>公共安全支出为</w:t>
      </w:r>
      <w:r>
        <w:rPr>
          <w:rFonts w:hint="eastAsia" w:ascii="仿宋_GB2312" w:hAnsi="楷体_GB2312" w:eastAsia="仿宋_GB2312" w:cs="楷体_GB2312"/>
          <w:bCs/>
          <w:color w:val="auto"/>
          <w:w w:val="100"/>
          <w:sz w:val="32"/>
          <w:szCs w:val="32"/>
          <w:lang w:val="en-US" w:eastAsia="zh-CN"/>
        </w:rPr>
        <w:t>140.07</w:t>
      </w:r>
      <w:r>
        <w:rPr>
          <w:rFonts w:hint="eastAsia" w:ascii="仿宋_GB2312" w:hAnsi="楷体_GB2312" w:eastAsia="仿宋_GB2312" w:cs="楷体_GB2312"/>
          <w:bCs/>
          <w:color w:val="auto"/>
          <w:w w:val="100"/>
          <w:sz w:val="32"/>
          <w:szCs w:val="32"/>
        </w:rPr>
        <w:t>万元，占比</w:t>
      </w:r>
      <w:r>
        <w:rPr>
          <w:rFonts w:hint="eastAsia" w:ascii="仿宋_GB2312" w:hAnsi="楷体_GB2312" w:eastAsia="仿宋_GB2312" w:cs="楷体_GB2312"/>
          <w:bCs/>
          <w:color w:val="auto"/>
          <w:w w:val="100"/>
          <w:sz w:val="32"/>
          <w:szCs w:val="32"/>
          <w:lang w:val="en-US" w:eastAsia="zh-CN"/>
        </w:rPr>
        <w:t>74.26</w:t>
      </w:r>
      <w:r>
        <w:rPr>
          <w:rFonts w:hint="eastAsia" w:ascii="仿宋_GB2312" w:hAnsi="楷体_GB2312" w:eastAsia="仿宋_GB2312" w:cs="楷体_GB2312"/>
          <w:bCs/>
          <w:color w:val="auto"/>
          <w:w w:val="100"/>
          <w:sz w:val="32"/>
          <w:szCs w:val="32"/>
        </w:rPr>
        <w:t>%；社会保障和就业支出为</w:t>
      </w:r>
      <w:r>
        <w:rPr>
          <w:rFonts w:hint="eastAsia" w:ascii="仿宋_GB2312" w:hAnsi="楷体_GB2312" w:eastAsia="仿宋_GB2312" w:cs="楷体_GB2312"/>
          <w:bCs/>
          <w:color w:val="auto"/>
          <w:w w:val="100"/>
          <w:sz w:val="32"/>
          <w:szCs w:val="32"/>
          <w:lang w:val="en-US" w:eastAsia="zh-CN"/>
        </w:rPr>
        <w:t>24.36</w:t>
      </w:r>
      <w:r>
        <w:rPr>
          <w:rFonts w:hint="eastAsia" w:ascii="仿宋_GB2312" w:hAnsi="楷体_GB2312" w:eastAsia="仿宋_GB2312" w:cs="楷体_GB2312"/>
          <w:bCs/>
          <w:color w:val="auto"/>
          <w:w w:val="100"/>
          <w:sz w:val="32"/>
          <w:szCs w:val="32"/>
        </w:rPr>
        <w:t>万元，占比</w:t>
      </w:r>
      <w:r>
        <w:rPr>
          <w:rFonts w:hint="eastAsia" w:ascii="仿宋_GB2312" w:hAnsi="楷体_GB2312" w:eastAsia="仿宋_GB2312" w:cs="楷体_GB2312"/>
          <w:bCs/>
          <w:color w:val="auto"/>
          <w:w w:val="100"/>
          <w:sz w:val="32"/>
          <w:szCs w:val="32"/>
          <w:lang w:val="en-US" w:eastAsia="zh-CN"/>
        </w:rPr>
        <w:t>12.91</w:t>
      </w:r>
      <w:r>
        <w:rPr>
          <w:rFonts w:hint="eastAsia" w:ascii="仿宋_GB2312" w:hAnsi="楷体_GB2312" w:eastAsia="仿宋_GB2312" w:cs="楷体_GB2312"/>
          <w:bCs/>
          <w:color w:val="auto"/>
          <w:w w:val="100"/>
          <w:sz w:val="32"/>
          <w:szCs w:val="32"/>
        </w:rPr>
        <w:t>%；卫生健康支出为</w:t>
      </w:r>
      <w:r>
        <w:rPr>
          <w:rFonts w:hint="eastAsia" w:ascii="仿宋_GB2312" w:hAnsi="楷体_GB2312" w:eastAsia="仿宋_GB2312" w:cs="楷体_GB2312"/>
          <w:bCs/>
          <w:color w:val="auto"/>
          <w:w w:val="100"/>
          <w:sz w:val="32"/>
          <w:szCs w:val="32"/>
          <w:lang w:val="en-US" w:eastAsia="zh-CN"/>
        </w:rPr>
        <w:t>10.57</w:t>
      </w:r>
      <w:r>
        <w:rPr>
          <w:rFonts w:hint="eastAsia" w:ascii="仿宋_GB2312" w:hAnsi="楷体_GB2312" w:eastAsia="仿宋_GB2312" w:cs="楷体_GB2312"/>
          <w:bCs/>
          <w:color w:val="auto"/>
          <w:w w:val="100"/>
          <w:sz w:val="32"/>
          <w:szCs w:val="32"/>
        </w:rPr>
        <w:t>万元，占比</w:t>
      </w:r>
      <w:r>
        <w:rPr>
          <w:rFonts w:hint="eastAsia" w:ascii="仿宋_GB2312" w:hAnsi="楷体_GB2312" w:eastAsia="仿宋_GB2312" w:cs="楷体_GB2312"/>
          <w:bCs/>
          <w:color w:val="auto"/>
          <w:w w:val="100"/>
          <w:sz w:val="32"/>
          <w:szCs w:val="32"/>
          <w:lang w:val="en-US" w:eastAsia="zh-CN"/>
        </w:rPr>
        <w:t>5.6</w:t>
      </w:r>
      <w:r>
        <w:rPr>
          <w:rFonts w:hint="eastAsia" w:ascii="仿宋_GB2312" w:hAnsi="楷体_GB2312" w:eastAsia="仿宋_GB2312" w:cs="楷体_GB2312"/>
          <w:bCs/>
          <w:color w:val="auto"/>
          <w:w w:val="100"/>
          <w:sz w:val="32"/>
          <w:szCs w:val="32"/>
        </w:rPr>
        <w:t>%；住房保障支出为</w:t>
      </w:r>
      <w:r>
        <w:rPr>
          <w:rFonts w:hint="eastAsia" w:ascii="仿宋_GB2312" w:hAnsi="楷体_GB2312" w:eastAsia="仿宋_GB2312" w:cs="楷体_GB2312"/>
          <w:bCs/>
          <w:color w:val="auto"/>
          <w:w w:val="100"/>
          <w:sz w:val="32"/>
          <w:szCs w:val="32"/>
          <w:lang w:val="en-US" w:eastAsia="zh-CN"/>
        </w:rPr>
        <w:t>13.63</w:t>
      </w:r>
      <w:r>
        <w:rPr>
          <w:rFonts w:hint="eastAsia" w:ascii="仿宋_GB2312" w:hAnsi="楷体_GB2312" w:eastAsia="仿宋_GB2312" w:cs="楷体_GB2312"/>
          <w:bCs/>
          <w:color w:val="auto"/>
          <w:w w:val="100"/>
          <w:sz w:val="32"/>
          <w:szCs w:val="32"/>
        </w:rPr>
        <w:t>万元，占比</w:t>
      </w:r>
      <w:r>
        <w:rPr>
          <w:rFonts w:hint="eastAsia" w:ascii="仿宋_GB2312" w:hAnsi="楷体_GB2312" w:eastAsia="仿宋_GB2312" w:cs="楷体_GB2312"/>
          <w:bCs/>
          <w:color w:val="auto"/>
          <w:w w:val="100"/>
          <w:sz w:val="32"/>
          <w:szCs w:val="32"/>
          <w:lang w:val="en-US" w:eastAsia="zh-CN"/>
        </w:rPr>
        <w:t>7.23</w:t>
      </w:r>
      <w:r>
        <w:rPr>
          <w:rFonts w:hint="eastAsia" w:ascii="仿宋_GB2312" w:hAnsi="楷体_GB2312" w:eastAsia="仿宋_GB2312" w:cs="楷体_GB2312"/>
          <w:bCs/>
          <w:color w:val="auto"/>
          <w:w w:val="100"/>
          <w:sz w:val="32"/>
          <w:szCs w:val="32"/>
        </w:rPr>
        <w:t>%。</w:t>
      </w:r>
      <w:r>
        <w:rPr>
          <w:rFonts w:hint="eastAsia" w:ascii="仿宋_GB2312" w:hAnsi="仿宋" w:eastAsia="仿宋_GB2312"/>
          <w:b/>
          <w:bCs/>
          <w:sz w:val="32"/>
          <w:szCs w:val="32"/>
        </w:rPr>
        <w:t>主要原因是</w:t>
      </w:r>
      <w:r>
        <w:rPr>
          <w:rFonts w:hint="eastAsia" w:ascii="仿宋_GB2312" w:hAnsi="仿宋" w:eastAsia="仿宋_GB2312"/>
          <w:b/>
          <w:bCs/>
          <w:sz w:val="32"/>
          <w:szCs w:val="32"/>
          <w:lang w:eastAsia="zh-CN"/>
        </w:rPr>
        <w:t>：</w:t>
      </w:r>
      <w:r>
        <w:rPr>
          <w:rFonts w:hint="eastAsia" w:ascii="仿宋_GB2312" w:hAnsi="楷体_GB2312" w:eastAsia="仿宋_GB2312" w:cs="楷体_GB2312"/>
          <w:bCs/>
          <w:color w:val="auto"/>
          <w:w w:val="100"/>
          <w:sz w:val="32"/>
          <w:szCs w:val="32"/>
          <w:lang w:val="en-US" w:eastAsia="zh-CN"/>
        </w:rPr>
        <w:t>2024年</w:t>
      </w:r>
      <w:r>
        <w:rPr>
          <w:rFonts w:hint="eastAsia" w:ascii="仿宋_GB2312" w:hAnsi="楷体_GB2312" w:eastAsia="仿宋_GB2312" w:cs="楷体_GB2312"/>
          <w:bCs/>
          <w:color w:val="auto"/>
          <w:w w:val="100"/>
          <w:sz w:val="32"/>
          <w:szCs w:val="32"/>
          <w:lang w:eastAsia="zh-CN"/>
        </w:rPr>
        <w:t>小县</w:t>
      </w:r>
      <w:r>
        <w:rPr>
          <w:rFonts w:hint="eastAsia" w:ascii="仿宋_GB2312" w:hAnsi="仿宋_GB2312" w:eastAsia="仿宋_GB2312" w:cs="仿宋_GB2312"/>
          <w:w w:val="100"/>
          <w:sz w:val="32"/>
          <w:lang w:val="en-US" w:eastAsia="zh-CN"/>
        </w:rPr>
        <w:t>机构改革，</w:t>
      </w:r>
      <w:r>
        <w:rPr>
          <w:rFonts w:hint="eastAsia" w:ascii="仿宋_GB2312" w:hAnsi="仿宋" w:eastAsia="仿宋_GB2312" w:cs="仿宋_GB2312"/>
          <w:color w:val="auto"/>
          <w:w w:val="100"/>
          <w:sz w:val="32"/>
          <w:szCs w:val="32"/>
        </w:rPr>
        <w:t>县</w:t>
      </w:r>
      <w:r>
        <w:rPr>
          <w:rFonts w:hint="eastAsia" w:ascii="仿宋_GB2312" w:hAnsi="仿宋" w:eastAsia="仿宋_GB2312" w:cs="仿宋_GB2312"/>
          <w:color w:val="auto"/>
          <w:w w:val="100"/>
          <w:sz w:val="32"/>
          <w:szCs w:val="32"/>
          <w:lang w:eastAsia="zh-CN"/>
        </w:rPr>
        <w:t>矛调中心与</w:t>
      </w:r>
      <w:r>
        <w:rPr>
          <w:rFonts w:hint="eastAsia" w:ascii="仿宋_GB2312" w:hAnsi="仿宋" w:eastAsia="仿宋_GB2312" w:cs="仿宋_GB2312"/>
          <w:color w:val="auto"/>
          <w:w w:val="100"/>
          <w:sz w:val="32"/>
          <w:szCs w:val="32"/>
        </w:rPr>
        <w:t>县</w:t>
      </w:r>
      <w:r>
        <w:rPr>
          <w:rFonts w:hint="eastAsia" w:ascii="仿宋_GB2312" w:hAnsi="仿宋" w:eastAsia="仿宋_GB2312" w:cs="仿宋_GB2312"/>
          <w:color w:val="auto"/>
          <w:w w:val="100"/>
          <w:sz w:val="32"/>
          <w:szCs w:val="32"/>
          <w:lang w:eastAsia="zh-CN"/>
        </w:rPr>
        <w:t>公证处</w:t>
      </w:r>
      <w:r>
        <w:rPr>
          <w:rFonts w:hint="eastAsia" w:ascii="仿宋_GB2312" w:hAnsi="仿宋" w:eastAsia="仿宋_GB2312" w:cs="仿宋_GB2312"/>
          <w:color w:val="auto"/>
          <w:w w:val="100"/>
          <w:sz w:val="32"/>
          <w:szCs w:val="32"/>
        </w:rPr>
        <w:t>合署办公，</w:t>
      </w:r>
      <w:r>
        <w:rPr>
          <w:rFonts w:hint="eastAsia" w:ascii="仿宋_GB2312" w:hAnsi="仿宋" w:eastAsia="仿宋_GB2312" w:cs="仿宋_GB2312"/>
          <w:color w:val="auto"/>
          <w:w w:val="100"/>
          <w:sz w:val="32"/>
          <w:szCs w:val="32"/>
          <w:lang w:eastAsia="zh-CN"/>
        </w:rPr>
        <w:t>人、财、物统一管理核算。</w:t>
      </w:r>
    </w:p>
    <w:p w14:paraId="0D009A95">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3" w:firstLineChars="200"/>
        <w:textAlignment w:val="auto"/>
        <w:rPr>
          <w:rFonts w:hint="eastAsia" w:ascii="黑体" w:hAnsi="黑体" w:eastAsia="黑体" w:cs="黑体"/>
          <w:b/>
          <w:bCs/>
          <w:sz w:val="32"/>
          <w:szCs w:val="32"/>
        </w:rPr>
      </w:pPr>
      <w:bookmarkStart w:id="1" w:name="_GoBack"/>
      <w:r>
        <w:rPr>
          <w:rFonts w:hint="eastAsia" w:ascii="黑体" w:hAnsi="黑体" w:eastAsia="黑体" w:cs="黑体"/>
          <w:b/>
          <w:bCs/>
          <w:sz w:val="32"/>
          <w:szCs w:val="32"/>
          <w:lang w:val="en-US" w:eastAsia="zh-CN"/>
        </w:rPr>
        <w:t>三、</w:t>
      </w:r>
      <w:r>
        <w:rPr>
          <w:rFonts w:hint="eastAsia" w:ascii="黑体" w:hAnsi="黑体" w:eastAsia="黑体" w:cs="黑体"/>
          <w:b/>
          <w:bCs/>
          <w:sz w:val="32"/>
          <w:szCs w:val="32"/>
        </w:rPr>
        <w:t>部门整体预算绩效管理情况</w:t>
      </w:r>
      <w:bookmarkEnd w:id="1"/>
    </w:p>
    <w:p w14:paraId="7FA0F9E0">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（一）部门预算管理</w:t>
      </w:r>
    </w:p>
    <w:p w14:paraId="5569DE4F">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 w:hAnsi="仿宋" w:eastAsia="仿宋" w:cs="楷体_GB2312"/>
          <w:bCs/>
          <w:sz w:val="32"/>
          <w:szCs w:val="32"/>
          <w:lang w:val="en-US" w:eastAsia="zh-CN"/>
        </w:rPr>
        <w:t>1.</w:t>
      </w:r>
      <w:r>
        <w:rPr>
          <w:rFonts w:hint="eastAsia" w:ascii="仿宋" w:hAnsi="仿宋" w:eastAsia="仿宋" w:cs="楷体_GB2312"/>
          <w:bCs/>
          <w:sz w:val="32"/>
          <w:szCs w:val="32"/>
          <w:lang w:val="zh-CN"/>
        </w:rPr>
        <w:t>预算编制情况。</w:t>
      </w:r>
      <w:r>
        <w:rPr>
          <w:rFonts w:hint="eastAsia" w:ascii="仿宋_GB2312" w:hAnsi="仿宋_GB2312" w:eastAsia="仿宋_GB2312" w:cs="仿宋_GB2312"/>
          <w:b w:val="0"/>
          <w:bCs w:val="0"/>
          <w:sz w:val="32"/>
          <w:szCs w:val="32"/>
          <w:lang w:eastAsia="zh-CN"/>
        </w:rPr>
        <w:t>20</w:t>
      </w:r>
      <w:r>
        <w:rPr>
          <w:rFonts w:hint="eastAsia" w:ascii="仿宋_GB2312" w:hAnsi="仿宋_GB2312" w:eastAsia="仿宋_GB2312" w:cs="仿宋_GB2312"/>
          <w:b w:val="0"/>
          <w:bCs w:val="0"/>
          <w:sz w:val="32"/>
          <w:szCs w:val="32"/>
          <w:lang w:val="en-US" w:eastAsia="zh-CN"/>
        </w:rPr>
        <w:t>24</w:t>
      </w:r>
      <w:r>
        <w:rPr>
          <w:rFonts w:hint="eastAsia" w:ascii="仿宋_GB2312" w:hAnsi="仿宋_GB2312" w:eastAsia="仿宋_GB2312" w:cs="仿宋_GB2312"/>
          <w:b w:val="0"/>
          <w:bCs w:val="0"/>
          <w:sz w:val="32"/>
          <w:szCs w:val="32"/>
          <w:lang w:eastAsia="zh-CN"/>
        </w:rPr>
        <w:t>年</w:t>
      </w:r>
      <w:r>
        <w:rPr>
          <w:rFonts w:hint="eastAsia" w:ascii="仿宋_GB2312" w:hAnsi="仿宋_GB2312" w:eastAsia="仿宋_GB2312" w:cs="仿宋_GB2312"/>
          <w:b w:val="0"/>
          <w:bCs w:val="0"/>
          <w:sz w:val="32"/>
          <w:szCs w:val="32"/>
          <w:lang w:val="en-US" w:eastAsia="zh-CN"/>
        </w:rPr>
        <w:t>我单位</w:t>
      </w:r>
      <w:r>
        <w:rPr>
          <w:rFonts w:hint="eastAsia" w:ascii="仿宋_GB2312" w:hAnsi="仿宋_GB2312" w:eastAsia="仿宋_GB2312" w:cs="仿宋_GB2312"/>
          <w:b w:val="0"/>
          <w:bCs w:val="0"/>
          <w:sz w:val="32"/>
          <w:szCs w:val="32"/>
          <w:lang w:eastAsia="zh-CN"/>
        </w:rPr>
        <w:t>严格按照财政预算编制要求，准确录入相关信息，各项业务经费参照上两年支出和下年预计开展工作情况合理编制，</w:t>
      </w:r>
      <w:r>
        <w:rPr>
          <w:rFonts w:hint="eastAsia" w:ascii="仿宋" w:hAnsi="仿宋" w:eastAsia="仿宋" w:cs="楷体_GB2312"/>
          <w:bCs/>
          <w:sz w:val="32"/>
          <w:szCs w:val="32"/>
          <w:lang w:val="zh-CN"/>
        </w:rPr>
        <w:t>较好的完成了</w:t>
      </w:r>
      <w:r>
        <w:rPr>
          <w:rFonts w:hint="eastAsia" w:ascii="仿宋" w:hAnsi="仿宋" w:eastAsia="仿宋" w:cs="楷体_GB2312"/>
          <w:bCs/>
          <w:sz w:val="32"/>
          <w:szCs w:val="32"/>
          <w:lang w:val="en-US" w:eastAsia="zh-CN"/>
        </w:rPr>
        <w:t>本单位</w:t>
      </w:r>
      <w:r>
        <w:rPr>
          <w:rFonts w:hint="eastAsia" w:ascii="仿宋" w:hAnsi="仿宋" w:eastAsia="仿宋" w:cs="楷体_GB2312"/>
          <w:bCs/>
          <w:sz w:val="32"/>
          <w:szCs w:val="32"/>
          <w:lang w:val="zh-CN"/>
        </w:rPr>
        <w:t>预算编制工作，无违规记录</w:t>
      </w:r>
      <w:r>
        <w:rPr>
          <w:rFonts w:hint="eastAsia" w:ascii="仿宋_GB2312" w:hAnsi="仿宋_GB2312" w:eastAsia="仿宋_GB2312" w:cs="仿宋_GB2312"/>
          <w:b w:val="0"/>
          <w:bCs w:val="0"/>
          <w:sz w:val="32"/>
          <w:szCs w:val="32"/>
          <w:lang w:eastAsia="zh-CN"/>
        </w:rPr>
        <w:t>。</w:t>
      </w:r>
    </w:p>
    <w:p w14:paraId="7B933DBD">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sz w:val="32"/>
          <w:szCs w:val="32"/>
          <w:lang w:val="zh-CN" w:eastAsia="zh-CN"/>
        </w:rPr>
      </w:pPr>
      <w:r>
        <w:rPr>
          <w:rFonts w:hint="eastAsia" w:ascii="仿宋_GB2312" w:hAnsi="仿宋_GB2312" w:eastAsia="仿宋_GB2312" w:cs="仿宋_GB2312"/>
          <w:b w:val="0"/>
          <w:bCs w:val="0"/>
          <w:kern w:val="2"/>
          <w:sz w:val="32"/>
          <w:szCs w:val="32"/>
          <w:lang w:val="en-US" w:eastAsia="zh-CN" w:bidi="ar-SA"/>
        </w:rPr>
        <w:t>2.</w:t>
      </w:r>
      <w:r>
        <w:rPr>
          <w:rFonts w:hint="eastAsia" w:ascii="仿宋_GB2312" w:hAnsi="仿宋_GB2312" w:eastAsia="仿宋_GB2312" w:cs="仿宋_GB2312"/>
          <w:b w:val="0"/>
          <w:bCs w:val="0"/>
          <w:kern w:val="2"/>
          <w:sz w:val="32"/>
          <w:szCs w:val="32"/>
          <w:lang w:val="zh-CN" w:eastAsia="zh-CN" w:bidi="ar-SA"/>
        </w:rPr>
        <w:t>执行管理情况。</w:t>
      </w:r>
      <w:r>
        <w:rPr>
          <w:rFonts w:hint="eastAsia" w:ascii="仿宋_GB2312" w:hAnsi="仿宋_GB2312" w:eastAsia="仿宋_GB2312" w:cs="仿宋_GB2312"/>
          <w:b w:val="0"/>
          <w:bCs w:val="0"/>
          <w:kern w:val="2"/>
          <w:sz w:val="32"/>
          <w:szCs w:val="32"/>
          <w:lang w:val="en-US" w:eastAsia="zh-CN" w:bidi="ar-SA"/>
        </w:rPr>
        <w:t>我单位严格按照规定执行年度预算，</w:t>
      </w:r>
      <w:r>
        <w:rPr>
          <w:rFonts w:hint="eastAsia" w:ascii="仿宋_GB2312" w:hAnsi="仿宋_GB2312" w:eastAsia="仿宋_GB2312" w:cs="仿宋_GB2312"/>
          <w:b w:val="0"/>
          <w:bCs w:val="0"/>
          <w:sz w:val="32"/>
          <w:szCs w:val="32"/>
          <w:lang w:val="en-US" w:eastAsia="zh-CN"/>
        </w:rPr>
        <w:t>2024年度财政预算收入总计188.63万元，</w:t>
      </w:r>
      <w:r>
        <w:rPr>
          <w:rFonts w:hint="eastAsia" w:ascii="仿宋_GB2312" w:hAnsi="仿宋" w:eastAsia="仿宋_GB2312" w:cs="仿宋_GB2312"/>
          <w:sz w:val="32"/>
          <w:szCs w:val="32"/>
        </w:rPr>
        <w:t>财政</w:t>
      </w:r>
      <w:r>
        <w:rPr>
          <w:rFonts w:hint="eastAsia" w:ascii="仿宋_GB2312" w:hAnsi="仿宋" w:eastAsia="仿宋_GB2312" w:cs="仿宋_GB2312"/>
          <w:sz w:val="32"/>
          <w:szCs w:val="32"/>
          <w:lang w:val="en-US" w:eastAsia="zh-CN"/>
        </w:rPr>
        <w:t>实际</w:t>
      </w:r>
      <w:r>
        <w:rPr>
          <w:rFonts w:hint="eastAsia" w:ascii="仿宋_GB2312" w:hAnsi="仿宋" w:eastAsia="仿宋_GB2312" w:cs="仿宋_GB2312"/>
          <w:sz w:val="32"/>
          <w:szCs w:val="32"/>
        </w:rPr>
        <w:t>支出总</w:t>
      </w:r>
      <w:r>
        <w:rPr>
          <w:rFonts w:hint="eastAsia" w:ascii="仿宋_GB2312" w:hAnsi="仿宋" w:eastAsia="仿宋_GB2312" w:cs="仿宋_GB2312"/>
          <w:sz w:val="32"/>
          <w:szCs w:val="32"/>
          <w:lang w:val="en-US" w:eastAsia="zh-CN"/>
        </w:rPr>
        <w:t>计188.63</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当年预算支出完成率</w:t>
      </w:r>
      <w:r>
        <w:rPr>
          <w:rFonts w:hint="eastAsia" w:ascii="仿宋_GB2312" w:hAnsi="仿宋" w:eastAsia="仿宋_GB2312" w:cs="仿宋_GB2312"/>
          <w:sz w:val="32"/>
          <w:szCs w:val="32"/>
          <w:lang w:val="en-US" w:eastAsia="zh-CN"/>
        </w:rPr>
        <w:t>100</w:t>
      </w:r>
      <w:r>
        <w:rPr>
          <w:rFonts w:hint="eastAsia" w:ascii="仿宋_GB2312" w:hAnsi="仿宋" w:eastAsia="仿宋_GB2312" w:cs="仿宋_GB2312"/>
          <w:sz w:val="32"/>
          <w:szCs w:val="32"/>
        </w:rPr>
        <w:t>%</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zh-CN" w:eastAsia="zh-CN"/>
        </w:rPr>
        <w:t>资金支出和使用完全按照相关规定操作，无违纪现象发生。</w:t>
      </w:r>
    </w:p>
    <w:p w14:paraId="4041C49A">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b w:val="0"/>
          <w:bCs w:val="0"/>
          <w:sz w:val="32"/>
          <w:szCs w:val="32"/>
          <w:lang w:val="zh-CN" w:eastAsia="zh-CN"/>
        </w:rPr>
      </w:pPr>
      <w:r>
        <w:rPr>
          <w:rFonts w:hint="eastAsia" w:ascii="仿宋_GB2312" w:hAnsi="仿宋_GB2312" w:eastAsia="仿宋_GB2312" w:cs="仿宋_GB2312"/>
          <w:b w:val="0"/>
          <w:bCs w:val="0"/>
          <w:sz w:val="32"/>
          <w:szCs w:val="32"/>
          <w:lang w:val="en-US" w:eastAsia="zh-CN"/>
        </w:rPr>
        <w:t>3.综合管理情况。我单位现由专人负责预算绩效管理，并</w:t>
      </w:r>
      <w:r>
        <w:rPr>
          <w:rFonts w:hint="eastAsia" w:ascii="仿宋_GB2312" w:hAnsi="仿宋_GB2312" w:eastAsia="仿宋_GB2312" w:cs="仿宋_GB2312"/>
          <w:b w:val="0"/>
          <w:bCs w:val="0"/>
          <w:sz w:val="32"/>
          <w:szCs w:val="32"/>
          <w:lang w:val="zh-CN" w:eastAsia="zh-CN"/>
        </w:rPr>
        <w:t>根据财政局下发的文件要求</w:t>
      </w:r>
      <w:r>
        <w:rPr>
          <w:rFonts w:hint="eastAsia" w:ascii="仿宋_GB2312" w:hAnsi="仿宋_GB2312" w:eastAsia="仿宋_GB2312" w:cs="仿宋_GB2312"/>
          <w:b w:val="0"/>
          <w:bCs w:val="0"/>
          <w:sz w:val="32"/>
          <w:szCs w:val="32"/>
          <w:lang w:val="en-US" w:eastAsia="zh-CN"/>
        </w:rPr>
        <w:t>，建立“预算编制有目标、预算执行有监控、预算完成有评价、评价结果有反馈、反馈结果有应用”的全过程预算绩效管理机制，</w:t>
      </w:r>
      <w:r>
        <w:rPr>
          <w:rFonts w:hint="eastAsia" w:ascii="仿宋_GB2312" w:hAnsi="仿宋_GB2312" w:eastAsia="仿宋_GB2312" w:cs="仿宋_GB2312"/>
          <w:b w:val="0"/>
          <w:bCs w:val="0"/>
          <w:sz w:val="32"/>
          <w:szCs w:val="32"/>
          <w:lang w:val="zh-CN" w:eastAsia="zh-CN"/>
        </w:rPr>
        <w:t>做好财政收支工作，做好预算及决算工作，保证本单位财务工作公开透明规范运行。</w:t>
      </w:r>
    </w:p>
    <w:p w14:paraId="6DC2D591">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sz w:val="31"/>
          <w:szCs w:val="31"/>
          <w:lang w:val="en-US" w:eastAsia="zh-CN"/>
        </w:rPr>
      </w:pPr>
      <w:r>
        <w:rPr>
          <w:rFonts w:hint="eastAsia" w:ascii="仿宋_GB2312" w:hAnsi="仿宋_GB2312" w:eastAsia="仿宋_GB2312" w:cs="仿宋_GB2312"/>
          <w:b w:val="0"/>
          <w:bCs w:val="0"/>
          <w:sz w:val="32"/>
          <w:szCs w:val="32"/>
          <w:lang w:val="en-US" w:eastAsia="zh-CN"/>
        </w:rPr>
        <w:t>本单位已完成部门预算编制工作，绩效目标指向明确，符合国民经济和社会发展规划，结合部门职能及事业发展规划等，特别是在数量、质量、成本、时效、效益等方面进行了具体量化。</w:t>
      </w:r>
      <w:r>
        <w:rPr>
          <w:rFonts w:hint="eastAsia" w:ascii="仿宋" w:hAnsi="仿宋" w:eastAsia="仿宋" w:cs="仿宋"/>
          <w:sz w:val="31"/>
          <w:szCs w:val="31"/>
        </w:rPr>
        <w:t> </w:t>
      </w:r>
      <w:r>
        <w:rPr>
          <w:rFonts w:hint="eastAsia" w:ascii="仿宋" w:hAnsi="仿宋" w:eastAsia="仿宋" w:cs="仿宋"/>
          <w:sz w:val="31"/>
          <w:szCs w:val="31"/>
          <w:lang w:val="en-US" w:eastAsia="zh-CN"/>
        </w:rPr>
        <w:t xml:space="preserve"> </w:t>
      </w:r>
    </w:p>
    <w:p w14:paraId="754FF64D">
      <w:pPr>
        <w:keepNext w:val="0"/>
        <w:keepLines w:val="0"/>
        <w:pageBreakBefore w:val="0"/>
        <w:widowControl w:val="0"/>
        <w:numPr>
          <w:ilvl w:val="0"/>
          <w:numId w:val="3"/>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专项预算管理</w:t>
      </w:r>
    </w:p>
    <w:p w14:paraId="28EBC81F">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仿宋_GB2312"/>
          <w:color w:val="auto"/>
          <w:sz w:val="32"/>
          <w:szCs w:val="32"/>
          <w:lang w:val="en-US" w:eastAsia="zh-CN"/>
        </w:rPr>
      </w:pPr>
      <w:r>
        <w:rPr>
          <w:rFonts w:hint="eastAsia" w:ascii="仿宋_GB2312" w:hAnsi="仿宋" w:eastAsia="仿宋_GB2312" w:cs="仿宋_GB2312"/>
          <w:color w:val="auto"/>
          <w:sz w:val="32"/>
          <w:szCs w:val="32"/>
          <w:lang w:val="en-US" w:eastAsia="zh-CN"/>
        </w:rPr>
        <w:t>2024年本单位无专项预算管理资金。</w:t>
      </w:r>
    </w:p>
    <w:p w14:paraId="2601FC66">
      <w:pPr>
        <w:keepNext w:val="0"/>
        <w:keepLines w:val="0"/>
        <w:pageBreakBefore w:val="0"/>
        <w:widowControl w:val="0"/>
        <w:numPr>
          <w:ilvl w:val="0"/>
          <w:numId w:val="3"/>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left="0" w:leftChars="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结果应用情况</w:t>
      </w:r>
    </w:p>
    <w:p w14:paraId="0BCED95F">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本单位</w:t>
      </w:r>
      <w:r>
        <w:rPr>
          <w:rFonts w:hint="eastAsia" w:ascii="仿宋_GB2312" w:hAnsi="仿宋" w:eastAsia="仿宋_GB2312" w:cs="仿宋_GB2312"/>
          <w:sz w:val="32"/>
          <w:szCs w:val="32"/>
        </w:rPr>
        <w:t>依据财政编审要求</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在年度终了后</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结合本单位当年全部预算收入、财政拨款收入及支出等</w:t>
      </w:r>
      <w:r>
        <w:rPr>
          <w:rFonts w:hint="eastAsia" w:ascii="仿宋_GB2312" w:hAnsi="仿宋" w:eastAsia="仿宋_GB2312" w:cs="仿宋_GB2312"/>
          <w:sz w:val="32"/>
          <w:szCs w:val="32"/>
          <w:lang w:eastAsia="zh-CN"/>
        </w:rPr>
        <w:t>情况，</w:t>
      </w:r>
      <w:r>
        <w:rPr>
          <w:rFonts w:hint="eastAsia" w:ascii="仿宋_GB2312" w:hAnsi="仿宋" w:eastAsia="仿宋_GB2312" w:cs="仿宋_GB2312"/>
          <w:sz w:val="32"/>
          <w:szCs w:val="32"/>
        </w:rPr>
        <w:t>对全口径的资金收入、支出</w:t>
      </w:r>
      <w:r>
        <w:rPr>
          <w:rFonts w:hint="eastAsia" w:ascii="仿宋_GB2312" w:hAnsi="仿宋" w:eastAsia="仿宋_GB2312" w:cs="仿宋_GB2312"/>
          <w:sz w:val="32"/>
          <w:szCs w:val="32"/>
          <w:lang w:eastAsia="zh-CN"/>
        </w:rPr>
        <w:t>以及</w:t>
      </w:r>
      <w:r>
        <w:rPr>
          <w:rFonts w:hint="eastAsia" w:ascii="仿宋_GB2312" w:hAnsi="仿宋" w:eastAsia="仿宋_GB2312" w:cs="仿宋_GB2312"/>
          <w:sz w:val="32"/>
          <w:szCs w:val="32"/>
        </w:rPr>
        <w:t>预算管理、资产管理等工作进行全面总结。通过编制部门决算报表</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对本单位全年的资金管理、单位履行机构职能和受托责任等</w:t>
      </w:r>
      <w:r>
        <w:rPr>
          <w:rFonts w:hint="eastAsia" w:ascii="仿宋_GB2312" w:hAnsi="仿宋" w:eastAsia="仿宋_GB2312" w:cs="仿宋_GB2312"/>
          <w:sz w:val="32"/>
          <w:szCs w:val="32"/>
          <w:lang w:eastAsia="zh-CN"/>
        </w:rPr>
        <w:t>情况进行</w:t>
      </w:r>
      <w:r>
        <w:rPr>
          <w:rFonts w:hint="eastAsia" w:ascii="仿宋_GB2312" w:hAnsi="仿宋" w:eastAsia="仿宋_GB2312" w:cs="仿宋_GB2312"/>
          <w:sz w:val="32"/>
          <w:szCs w:val="32"/>
        </w:rPr>
        <w:t>系统的思考</w:t>
      </w:r>
      <w:r>
        <w:rPr>
          <w:rFonts w:hint="eastAsia" w:ascii="仿宋_GB2312" w:hAnsi="仿宋" w:eastAsia="仿宋_GB2312" w:cs="仿宋_GB2312"/>
          <w:sz w:val="32"/>
          <w:szCs w:val="32"/>
          <w:lang w:eastAsia="zh-CN"/>
        </w:rPr>
        <w:t>和检查，</w:t>
      </w:r>
      <w:r>
        <w:rPr>
          <w:rFonts w:hint="eastAsia" w:ascii="仿宋_GB2312" w:hAnsi="仿宋" w:eastAsia="仿宋_GB2312" w:cs="仿宋_GB2312"/>
          <w:sz w:val="32"/>
          <w:szCs w:val="32"/>
        </w:rPr>
        <w:t>分析预算执行中的得失</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以推动单位加强内部管理</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制定</w:t>
      </w:r>
      <w:r>
        <w:rPr>
          <w:rFonts w:hint="eastAsia" w:ascii="仿宋_GB2312" w:hAnsi="仿宋" w:eastAsia="仿宋_GB2312" w:cs="仿宋_GB2312"/>
          <w:sz w:val="32"/>
          <w:szCs w:val="32"/>
          <w:lang w:eastAsia="zh-CN"/>
        </w:rPr>
        <w:t>适合</w:t>
      </w:r>
      <w:r>
        <w:rPr>
          <w:rFonts w:hint="eastAsia" w:ascii="仿宋_GB2312" w:hAnsi="仿宋" w:eastAsia="仿宋_GB2312" w:cs="仿宋_GB2312"/>
          <w:sz w:val="32"/>
          <w:szCs w:val="32"/>
        </w:rPr>
        <w:t>本单位的内控制度</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rPr>
        <w:t>促进</w:t>
      </w:r>
      <w:r>
        <w:rPr>
          <w:rFonts w:hint="eastAsia" w:ascii="仿宋_GB2312" w:hAnsi="仿宋" w:eastAsia="仿宋_GB2312" w:cs="仿宋_GB2312"/>
          <w:sz w:val="32"/>
          <w:szCs w:val="32"/>
          <w:lang w:eastAsia="zh-CN"/>
        </w:rPr>
        <w:t>单位发展</w:t>
      </w:r>
      <w:r>
        <w:rPr>
          <w:rFonts w:hint="eastAsia" w:ascii="仿宋_GB2312" w:hAnsi="仿宋" w:eastAsia="仿宋_GB2312" w:cs="仿宋_GB2312"/>
          <w:sz w:val="32"/>
          <w:szCs w:val="32"/>
        </w:rPr>
        <w:t>。为编报一份高质量的部门决算报表</w:t>
      </w:r>
      <w:r>
        <w:rPr>
          <w:rFonts w:hint="eastAsia" w:ascii="仿宋_GB2312" w:hAnsi="仿宋" w:eastAsia="仿宋_GB2312" w:cs="仿宋_GB2312"/>
          <w:sz w:val="32"/>
          <w:szCs w:val="32"/>
          <w:lang w:eastAsia="zh-CN"/>
        </w:rPr>
        <w:t>，本单位需</w:t>
      </w:r>
      <w:r>
        <w:rPr>
          <w:rFonts w:hint="eastAsia" w:ascii="仿宋_GB2312" w:hAnsi="仿宋" w:eastAsia="仿宋_GB2312" w:cs="仿宋_GB2312"/>
          <w:sz w:val="32"/>
          <w:szCs w:val="32"/>
        </w:rPr>
        <w:t>从日常工作、前期准备、报表分析等方面做好全过程精细化的财务管理。</w:t>
      </w:r>
    </w:p>
    <w:p w14:paraId="22699E0A">
      <w:pPr>
        <w:keepNext w:val="0"/>
        <w:keepLines w:val="0"/>
        <w:pageBreakBefore w:val="0"/>
        <w:widowControl w:val="0"/>
        <w:numPr>
          <w:ilvl w:val="0"/>
          <w:numId w:val="2"/>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评价结论及建议</w:t>
      </w:r>
    </w:p>
    <w:p w14:paraId="6A76FD29">
      <w:pPr>
        <w:keepNext w:val="0"/>
        <w:keepLines w:val="0"/>
        <w:pageBreakBefore w:val="0"/>
        <w:widowControl w:val="0"/>
        <w:numPr>
          <w:ilvl w:val="0"/>
          <w:numId w:val="4"/>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评价结论</w:t>
      </w:r>
    </w:p>
    <w:p w14:paraId="08E2D038">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根据部门预算绩效评价指标体系，202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eastAsia="zh-CN"/>
        </w:rPr>
        <w:t>年自评得分为9</w:t>
      </w: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eastAsia="zh-CN"/>
        </w:rPr>
        <w:t>分，评价等级为“优”。</w:t>
      </w:r>
      <w:r>
        <w:rPr>
          <w:rFonts w:hint="eastAsia" w:ascii="仿宋" w:hAnsi="仿宋" w:eastAsia="仿宋" w:cs="楷体_GB2312"/>
          <w:bCs/>
          <w:sz w:val="32"/>
          <w:szCs w:val="32"/>
          <w:lang w:val="zh-CN"/>
        </w:rPr>
        <w:t>本单位</w:t>
      </w:r>
      <w:r>
        <w:rPr>
          <w:rFonts w:hint="eastAsia" w:ascii="仿宋_GB2312" w:hAnsi="仿宋" w:eastAsia="仿宋_GB2312" w:cs="仿宋_GB2312"/>
          <w:sz w:val="32"/>
          <w:szCs w:val="32"/>
          <w:lang w:eastAsia="zh-CN"/>
        </w:rPr>
        <w:t>经过调查研究和科学论证，制定与法律法规、政策和社会发展要求相符的目标任务，目标任务清晰明确，能够体现部门目标任务完成情况和部门预期实现的效益；按照</w:t>
      </w:r>
      <w:r>
        <w:rPr>
          <w:rFonts w:hint="eastAsia" w:ascii="仿宋_GB2312" w:hAnsi="仿宋" w:eastAsia="仿宋_GB2312" w:cs="仿宋_GB2312"/>
          <w:sz w:val="32"/>
          <w:szCs w:val="32"/>
          <w:lang w:val="en-US" w:eastAsia="zh-CN"/>
        </w:rPr>
        <w:t>县</w:t>
      </w:r>
      <w:r>
        <w:rPr>
          <w:rFonts w:hint="eastAsia" w:ascii="仿宋_GB2312" w:hAnsi="仿宋" w:eastAsia="仿宋_GB2312" w:cs="仿宋_GB2312"/>
          <w:sz w:val="32"/>
          <w:szCs w:val="32"/>
          <w:lang w:eastAsia="zh-CN"/>
        </w:rPr>
        <w:t>财政局预算编制要求，按时完成</w:t>
      </w:r>
      <w:r>
        <w:rPr>
          <w:rFonts w:hint="eastAsia" w:ascii="仿宋_GB2312" w:hAnsi="仿宋" w:eastAsia="仿宋_GB2312" w:cs="仿宋_GB2312"/>
          <w:sz w:val="32"/>
          <w:szCs w:val="32"/>
          <w:lang w:val="en-US" w:eastAsia="zh-CN"/>
        </w:rPr>
        <w:t>本部门</w:t>
      </w:r>
      <w:r>
        <w:rPr>
          <w:rFonts w:hint="eastAsia" w:ascii="仿宋_GB2312" w:hAnsi="仿宋" w:eastAsia="仿宋_GB2312" w:cs="仿宋_GB2312"/>
          <w:sz w:val="32"/>
          <w:szCs w:val="32"/>
          <w:lang w:eastAsia="zh-CN"/>
        </w:rPr>
        <w:t>的预算编制工作并提交</w:t>
      </w:r>
      <w:r>
        <w:rPr>
          <w:rFonts w:hint="eastAsia" w:ascii="仿宋_GB2312" w:hAnsi="仿宋" w:eastAsia="仿宋_GB2312" w:cs="仿宋_GB2312"/>
          <w:sz w:val="32"/>
          <w:szCs w:val="32"/>
          <w:lang w:val="en-US" w:eastAsia="zh-CN"/>
        </w:rPr>
        <w:t>县</w:t>
      </w:r>
      <w:r>
        <w:rPr>
          <w:rFonts w:hint="eastAsia" w:ascii="仿宋_GB2312" w:hAnsi="仿宋" w:eastAsia="仿宋_GB2312" w:cs="仿宋_GB2312"/>
          <w:sz w:val="32"/>
          <w:szCs w:val="32"/>
          <w:lang w:eastAsia="zh-CN"/>
        </w:rPr>
        <w:t>财政局，部门预算编制完整、准确、规范；按要求开展预算执行中期评估工作；严格预算执行管理；除涉密信息外，及时向社会公开本部门预算、决算；按要求公开部门整体支出绩效自评报告及其他按要求应公开的绩效信息。按部门职能职责和年度总体目标细化设置履职成效指标；社会公众、相关协同部门、部门管理对象等对部门绩效情况满意度较高；年底基本能够达到年初制定的绩效目标。</w:t>
      </w:r>
    </w:p>
    <w:p w14:paraId="110BAE57">
      <w:pPr>
        <w:keepNext w:val="0"/>
        <w:keepLines w:val="0"/>
        <w:pageBreakBefore w:val="0"/>
        <w:widowControl w:val="0"/>
        <w:numPr>
          <w:ilvl w:val="0"/>
          <w:numId w:val="4"/>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left="0" w:leftChars="0"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存在问题</w:t>
      </w:r>
    </w:p>
    <w:p w14:paraId="773431EA">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绩效目标制定不够完善，预算编制不够科学合理。</w:t>
      </w:r>
    </w:p>
    <w:p w14:paraId="7250488A">
      <w:pPr>
        <w:keepNext w:val="0"/>
        <w:keepLines w:val="0"/>
        <w:pageBreakBefore w:val="0"/>
        <w:widowControl w:val="0"/>
        <w:numPr>
          <w:ilvl w:val="0"/>
          <w:numId w:val="4"/>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left="0" w:leftChars="0" w:firstLine="643" w:firstLineChars="200"/>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改进建议</w:t>
      </w:r>
    </w:p>
    <w:p w14:paraId="7F37E8E3">
      <w:pPr>
        <w:keepNext w:val="0"/>
        <w:keepLines w:val="0"/>
        <w:pageBreakBefore w:val="0"/>
        <w:widowControl w:val="0"/>
        <w:numPr>
          <w:ilvl w:val="0"/>
          <w:numId w:val="0"/>
        </w:numPr>
        <w:pBdr>
          <w:bottom w:val="single" w:color="FFFFFF" w:sz="4" w:space="31"/>
        </w:pBdr>
        <w:shd w:val="clear" w:color="auto" w:fill="FFFFFF"/>
        <w:tabs>
          <w:tab w:val="left" w:pos="1440"/>
        </w:tabs>
        <w:kinsoku/>
        <w:wordWrap/>
        <w:overflowPunct/>
        <w:topLinePunct w:val="0"/>
        <w:autoSpaceDE/>
        <w:autoSpaceDN/>
        <w:bidi w:val="0"/>
        <w:adjustRightInd/>
        <w:snapToGrid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 w:eastAsia="仿宋_GB2312" w:cs="仿宋_GB2312"/>
          <w:kern w:val="2"/>
          <w:sz w:val="32"/>
          <w:szCs w:val="32"/>
          <w:lang w:val="en-US" w:eastAsia="zh-CN" w:bidi="ar-SA"/>
        </w:rPr>
        <w:t>进一步完善绩效目标填报工作，强化绩效指标实用性。绩效目标是整个预算绩效管理的起点，与部门履职效率有直接关系。在接下来的工作中，应严格按照经济性、效率性及效益性原则设置对应指标，提高绩效指标实用性。认真履行预算编报要求，提高预算编报的科学性。严格按照相关预算编报文件要求，结合近年来执行情况，合理编制各项预算，提高预算的科学性和准确性。</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4013855-8CA1-4577-9A21-B11A38BDD23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205E85AB-C550-4EF3-A080-D4EC87D80E3A}"/>
  </w:font>
  <w:font w:name="??">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3" w:fontKey="{C61F3C57-6FF1-469C-A8DB-38DFC4E9E75F}"/>
  </w:font>
  <w:font w:name="方正粗宋简体">
    <w:altName w:val="方正书宋_GBK"/>
    <w:panose1 w:val="00000000000000000000"/>
    <w:charset w:val="86"/>
    <w:family w:val="script"/>
    <w:pitch w:val="default"/>
    <w:sig w:usb0="00000000" w:usb1="00000000" w:usb2="00000010" w:usb3="00000000" w:csb0="00040000" w:csb1="00000000"/>
    <w:embedRegular r:id="rId4" w:fontKey="{8873A98E-10B4-4FF9-8992-A2ED8DE40883}"/>
  </w:font>
  <w:font w:name="方正书宋_GBK">
    <w:panose1 w:val="03000509000000000000"/>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embedRegular r:id="rId5" w:fontKey="{25C1D1AF-9092-42CA-8355-C7097B66EB42}"/>
  </w:font>
  <w:font w:name="方正小标宋_GBK">
    <w:panose1 w:val="03000509000000000000"/>
    <w:charset w:val="86"/>
    <w:family w:val="auto"/>
    <w:pitch w:val="default"/>
    <w:sig w:usb0="00000001" w:usb1="080E0000" w:usb2="00000000" w:usb3="00000000" w:csb0="00040000" w:csb1="00000000"/>
    <w:embedRegular r:id="rId6" w:fontKey="{D9A74DFD-4E0C-4C65-AABA-490F3EF2FC8C}"/>
  </w:font>
  <w:font w:name="楷体_GB2312">
    <w:panose1 w:val="02010609030101010101"/>
    <w:charset w:val="86"/>
    <w:family w:val="auto"/>
    <w:pitch w:val="default"/>
    <w:sig w:usb0="00000001" w:usb1="080E0000" w:usb2="00000000" w:usb3="00000000" w:csb0="00040000" w:csb1="00000000"/>
    <w:embedRegular r:id="rId7" w:fontKey="{1DFD73F7-154A-4141-8B34-E482AB0D222E}"/>
  </w:font>
  <w:font w:name="仿宋">
    <w:panose1 w:val="02010609060101010101"/>
    <w:charset w:val="86"/>
    <w:family w:val="modern"/>
    <w:pitch w:val="default"/>
    <w:sig w:usb0="800002BF" w:usb1="38CF7CFA" w:usb2="00000016" w:usb3="00000000" w:csb0="00040001" w:csb1="00000000"/>
    <w:embedRegular r:id="rId8" w:fontKey="{EB8F479E-B446-46FF-902F-B2B712FE14AB}"/>
  </w:font>
  <w:font w:name="方正仿宋_GBK">
    <w:panose1 w:val="03000509000000000000"/>
    <w:charset w:val="86"/>
    <w:family w:val="auto"/>
    <w:pitch w:val="default"/>
    <w:sig w:usb0="00000001" w:usb1="080E0000" w:usb2="00000000" w:usb3="00000000" w:csb0="00040000" w:csb1="00000000"/>
    <w:embedRegular r:id="rId9" w:fontKey="{85C3D988-805B-4B7F-B46D-79DE658456AA}"/>
  </w:font>
  <w:font w:name="WPSEMBED1">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32128">
    <w:pPr>
      <w:pStyle w:val="4"/>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2974F66B">
                <w:pPr>
                  <w:pStyle w:val="4"/>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923F9F"/>
    <w:multiLevelType w:val="singleLevel"/>
    <w:tmpl w:val="84923F9F"/>
    <w:lvl w:ilvl="0" w:tentative="0">
      <w:start w:val="2"/>
      <w:numFmt w:val="chineseCounting"/>
      <w:suff w:val="nothing"/>
      <w:lvlText w:val="（%1）"/>
      <w:lvlJc w:val="left"/>
      <w:rPr>
        <w:rFonts w:hint="eastAsia"/>
      </w:rPr>
    </w:lvl>
  </w:abstractNum>
  <w:abstractNum w:abstractNumId="1">
    <w:nsid w:val="B2E23667"/>
    <w:multiLevelType w:val="singleLevel"/>
    <w:tmpl w:val="B2E23667"/>
    <w:lvl w:ilvl="0" w:tentative="0">
      <w:start w:val="3"/>
      <w:numFmt w:val="chineseCounting"/>
      <w:suff w:val="nothing"/>
      <w:lvlText w:val="（%1）"/>
      <w:lvlJc w:val="left"/>
      <w:rPr>
        <w:rFonts w:hint="eastAsia"/>
      </w:rPr>
    </w:lvl>
  </w:abstractNum>
  <w:abstractNum w:abstractNumId="2">
    <w:nsid w:val="103E419A"/>
    <w:multiLevelType w:val="singleLevel"/>
    <w:tmpl w:val="103E419A"/>
    <w:lvl w:ilvl="0" w:tentative="0">
      <w:start w:val="1"/>
      <w:numFmt w:val="chineseCounting"/>
      <w:suff w:val="nothing"/>
      <w:lvlText w:val="（%1）"/>
      <w:lvlJc w:val="left"/>
      <w:rPr>
        <w:rFonts w:hint="eastAsia"/>
      </w:rPr>
    </w:lvl>
  </w:abstractNum>
  <w:abstractNum w:abstractNumId="3">
    <w:nsid w:val="62C28196"/>
    <w:multiLevelType w:val="singleLevel"/>
    <w:tmpl w:val="62C28196"/>
    <w:lvl w:ilvl="0" w:tentative="0">
      <w:start w:val="2"/>
      <w:numFmt w:val="chineseCounting"/>
      <w:suff w:val="nothing"/>
      <w:lvlText w:val="%1、"/>
      <w:lvlJc w:val="left"/>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GJmYTA0NjA3NmMwZWJlODQzOTA2NGNmZDNlNmI5N2UifQ=="/>
  </w:docVars>
  <w:rsids>
    <w:rsidRoot w:val="00491B22"/>
    <w:rsid w:val="00291808"/>
    <w:rsid w:val="00491B22"/>
    <w:rsid w:val="0052390C"/>
    <w:rsid w:val="01AA3E65"/>
    <w:rsid w:val="03B10EED"/>
    <w:rsid w:val="05435D83"/>
    <w:rsid w:val="062A135F"/>
    <w:rsid w:val="0693088A"/>
    <w:rsid w:val="06A13A43"/>
    <w:rsid w:val="07206BBE"/>
    <w:rsid w:val="0CA44C5B"/>
    <w:rsid w:val="0E65399E"/>
    <w:rsid w:val="102E1B18"/>
    <w:rsid w:val="12906AB9"/>
    <w:rsid w:val="12AC76B7"/>
    <w:rsid w:val="20D46104"/>
    <w:rsid w:val="220A5416"/>
    <w:rsid w:val="27CE42FE"/>
    <w:rsid w:val="29972AF3"/>
    <w:rsid w:val="2CCC463D"/>
    <w:rsid w:val="33D4485E"/>
    <w:rsid w:val="36435EC2"/>
    <w:rsid w:val="3901386C"/>
    <w:rsid w:val="3BB64BF1"/>
    <w:rsid w:val="3CAC2DCD"/>
    <w:rsid w:val="3DE356DF"/>
    <w:rsid w:val="3EF10DD0"/>
    <w:rsid w:val="41982E29"/>
    <w:rsid w:val="43686B13"/>
    <w:rsid w:val="437102AA"/>
    <w:rsid w:val="46444D70"/>
    <w:rsid w:val="4B58309B"/>
    <w:rsid w:val="51786CFC"/>
    <w:rsid w:val="53782EE0"/>
    <w:rsid w:val="53807BBD"/>
    <w:rsid w:val="54CA6867"/>
    <w:rsid w:val="57365AEB"/>
    <w:rsid w:val="57DB35A4"/>
    <w:rsid w:val="594737D8"/>
    <w:rsid w:val="59B1522C"/>
    <w:rsid w:val="5A74173E"/>
    <w:rsid w:val="5BE85C83"/>
    <w:rsid w:val="5C71500A"/>
    <w:rsid w:val="5FE36286"/>
    <w:rsid w:val="60D032A5"/>
    <w:rsid w:val="624A4C48"/>
    <w:rsid w:val="63A62D82"/>
    <w:rsid w:val="66117BCF"/>
    <w:rsid w:val="697F2471"/>
    <w:rsid w:val="69AA16EA"/>
    <w:rsid w:val="6A396731"/>
    <w:rsid w:val="6AC90B1C"/>
    <w:rsid w:val="6F2F4DCD"/>
    <w:rsid w:val="73547170"/>
    <w:rsid w:val="78322F0E"/>
    <w:rsid w:val="7A085D28"/>
    <w:rsid w:val="7B8747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2"/>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4">
    <w:name w:val="footer"/>
    <w:basedOn w:val="1"/>
    <w:link w:val="1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able of figures"/>
    <w:basedOn w:val="1"/>
    <w:next w:val="1"/>
    <w:unhideWhenUsed/>
    <w:qFormat/>
    <w:uiPriority w:val="99"/>
    <w:pPr>
      <w:ind w:left="200" w:leftChars="200" w:hanging="200" w:hangingChars="200"/>
    </w:pPr>
  </w:style>
  <w:style w:type="paragraph" w:styleId="7">
    <w:name w:val="Normal (Web)"/>
    <w:basedOn w:val="1"/>
    <w:qFormat/>
    <w:uiPriority w:val="0"/>
    <w:pPr>
      <w:spacing w:before="100" w:beforeAutospacing="1" w:after="100" w:afterAutospacing="1"/>
      <w:jc w:val="left"/>
    </w:pPr>
    <w:rPr>
      <w:rFonts w:eastAsia="宋体"/>
      <w:kern w:val="0"/>
      <w:sz w:val="24"/>
      <w:szCs w:val="24"/>
    </w:rPr>
  </w:style>
  <w:style w:type="character" w:customStyle="1" w:styleId="10">
    <w:name w:val="页眉 Char"/>
    <w:basedOn w:val="9"/>
    <w:link w:val="5"/>
    <w:semiHidden/>
    <w:qFormat/>
    <w:uiPriority w:val="99"/>
    <w:rPr>
      <w:sz w:val="18"/>
      <w:szCs w:val="18"/>
    </w:rPr>
  </w:style>
  <w:style w:type="character" w:customStyle="1" w:styleId="11">
    <w:name w:val="页脚 Char"/>
    <w:basedOn w:val="9"/>
    <w:link w:val="4"/>
    <w:semiHidden/>
    <w:qFormat/>
    <w:uiPriority w:val="99"/>
    <w:rPr>
      <w:sz w:val="18"/>
      <w:szCs w:val="18"/>
    </w:rPr>
  </w:style>
  <w:style w:type="character" w:customStyle="1" w:styleId="12">
    <w:name w:val="标题 1 Char"/>
    <w:basedOn w:val="9"/>
    <w:link w:val="3"/>
    <w:qFormat/>
    <w:uiPriority w:val="9"/>
    <w:rPr>
      <w:b/>
      <w:bCs/>
      <w:kern w:val="44"/>
      <w:sz w:val="44"/>
      <w:szCs w:val="44"/>
    </w:rPr>
  </w:style>
  <w:style w:type="paragraph" w:customStyle="1" w:styleId="13">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5</Pages>
  <Words>1354</Words>
  <Characters>1476</Characters>
  <Lines>2</Lines>
  <Paragraphs>1</Paragraphs>
  <TotalTime>31</TotalTime>
  <ScaleCrop>false</ScaleCrop>
  <LinksUpToDate>false</LinksUpToDate>
  <CharactersWithSpaces>1502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哦呀-坚泽</cp:lastModifiedBy>
  <dcterms:modified xsi:type="dcterms:W3CDTF">2025-09-05T03:10:36Z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C0FD8F207129418E957F274EA98D553D</vt:lpwstr>
  </property>
  <property fmtid="{D5CDD505-2E9C-101B-9397-08002B2CF9AE}" pid="4" name="KSOTemplateDocerSaveRecord">
    <vt:lpwstr>eyJoZGlkIjoiNGUxNWQ2YTkyNzA2ZGNkZDUwMDBjNDMyYWE4MjlhNjEiLCJ1c2VySWQiOiIyOTg0ODUzODUifQ==</vt:lpwstr>
  </property>
</Properties>
</file>