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bookmarkStart w:id="0" w:name="_Toc15396616"/>
      <w:r>
        <w:rPr>
          <w:rFonts w:hint="eastAsia" w:ascii="仿宋_GB2312" w:hAnsi="仿宋_GB2312" w:eastAsia="仿宋_GB2312" w:cs="仿宋_GB2312"/>
          <w:sz w:val="32"/>
          <w:szCs w:val="32"/>
          <w:lang w:val="en-US" w:eastAsia="zh-CN"/>
        </w:rPr>
        <w:t>附件2</w:t>
      </w:r>
    </w:p>
    <w:p>
      <w:pPr>
        <w:ind w:right="0" w:rightChars="0"/>
        <w:jc w:val="center"/>
        <w:rPr>
          <w:rFonts w:hint="eastAsia"/>
          <w:lang w:eastAsia="zh-CN"/>
        </w:rPr>
      </w:pPr>
      <w:r>
        <w:rPr>
          <w:rFonts w:hint="eastAsia" w:ascii="方正粗宋简体" w:hAnsi="宋体" w:eastAsia="方正粗宋简体" w:cs="Times New Roman"/>
          <w:b/>
          <w:bCs/>
          <w:color w:val="FF0000"/>
          <w:w w:val="43"/>
          <w:sz w:val="154"/>
          <w:szCs w:val="154"/>
          <w:lang w:eastAsia="zh-CN"/>
        </w:rPr>
        <w:t>中共黑水县委政法委员会文</w:t>
      </w:r>
      <w:r>
        <w:rPr>
          <w:rFonts w:hint="eastAsia" w:ascii="方正粗宋简体" w:hAnsi="宋体" w:eastAsia="方正粗宋简体" w:cs="Times New Roman"/>
          <w:b/>
          <w:bCs/>
          <w:color w:val="FF0000"/>
          <w:spacing w:val="36"/>
          <w:w w:val="43"/>
          <w:sz w:val="154"/>
          <w:szCs w:val="154"/>
          <w:lang w:eastAsia="zh-CN"/>
        </w:rPr>
        <w:t>件</w:t>
      </w:r>
    </w:p>
    <w:p>
      <w:pPr>
        <w:pStyle w:val="11"/>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hint="eastAsia" w:ascii="Calibri" w:hAnsi="Calibri" w:eastAsia="宋体" w:cs="Times New Roman"/>
          <w:b/>
          <w:color w:val="FF0000"/>
          <w:sz w:val="52"/>
          <w:szCs w:val="52"/>
          <w:lang w:eastAsia="zh-CN"/>
        </w:rPr>
        <w:t>★</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p>
    <w:p>
      <w:pPr>
        <w:keepNext w:val="0"/>
        <w:keepLines w:val="0"/>
        <w:pageBreakBefore w:val="0"/>
        <w:widowControl w:val="0"/>
        <w:kinsoku/>
        <w:wordWrap/>
        <w:overflowPunct/>
        <w:topLinePunct w:val="0"/>
        <w:autoSpaceDE/>
        <w:autoSpaceDN/>
        <w:bidi w:val="0"/>
        <w:snapToGrid/>
        <w:spacing w:line="560" w:lineRule="exact"/>
        <w:jc w:val="both"/>
        <w:textAlignment w:val="auto"/>
        <w:outlineLvl w:val="0"/>
        <w:rPr>
          <w:rFonts w:hint="eastAsia" w:ascii="方正小标宋简体" w:hAnsi="方正小标宋简体" w:eastAsia="方正小标宋简体" w:cs="方正小标宋简体"/>
          <w:b w:val="0"/>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中共黑水县委政法委员会 黑水县司法局（汇总）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24</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度</w:t>
      </w:r>
      <w:r>
        <w:rPr>
          <w:rFonts w:hint="eastAsia" w:ascii="方正小标宋_GBK" w:hAnsi="方正小标宋_GBK" w:eastAsia="方正小标宋_GBK" w:cs="方正小标宋_GBK"/>
          <w:b w:val="0"/>
          <w:bCs/>
          <w:sz w:val="44"/>
          <w:szCs w:val="44"/>
        </w:rPr>
        <w:t>部门整体支出绩效评价报告</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一、部门（单位）概况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县委政法委是县委领导和管理政法工作的职能部门，为正科级。县司法局</w:t>
      </w:r>
      <w:r>
        <w:rPr>
          <w:rFonts w:hint="eastAsia" w:ascii="仿宋_GB2312" w:hAnsi="仿宋_GB2312" w:eastAsia="仿宋_GB2312" w:cs="仿宋_GB2312"/>
          <w:color w:val="auto"/>
          <w:sz w:val="32"/>
          <w:szCs w:val="32"/>
          <w:lang w:eastAsia="zh-CN"/>
        </w:rPr>
        <w:t>与</w:t>
      </w:r>
      <w:r>
        <w:rPr>
          <w:rFonts w:hint="eastAsia" w:ascii="仿宋_GB2312" w:hAnsi="仿宋_GB2312" w:eastAsia="仿宋_GB2312" w:cs="仿宋_GB2312"/>
          <w:color w:val="auto"/>
          <w:sz w:val="32"/>
          <w:szCs w:val="32"/>
        </w:rPr>
        <w:t>县委政法委合署办公，实行一套工作机构，两个机关名称。</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eastAsia="zh-CN"/>
        </w:rPr>
        <w:t>县委政法委、县司法局</w:t>
      </w:r>
      <w:r>
        <w:rPr>
          <w:rFonts w:hint="eastAsia" w:ascii="仿宋_GB2312" w:hAnsi="仿宋_GB2312" w:eastAsia="仿宋_GB2312" w:cs="仿宋_GB2312"/>
          <w:color w:val="auto"/>
          <w:sz w:val="32"/>
          <w:szCs w:val="32"/>
        </w:rPr>
        <w:t>机关内设股室</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，分别为：</w:t>
      </w:r>
      <w:r>
        <w:rPr>
          <w:rFonts w:hint="eastAsia" w:ascii="仿宋_GB2312" w:hAnsi="仿宋_GB2312" w:eastAsia="仿宋_GB2312" w:cs="仿宋_GB2312"/>
          <w:color w:val="auto"/>
          <w:sz w:val="32"/>
          <w:szCs w:val="32"/>
          <w:lang w:val="en-US" w:eastAsia="zh-CN"/>
        </w:rPr>
        <w:t>办公室、维稳反分裂与反邪教股、基层社会治理与平安创建股、法制股（行政复议与应诉股）、社区矫正管理股、公共法律服务管理股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派出</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个乡镇司法所</w:t>
      </w:r>
      <w:r>
        <w:rPr>
          <w:rFonts w:hint="eastAsia" w:ascii="仿宋_GB2312" w:hAnsi="仿宋_GB2312" w:eastAsia="仿宋_GB2312" w:cs="仿宋_GB2312"/>
          <w:color w:val="auto"/>
          <w:sz w:val="32"/>
          <w:szCs w:val="32"/>
          <w:lang w:eastAsia="zh-CN"/>
        </w:rPr>
        <w:t>，作为</w:t>
      </w:r>
      <w:r>
        <w:rPr>
          <w:rFonts w:hint="eastAsia" w:ascii="仿宋_GB2312" w:hAnsi="仿宋_GB2312" w:eastAsia="仿宋_GB2312" w:cs="仿宋_GB2312"/>
          <w:color w:val="auto"/>
          <w:sz w:val="32"/>
          <w:szCs w:val="32"/>
        </w:rPr>
        <w:t>县司法局的副科级行政机构</w:t>
      </w:r>
      <w:r>
        <w:rPr>
          <w:rFonts w:hint="eastAsia" w:ascii="仿宋_GB2312" w:hAnsi="仿宋_GB2312" w:eastAsia="仿宋_GB2312" w:cs="仿宋_GB2312"/>
          <w:color w:val="auto"/>
          <w:sz w:val="32"/>
          <w:szCs w:val="32"/>
          <w:lang w:eastAsia="zh-CN"/>
        </w:rPr>
        <w:t>，分别为：沙石多司法所、芦花司法所、西尔司法所、木苏司法所、维古司法所、色尔古司法所、瓦钵司法所、石碉楼司法所、龙坝司法所、洛多司法所、慈</w:t>
      </w:r>
      <w:r>
        <w:rPr>
          <w:rFonts w:hint="eastAsia" w:ascii="仿宋_GB2312" w:hAnsi="仿宋_GB2312" w:eastAsia="仿宋_GB2312" w:cs="仿宋_GB2312"/>
          <w:color w:val="auto"/>
          <w:sz w:val="32"/>
          <w:szCs w:val="32"/>
          <w:lang w:val="en-US" w:eastAsia="zh-CN"/>
        </w:rPr>
        <w:t>坝</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、知木林</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、卡龙</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、扎窝</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、晴朗</w:t>
      </w:r>
      <w:r>
        <w:rPr>
          <w:rFonts w:hint="eastAsia" w:ascii="仿宋_GB2312" w:hAnsi="仿宋_GB2312" w:eastAsia="仿宋_GB2312" w:cs="仿宋_GB2312"/>
          <w:color w:val="auto"/>
          <w:sz w:val="32"/>
          <w:szCs w:val="32"/>
          <w:lang w:eastAsia="zh-CN"/>
        </w:rPr>
        <w:t>司法所；直</w:t>
      </w:r>
      <w:r>
        <w:rPr>
          <w:rFonts w:hint="eastAsia" w:ascii="仿宋_GB2312" w:hAnsi="仿宋_GB2312" w:eastAsia="仿宋_GB2312" w:cs="仿宋_GB2312"/>
          <w:color w:val="auto"/>
          <w:sz w:val="32"/>
          <w:szCs w:val="32"/>
        </w:rPr>
        <w:t>属事业单位</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，分别为：黑水县矛盾纠纷大调解协调中心，四川省黑水县公证处，黑水县法律援助中心（参照公务员管理）</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县委政法委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县司法局负责贯彻落实党中央关于政法工作、全面依法治国的方针政策和省委、州委、县委决策部署，把坚持和加强党对政法工作的绝对领导、全面依法治县工作落实到履行职责过程中，主要职责是：</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坚决执行党的路线方针政策和党中央、省委、州委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县委重大决策部署，推动完善和落实政治轮训、政治督察制度，推进平安黑水、法治黑水建设，加强过硬队伍建设，深化智能化建设，坚决维护国家</w:t>
      </w:r>
      <w:bookmarkStart w:id="1" w:name="_GoBack"/>
      <w:bookmarkEnd w:id="1"/>
      <w:r>
        <w:rPr>
          <w:rFonts w:hint="eastAsia" w:ascii="仿宋_GB2312" w:hAnsi="仿宋_GB2312" w:eastAsia="仿宋_GB2312" w:cs="仿宋_GB2312"/>
          <w:color w:val="auto"/>
          <w:sz w:val="32"/>
          <w:szCs w:val="32"/>
        </w:rPr>
        <w:t>安全、确保社会大局稳定、促进社会公平正义。</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研究协调政法单位之间以及政法单位和有关部门、地方之间有关重大事项，统一政法单位思想和行动。</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组织开展政法领域</w:t>
      </w:r>
      <w:r>
        <w:rPr>
          <w:rFonts w:hint="eastAsia" w:ascii="仿宋_GB2312" w:hAnsi="仿宋_GB2312" w:eastAsia="仿宋_GB2312" w:cs="仿宋_GB2312"/>
          <w:color w:val="auto"/>
          <w:sz w:val="32"/>
          <w:szCs w:val="32"/>
          <w:lang w:eastAsia="zh-CN"/>
        </w:rPr>
        <w:t>重大理论和实践问题</w:t>
      </w:r>
      <w:r>
        <w:rPr>
          <w:rFonts w:hint="eastAsia" w:ascii="仿宋_GB2312" w:hAnsi="仿宋_GB2312" w:eastAsia="仿宋_GB2312" w:cs="仿宋_GB2312"/>
          <w:color w:val="auto"/>
          <w:sz w:val="32"/>
          <w:szCs w:val="32"/>
        </w:rPr>
        <w:t>的调查研究，研究拟订全县政法工作的政策措施，及时向县委提出重大决策部署和改革措施的建议，协助县委决策和统筹推进政法领域改革等各项工作。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督促落实《维护社会稳定责任制规定》，了解掌握和分析研判社会稳定形势、政法工作情况动态，健全社会风险防范化解制度，创新完善多部门参与的综治维稳工作机制，构建社会矛盾纠纷多元预防调处化解综合机制，推动落实社会稳定风险评估，协调推动预防化解影响稳定的社会矛盾和风险，协调应对和妥善处置重大突发事件。</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加强对政法工作的督查，统筹协调维护政治安全、维护社会稳定、社会治安综合治理、反邪教、反暴恐等有关法律法规和政策的实施工作。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支持和监督政法单位依法行使职权，检查政法单位执行党的路线方针政策</w:t>
      </w:r>
      <w:r>
        <w:rPr>
          <w:rFonts w:hint="eastAsia" w:ascii="仿宋_GB2312" w:hAnsi="仿宋_GB2312" w:eastAsia="仿宋_GB2312" w:cs="仿宋_GB2312"/>
          <w:color w:val="auto"/>
          <w:sz w:val="32"/>
          <w:szCs w:val="32"/>
          <w:lang w:eastAsia="zh-CN"/>
        </w:rPr>
        <w:t>、党</w:t>
      </w:r>
      <w:r>
        <w:rPr>
          <w:rFonts w:hint="eastAsia" w:ascii="仿宋_GB2312" w:hAnsi="仿宋_GB2312" w:eastAsia="仿宋_GB2312" w:cs="仿宋_GB2312"/>
          <w:color w:val="auto"/>
          <w:sz w:val="32"/>
          <w:szCs w:val="32"/>
        </w:rPr>
        <w:t>委重大决策部署以及法律法规的情况，研究和协调重大、疑难案件，完善与纪检监察机关工作衔接和协作配合机制，推进严格执法、公正司法。</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指导推动政法系统党的建设和政法队伍建设，协助县委及县委组织部加强政法单位领导班子和干部队伍建设，协助县委和县</w:t>
      </w:r>
      <w:r>
        <w:rPr>
          <w:rFonts w:hint="eastAsia" w:ascii="仿宋_GB2312" w:hAnsi="仿宋_GB2312" w:eastAsia="仿宋_GB2312" w:cs="仿宋_GB2312"/>
          <w:color w:val="auto"/>
          <w:sz w:val="32"/>
          <w:szCs w:val="32"/>
          <w:lang w:eastAsia="zh-CN"/>
        </w:rPr>
        <w:t>纪委监委专责监督</w:t>
      </w:r>
      <w:r>
        <w:rPr>
          <w:rFonts w:hint="eastAsia" w:ascii="仿宋_GB2312" w:hAnsi="仿宋_GB2312" w:eastAsia="仿宋_GB2312" w:cs="仿宋_GB2312"/>
          <w:color w:val="auto"/>
          <w:sz w:val="32"/>
          <w:szCs w:val="32"/>
        </w:rPr>
        <w:t>检查、审查调查工作。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指导政法单位加强政治安全、社会稳定、平安建设、法治建设等重大问题研究，提出建议和工作意见。指导和协调政法单位开展维护政治安全、维护社会稳定、执法司法、创新社会治理等有关工作。协调推动常态化扫黑除恶斗争。指导见义勇为表彰奖励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掌握分析政法舆情动态，指导协调政法单位和有关部门做好依法办理、宣传报道和舆论引导等相关工作，推动政法网络新媒体发展。统筹指导并推动政法系统网络安全工作和智能化建设。</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承担全面依法治国、依法治省、依法治州、依法治县重大问题的政策研究，协调有关方面提出全面依法治县规划建议，负责有关重大决策部署督察工作。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负责县政府规范性文件、重大行政决策发布前的合法性审查。承办县政府规范性文件的报送备案工作。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承担统筹推进法治政府建设的责任。指导监督全县依法行政、行政复议、行政应诉和行政赔偿工作，承办向县政府申请的行政复议、行政赔偿案件，协调、监督检查全县行政执法，代理县政府行政应诉案件。</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承担统筹规划法治社会建设的责任。负责拟订法治宣传教育规划，组织实施普法宣传工作。推动人民参与和促进法治建设。指导依法治理、法治创建和人民调解工作。</w:t>
      </w:r>
      <w:r>
        <w:rPr>
          <w:rFonts w:hint="eastAsia" w:ascii="仿宋_GB2312" w:hAnsi="仿宋_GB2312" w:eastAsia="仿宋_GB2312" w:cs="仿宋_GB2312"/>
          <w:color w:val="auto"/>
          <w:sz w:val="32"/>
          <w:szCs w:val="32"/>
          <w:lang w:eastAsia="zh-CN"/>
        </w:rPr>
        <w:t>协助</w:t>
      </w:r>
      <w:r>
        <w:rPr>
          <w:rFonts w:hint="eastAsia" w:ascii="仿宋_GB2312" w:hAnsi="仿宋_GB2312" w:eastAsia="仿宋_GB2312" w:cs="仿宋_GB2312"/>
          <w:color w:val="auto"/>
          <w:sz w:val="32"/>
          <w:szCs w:val="32"/>
        </w:rPr>
        <w:t>人民监督员的选任管理工作。指导人民陪审员选任工作。</w:t>
      </w:r>
      <w:r>
        <w:rPr>
          <w:rFonts w:hint="eastAsia" w:ascii="仿宋_GB2312" w:hAnsi="仿宋_GB2312" w:eastAsia="仿宋_GB2312" w:cs="仿宋_GB2312"/>
          <w:color w:val="auto"/>
          <w:sz w:val="32"/>
          <w:szCs w:val="32"/>
          <w:lang w:eastAsia="zh-CN"/>
        </w:rPr>
        <w:t>负责</w:t>
      </w:r>
      <w:r>
        <w:rPr>
          <w:rFonts w:hint="eastAsia" w:ascii="仿宋_GB2312" w:hAnsi="仿宋_GB2312" w:eastAsia="仿宋_GB2312" w:cs="仿宋_GB2312"/>
          <w:color w:val="auto"/>
          <w:sz w:val="32"/>
          <w:szCs w:val="32"/>
        </w:rPr>
        <w:t>司法所</w:t>
      </w:r>
      <w:r>
        <w:rPr>
          <w:rFonts w:hint="eastAsia" w:ascii="仿宋_GB2312" w:hAnsi="仿宋_GB2312" w:eastAsia="仿宋_GB2312" w:cs="仿宋_GB2312"/>
          <w:color w:val="auto"/>
          <w:sz w:val="32"/>
          <w:szCs w:val="32"/>
          <w:lang w:eastAsia="zh-CN"/>
        </w:rPr>
        <w:t>建设工作。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指导管理社区矫正工作。指导刑满释放人员帮教安置工作。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 xml:space="preserve">负责拟订全县公共法律服务体系建设规划并指导实施，统筹和布局全县法律服务资源。指导监督律师、法律援助、公证、仲裁和基层法律服务管理工作。  </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完成县委、县政府交办的其他任务。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Cs w:val="32"/>
        </w:rPr>
      </w:pPr>
      <w:r>
        <w:rPr>
          <w:rFonts w:hint="eastAsia" w:ascii="仿宋_GB2312" w:hAnsi="仿宋_GB2312" w:eastAsia="仿宋_GB2312" w:cs="仿宋_GB2312"/>
          <w:color w:val="auto"/>
          <w:sz w:val="32"/>
          <w:szCs w:val="32"/>
          <w:lang w:val="en-US" w:eastAsia="zh-CN"/>
        </w:rPr>
        <w:t>2024年8月小县改革后，</w:t>
      </w:r>
      <w:r>
        <w:rPr>
          <w:rFonts w:hint="eastAsia" w:ascii="仿宋_GB2312" w:hAnsi="仿宋_GB2312" w:eastAsia="仿宋_GB2312" w:cs="仿宋_GB2312"/>
          <w:color w:val="auto"/>
          <w:sz w:val="32"/>
          <w:szCs w:val="32"/>
        </w:rPr>
        <w:t>县委政法委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县司法局</w:t>
      </w:r>
      <w:r>
        <w:rPr>
          <w:rFonts w:hint="eastAsia" w:ascii="仿宋_GB2312" w:hAnsi="仿宋_GB2312" w:eastAsia="仿宋_GB2312" w:cs="仿宋_GB2312"/>
          <w:color w:val="auto"/>
          <w:sz w:val="32"/>
          <w:szCs w:val="32"/>
          <w:lang w:val="en-US" w:eastAsia="zh-CN"/>
        </w:rPr>
        <w:t>总编制59名，其中：行政编制7名，</w:t>
      </w:r>
      <w:r>
        <w:rPr>
          <w:rFonts w:hint="eastAsia" w:ascii="仿宋_GB2312" w:hAnsi="仿宋_GB2312" w:eastAsia="仿宋_GB2312" w:cs="仿宋_GB2312"/>
          <w:color w:val="auto"/>
          <w:sz w:val="32"/>
          <w:szCs w:val="32"/>
        </w:rPr>
        <w:t>政法专项编制</w:t>
      </w:r>
      <w:r>
        <w:rPr>
          <w:rFonts w:hint="eastAsia" w:ascii="仿宋_GB2312" w:hAnsi="仿宋_GB2312" w:eastAsia="仿宋_GB2312" w:cs="仿宋_GB2312"/>
          <w:color w:val="auto"/>
          <w:sz w:val="32"/>
          <w:szCs w:val="32"/>
          <w:lang w:val="en-US" w:eastAsia="zh-CN"/>
        </w:rPr>
        <w:t>32名，工勤编制4名，参公编制6名，事业编制10名。年末在岗在编总人数为47人，其中：行政编制7人，</w:t>
      </w:r>
      <w:r>
        <w:rPr>
          <w:rFonts w:hint="eastAsia" w:ascii="仿宋_GB2312" w:hAnsi="仿宋_GB2312" w:eastAsia="仿宋_GB2312" w:cs="仿宋_GB2312"/>
          <w:color w:val="auto"/>
          <w:sz w:val="32"/>
          <w:szCs w:val="32"/>
        </w:rPr>
        <w:t>政法专项编制</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rPr>
        <w:t>人，工勤</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事业</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人，参公</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；年末</w:t>
      </w:r>
      <w:r>
        <w:rPr>
          <w:rFonts w:hint="eastAsia" w:ascii="仿宋_GB2312" w:hAnsi="仿宋_GB2312" w:eastAsia="仿宋_GB2312" w:cs="仿宋_GB2312"/>
          <w:color w:val="auto"/>
          <w:sz w:val="32"/>
          <w:szCs w:val="32"/>
        </w:rPr>
        <w:t>退休</w:t>
      </w:r>
      <w:r>
        <w:rPr>
          <w:rFonts w:hint="eastAsia" w:ascii="仿宋_GB2312" w:hAnsi="仿宋_GB2312" w:eastAsia="仿宋_GB2312" w:cs="仿宋_GB2312"/>
          <w:color w:val="auto"/>
          <w:sz w:val="32"/>
          <w:szCs w:val="32"/>
          <w:lang w:eastAsia="zh-CN"/>
        </w:rPr>
        <w:t>职工</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；年末</w:t>
      </w:r>
      <w:r>
        <w:rPr>
          <w:rFonts w:hint="eastAsia" w:ascii="仿宋_GB2312" w:hAnsi="仿宋_GB2312" w:eastAsia="仿宋_GB2312" w:cs="仿宋_GB2312"/>
          <w:color w:val="auto"/>
          <w:sz w:val="32"/>
          <w:szCs w:val="32"/>
          <w:lang w:val="en-US" w:eastAsia="zh-CN"/>
        </w:rPr>
        <w:t>遗属3</w:t>
      </w:r>
      <w:r>
        <w:rPr>
          <w:rFonts w:hint="eastAsia" w:ascii="仿宋_GB2312" w:hAnsi="仿宋_GB2312" w:eastAsia="仿宋_GB2312" w:cs="仿宋_GB2312"/>
          <w:color w:val="auto"/>
          <w:sz w:val="32"/>
          <w:szCs w:val="32"/>
        </w:rPr>
        <w:t>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二、部门财政资金收支情况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bCs/>
          <w:color w:val="auto"/>
          <w:sz w:val="32"/>
          <w:szCs w:val="32"/>
        </w:rPr>
        <w:t>（一）部门财政资金收入情况</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val="0"/>
          <w:bCs w:val="0"/>
          <w:color w:val="auto"/>
          <w:sz w:val="32"/>
          <w:szCs w:val="32"/>
        </w:rPr>
        <w:t>20</w:t>
      </w:r>
      <w:r>
        <w:rPr>
          <w:rFonts w:hint="eastAsia" w:ascii="仿宋_GB2312" w:hAnsi="仿宋_GB2312" w:eastAsia="仿宋_GB2312" w:cs="仿宋_GB2312"/>
          <w:b w:val="0"/>
          <w:bCs w:val="0"/>
          <w:color w:val="auto"/>
          <w:sz w:val="32"/>
          <w:szCs w:val="32"/>
          <w:lang w:val="en-US" w:eastAsia="zh-CN"/>
        </w:rPr>
        <w:t>24</w:t>
      </w:r>
      <w:r>
        <w:rPr>
          <w:rFonts w:hint="eastAsia" w:ascii="仿宋_GB2312" w:hAnsi="仿宋_GB2312" w:eastAsia="仿宋_GB2312" w:cs="仿宋_GB2312"/>
          <w:b w:val="0"/>
          <w:bCs w:val="0"/>
          <w:color w:val="auto"/>
          <w:sz w:val="32"/>
          <w:szCs w:val="32"/>
        </w:rPr>
        <w:t>年度收入总计</w:t>
      </w:r>
      <w:r>
        <w:rPr>
          <w:rFonts w:hint="eastAsia" w:ascii="仿宋_GB2312" w:hAnsi="仿宋_GB2312" w:eastAsia="仿宋_GB2312" w:cs="仿宋_GB2312"/>
          <w:b w:val="0"/>
          <w:bCs w:val="0"/>
          <w:color w:val="auto"/>
          <w:sz w:val="32"/>
          <w:szCs w:val="32"/>
          <w:lang w:val="en-US" w:eastAsia="zh-CN"/>
        </w:rPr>
        <w:t>1833.53</w:t>
      </w:r>
      <w:r>
        <w:rPr>
          <w:rFonts w:hint="eastAsia" w:ascii="仿宋_GB2312" w:hAnsi="仿宋_GB2312" w:eastAsia="仿宋_GB2312" w:cs="仿宋_GB2312"/>
          <w:b w:val="0"/>
          <w:bCs w:val="0"/>
          <w:color w:val="auto"/>
          <w:sz w:val="32"/>
          <w:szCs w:val="32"/>
        </w:rPr>
        <w:t>万元。与20</w:t>
      </w:r>
      <w:r>
        <w:rPr>
          <w:rFonts w:hint="eastAsia" w:ascii="仿宋_GB2312" w:hAnsi="仿宋_GB2312" w:eastAsia="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rPr>
        <w:t>年相比，收入总计</w:t>
      </w:r>
      <w:r>
        <w:rPr>
          <w:rFonts w:hint="eastAsia" w:ascii="仿宋_GB2312" w:hAnsi="仿宋_GB2312" w:eastAsia="仿宋_GB2312" w:cs="仿宋_GB2312"/>
          <w:b w:val="0"/>
          <w:bCs w:val="0"/>
          <w:color w:val="auto"/>
          <w:sz w:val="32"/>
          <w:szCs w:val="32"/>
          <w:lang w:eastAsia="zh-CN"/>
        </w:rPr>
        <w:t>增加</w:t>
      </w:r>
      <w:r>
        <w:rPr>
          <w:rFonts w:hint="eastAsia" w:ascii="仿宋_GB2312" w:hAnsi="仿宋_GB2312" w:eastAsia="仿宋_GB2312" w:cs="仿宋_GB2312"/>
          <w:b w:val="0"/>
          <w:bCs w:val="0"/>
          <w:color w:val="auto"/>
          <w:sz w:val="32"/>
          <w:szCs w:val="32"/>
          <w:lang w:val="en-US" w:eastAsia="zh-CN"/>
        </w:rPr>
        <w:t>1168.52</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增长</w:t>
      </w:r>
      <w:r>
        <w:rPr>
          <w:rFonts w:hint="eastAsia" w:ascii="仿宋_GB2312" w:hAnsi="仿宋_GB2312" w:eastAsia="仿宋_GB2312" w:cs="仿宋_GB2312"/>
          <w:b w:val="0"/>
          <w:bCs w:val="0"/>
          <w:color w:val="auto"/>
          <w:sz w:val="32"/>
          <w:szCs w:val="32"/>
          <w:lang w:val="en-US" w:eastAsia="zh-CN"/>
        </w:rPr>
        <w:t>175.71</w:t>
      </w:r>
      <w:r>
        <w:rPr>
          <w:rFonts w:hint="eastAsia" w:ascii="仿宋_GB2312" w:hAnsi="仿宋_GB2312" w:eastAsia="仿宋_GB2312" w:cs="仿宋_GB2312"/>
          <w:b w:val="0"/>
          <w:bCs w:val="0"/>
          <w:color w:val="auto"/>
          <w:sz w:val="32"/>
          <w:szCs w:val="32"/>
        </w:rPr>
        <w:t>%。</w:t>
      </w:r>
      <w:r>
        <w:rPr>
          <w:rFonts w:hint="eastAsia" w:ascii="仿宋_GB2312" w:hAnsi="楷体_GB2312" w:eastAsia="仿宋_GB2312" w:cs="楷体_GB2312"/>
          <w:b/>
          <w:bCs w:val="0"/>
          <w:color w:val="auto"/>
          <w:w w:val="100"/>
          <w:sz w:val="32"/>
          <w:szCs w:val="32"/>
          <w:lang w:eastAsia="zh-CN"/>
        </w:rPr>
        <w:t>主要原因为：</w:t>
      </w:r>
      <w:r>
        <w:rPr>
          <w:rFonts w:hint="eastAsia" w:ascii="仿宋_GB2312" w:hAnsi="楷体_GB2312" w:eastAsia="仿宋_GB2312" w:cs="楷体_GB2312"/>
          <w:bCs/>
          <w:color w:val="auto"/>
          <w:w w:val="100"/>
          <w:sz w:val="32"/>
          <w:szCs w:val="32"/>
          <w:lang w:val="en-US" w:eastAsia="zh-CN"/>
        </w:rPr>
        <w:t>2024年</w:t>
      </w:r>
      <w:r>
        <w:rPr>
          <w:rFonts w:hint="eastAsia" w:ascii="仿宋_GB2312" w:hAnsi="楷体_GB2312" w:eastAsia="仿宋_GB2312" w:cs="楷体_GB2312"/>
          <w:bCs/>
          <w:color w:val="auto"/>
          <w:w w:val="100"/>
          <w:sz w:val="32"/>
          <w:szCs w:val="32"/>
          <w:lang w:eastAsia="zh-CN"/>
        </w:rPr>
        <w:t>小县</w:t>
      </w:r>
      <w:r>
        <w:rPr>
          <w:rFonts w:hint="eastAsia" w:ascii="仿宋_GB2312" w:hAnsi="仿宋_GB2312" w:eastAsia="仿宋_GB2312" w:cs="仿宋_GB2312"/>
          <w:color w:val="auto"/>
          <w:w w:val="100"/>
          <w:sz w:val="32"/>
          <w:lang w:val="en-US" w:eastAsia="zh-CN"/>
        </w:rPr>
        <w:t>机构改革，</w:t>
      </w:r>
      <w:r>
        <w:rPr>
          <w:rFonts w:hint="eastAsia" w:ascii="仿宋_GB2312" w:hAnsi="仿宋" w:eastAsia="仿宋_GB2312" w:cs="仿宋_GB2312"/>
          <w:color w:val="auto"/>
          <w:w w:val="100"/>
          <w:sz w:val="32"/>
          <w:szCs w:val="32"/>
        </w:rPr>
        <w:t>县委政法委</w:t>
      </w:r>
      <w:r>
        <w:rPr>
          <w:rFonts w:hint="eastAsia" w:ascii="仿宋_GB2312" w:hAnsi="仿宋" w:eastAsia="仿宋_GB2312" w:cs="仿宋_GB2312"/>
          <w:color w:val="auto"/>
          <w:w w:val="100"/>
          <w:sz w:val="32"/>
          <w:szCs w:val="32"/>
          <w:lang w:eastAsia="zh-CN"/>
        </w:rPr>
        <w:t>与</w:t>
      </w:r>
      <w:r>
        <w:rPr>
          <w:rFonts w:hint="eastAsia" w:ascii="仿宋_GB2312" w:hAnsi="仿宋" w:eastAsia="仿宋_GB2312" w:cs="仿宋_GB2312"/>
          <w:color w:val="auto"/>
          <w:w w:val="100"/>
          <w:sz w:val="32"/>
          <w:szCs w:val="32"/>
        </w:rPr>
        <w:t>县司法局合署办公</w:t>
      </w:r>
      <w:r>
        <w:rPr>
          <w:rFonts w:hint="eastAsia" w:ascii="仿宋_GB2312" w:hAnsi="仿宋" w:eastAsia="仿宋_GB2312" w:cs="仿宋_GB2312"/>
          <w:color w:val="auto"/>
          <w:w w:val="100"/>
          <w:sz w:val="32"/>
          <w:szCs w:val="32"/>
          <w:lang w:eastAsia="zh-CN"/>
        </w:rPr>
        <w:t>，人、财、物统一管理核算</w:t>
      </w:r>
      <w:r>
        <w:rPr>
          <w:rFonts w:hint="eastAsia" w:ascii="仿宋_GB2312" w:hAnsi="楷体_GB2312" w:eastAsia="仿宋_GB2312" w:cs="楷体_GB2312"/>
          <w:bCs/>
          <w:color w:val="auto"/>
          <w:w w:val="100"/>
          <w:sz w:val="32"/>
          <w:szCs w:val="32"/>
          <w:lang w:eastAsia="zh-CN"/>
        </w:rPr>
        <w:t>。</w:t>
      </w:r>
    </w:p>
    <w:p>
      <w:pPr>
        <w:keepNext w:val="0"/>
        <w:keepLines w:val="0"/>
        <w:pageBreakBefore w:val="0"/>
        <w:widowControl/>
        <w:kinsoku/>
        <w:wordWrap/>
        <w:overflowPunct/>
        <w:topLinePunct w:val="0"/>
        <w:autoSpaceDE/>
        <w:autoSpaceDN/>
        <w:bidi w:val="0"/>
        <w:adjustRightInd w:val="0"/>
        <w:snapToGrid/>
        <w:spacing w:line="560" w:lineRule="exact"/>
        <w:ind w:firstLine="642" w:firstLineChars="200"/>
        <w:textAlignment w:val="auto"/>
        <w:rPr>
          <w:rFonts w:hint="eastAsia" w:ascii="仿宋_GB2312" w:hAnsi="楷体_GB2312" w:eastAsia="仿宋_GB2312" w:cs="楷体_GB2312"/>
          <w:bCs/>
          <w:color w:val="auto"/>
          <w:w w:val="100"/>
          <w:sz w:val="32"/>
          <w:szCs w:val="32"/>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部门财政资金支出情况</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24</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度支出总计1833.53</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与</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相比，支出总计增加1168.52</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增长</w:t>
      </w:r>
      <w:r>
        <w:rPr>
          <w:rFonts w:hint="eastAsia" w:ascii="仿宋_GB2312" w:hAnsi="仿宋_GB2312" w:eastAsia="仿宋_GB2312" w:cs="仿宋_GB2312"/>
          <w:b w:val="0"/>
          <w:bCs w:val="0"/>
          <w:color w:val="auto"/>
          <w:sz w:val="32"/>
          <w:szCs w:val="32"/>
          <w:lang w:val="en-US" w:eastAsia="zh-CN"/>
        </w:rPr>
        <w:t>175.71</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其中：</w:t>
      </w:r>
      <w:r>
        <w:rPr>
          <w:rFonts w:hint="eastAsia" w:ascii="仿宋_GB2312" w:hAnsi="楷体_GB2312" w:eastAsia="仿宋_GB2312" w:cs="楷体_GB2312"/>
          <w:bCs/>
          <w:color w:val="auto"/>
          <w:w w:val="100"/>
          <w:sz w:val="32"/>
          <w:szCs w:val="32"/>
        </w:rPr>
        <w:t>公共安全支出为</w:t>
      </w:r>
      <w:r>
        <w:rPr>
          <w:rFonts w:hint="eastAsia" w:ascii="仿宋_GB2312" w:hAnsi="楷体_GB2312" w:eastAsia="仿宋_GB2312" w:cs="楷体_GB2312"/>
          <w:bCs/>
          <w:color w:val="auto"/>
          <w:w w:val="100"/>
          <w:sz w:val="32"/>
          <w:szCs w:val="32"/>
          <w:lang w:val="en-US" w:eastAsia="zh-CN"/>
        </w:rPr>
        <w:t>1499.96</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81.81</w:t>
      </w:r>
      <w:r>
        <w:rPr>
          <w:rFonts w:hint="eastAsia" w:ascii="仿宋_GB2312" w:hAnsi="楷体_GB2312" w:eastAsia="仿宋_GB2312" w:cs="楷体_GB2312"/>
          <w:bCs/>
          <w:color w:val="auto"/>
          <w:w w:val="100"/>
          <w:sz w:val="32"/>
          <w:szCs w:val="32"/>
        </w:rPr>
        <w:t>%；社会保障和就业支出为</w:t>
      </w:r>
      <w:r>
        <w:rPr>
          <w:rFonts w:hint="eastAsia" w:ascii="仿宋_GB2312" w:hAnsi="楷体_GB2312" w:eastAsia="仿宋_GB2312" w:cs="楷体_GB2312"/>
          <w:bCs/>
          <w:color w:val="auto"/>
          <w:w w:val="100"/>
          <w:sz w:val="32"/>
          <w:szCs w:val="32"/>
          <w:lang w:val="en-US" w:eastAsia="zh-CN"/>
        </w:rPr>
        <w:t>164.01</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8.95</w:t>
      </w:r>
      <w:r>
        <w:rPr>
          <w:rFonts w:hint="eastAsia" w:ascii="仿宋_GB2312" w:hAnsi="楷体_GB2312" w:eastAsia="仿宋_GB2312" w:cs="楷体_GB2312"/>
          <w:bCs/>
          <w:color w:val="auto"/>
          <w:w w:val="100"/>
          <w:sz w:val="32"/>
          <w:szCs w:val="32"/>
        </w:rPr>
        <w:t>%；卫生健康支出为</w:t>
      </w:r>
      <w:r>
        <w:rPr>
          <w:rFonts w:hint="eastAsia" w:ascii="仿宋_GB2312" w:hAnsi="楷体_GB2312" w:eastAsia="仿宋_GB2312" w:cs="楷体_GB2312"/>
          <w:bCs/>
          <w:color w:val="auto"/>
          <w:w w:val="100"/>
          <w:sz w:val="32"/>
          <w:szCs w:val="32"/>
          <w:lang w:val="en-US" w:eastAsia="zh-CN"/>
        </w:rPr>
        <w:t>72.53</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3.95</w:t>
      </w:r>
      <w:r>
        <w:rPr>
          <w:rFonts w:hint="eastAsia" w:ascii="仿宋_GB2312" w:hAnsi="楷体_GB2312" w:eastAsia="仿宋_GB2312" w:cs="楷体_GB2312"/>
          <w:bCs/>
          <w:color w:val="auto"/>
          <w:w w:val="100"/>
          <w:sz w:val="32"/>
          <w:szCs w:val="32"/>
        </w:rPr>
        <w:t>%；住房保障支出为</w:t>
      </w:r>
      <w:r>
        <w:rPr>
          <w:rFonts w:hint="eastAsia" w:ascii="仿宋_GB2312" w:hAnsi="楷体_GB2312" w:eastAsia="仿宋_GB2312" w:cs="楷体_GB2312"/>
          <w:bCs/>
          <w:color w:val="auto"/>
          <w:w w:val="100"/>
          <w:sz w:val="32"/>
          <w:szCs w:val="32"/>
          <w:lang w:val="en-US" w:eastAsia="zh-CN"/>
        </w:rPr>
        <w:t>97.03</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5.29</w:t>
      </w:r>
      <w:r>
        <w:rPr>
          <w:rFonts w:hint="eastAsia" w:ascii="仿宋_GB2312" w:hAnsi="楷体_GB2312" w:eastAsia="仿宋_GB2312" w:cs="楷体_GB2312"/>
          <w:bCs/>
          <w:color w:val="auto"/>
          <w:w w:val="100"/>
          <w:sz w:val="32"/>
          <w:szCs w:val="32"/>
        </w:rPr>
        <w:t>%</w:t>
      </w:r>
      <w:r>
        <w:rPr>
          <w:rFonts w:hint="eastAsia" w:ascii="仿宋_GB2312" w:hAnsi="楷体_GB2312" w:eastAsia="仿宋_GB2312" w:cs="楷体_GB2312"/>
          <w:bCs/>
          <w:color w:val="auto"/>
          <w:w w:val="100"/>
          <w:sz w:val="32"/>
          <w:szCs w:val="32"/>
          <w:lang w:eastAsia="zh-CN"/>
        </w:rPr>
        <w:t>。</w:t>
      </w:r>
      <w:r>
        <w:rPr>
          <w:rFonts w:hint="eastAsia" w:ascii="仿宋_GB2312" w:hAnsi="楷体_GB2312" w:eastAsia="仿宋_GB2312" w:cs="楷体_GB2312"/>
          <w:b/>
          <w:bCs w:val="0"/>
          <w:color w:val="auto"/>
          <w:w w:val="100"/>
          <w:sz w:val="32"/>
          <w:szCs w:val="32"/>
          <w:lang w:eastAsia="zh-CN"/>
        </w:rPr>
        <w:t>主要原因为：</w:t>
      </w:r>
      <w:r>
        <w:rPr>
          <w:rFonts w:hint="eastAsia" w:ascii="仿宋_GB2312" w:hAnsi="楷体_GB2312" w:eastAsia="仿宋_GB2312" w:cs="楷体_GB2312"/>
          <w:bCs/>
          <w:color w:val="auto"/>
          <w:w w:val="100"/>
          <w:sz w:val="32"/>
          <w:szCs w:val="32"/>
          <w:lang w:val="en-US" w:eastAsia="zh-CN"/>
        </w:rPr>
        <w:t>2024年</w:t>
      </w:r>
      <w:r>
        <w:rPr>
          <w:rFonts w:hint="eastAsia" w:ascii="仿宋_GB2312" w:hAnsi="楷体_GB2312" w:eastAsia="仿宋_GB2312" w:cs="楷体_GB2312"/>
          <w:bCs/>
          <w:color w:val="auto"/>
          <w:w w:val="100"/>
          <w:sz w:val="32"/>
          <w:szCs w:val="32"/>
          <w:lang w:eastAsia="zh-CN"/>
        </w:rPr>
        <w:t>小县</w:t>
      </w:r>
      <w:r>
        <w:rPr>
          <w:rFonts w:hint="eastAsia" w:ascii="仿宋_GB2312" w:hAnsi="仿宋_GB2312" w:eastAsia="仿宋_GB2312" w:cs="仿宋_GB2312"/>
          <w:color w:val="auto"/>
          <w:w w:val="100"/>
          <w:sz w:val="32"/>
          <w:lang w:val="en-US" w:eastAsia="zh-CN"/>
        </w:rPr>
        <w:t>机构改革，</w:t>
      </w:r>
      <w:r>
        <w:rPr>
          <w:rFonts w:hint="eastAsia" w:ascii="仿宋_GB2312" w:hAnsi="仿宋" w:eastAsia="仿宋_GB2312" w:cs="仿宋_GB2312"/>
          <w:color w:val="auto"/>
          <w:w w:val="100"/>
          <w:sz w:val="32"/>
          <w:szCs w:val="32"/>
        </w:rPr>
        <w:t>县委政法委</w:t>
      </w:r>
      <w:r>
        <w:rPr>
          <w:rFonts w:hint="eastAsia" w:ascii="仿宋_GB2312" w:hAnsi="仿宋" w:eastAsia="仿宋_GB2312" w:cs="仿宋_GB2312"/>
          <w:color w:val="auto"/>
          <w:w w:val="100"/>
          <w:sz w:val="32"/>
          <w:szCs w:val="32"/>
          <w:lang w:eastAsia="zh-CN"/>
        </w:rPr>
        <w:t>与</w:t>
      </w:r>
      <w:r>
        <w:rPr>
          <w:rFonts w:hint="eastAsia" w:ascii="仿宋_GB2312" w:hAnsi="仿宋" w:eastAsia="仿宋_GB2312" w:cs="仿宋_GB2312"/>
          <w:color w:val="auto"/>
          <w:w w:val="100"/>
          <w:sz w:val="32"/>
          <w:szCs w:val="32"/>
        </w:rPr>
        <w:t>县司法局合署办公</w:t>
      </w:r>
      <w:r>
        <w:rPr>
          <w:rFonts w:hint="eastAsia" w:ascii="仿宋_GB2312" w:hAnsi="仿宋" w:eastAsia="仿宋_GB2312" w:cs="仿宋_GB2312"/>
          <w:color w:val="auto"/>
          <w:w w:val="100"/>
          <w:sz w:val="32"/>
          <w:szCs w:val="32"/>
          <w:lang w:eastAsia="zh-CN"/>
        </w:rPr>
        <w:t>，人、财、物统一管理核算</w:t>
      </w:r>
      <w:r>
        <w:rPr>
          <w:rFonts w:hint="eastAsia" w:ascii="仿宋_GB2312" w:hAnsi="楷体_GB2312" w:eastAsia="仿宋_GB2312" w:cs="楷体_GB2312"/>
          <w:bCs/>
          <w:color w:val="auto"/>
          <w:w w:val="10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三、</w:t>
      </w:r>
      <w:r>
        <w:rPr>
          <w:rFonts w:hint="eastAsia" w:ascii="黑体" w:hAnsi="黑体" w:eastAsia="黑体" w:cs="黑体"/>
          <w:b/>
          <w:bCs/>
          <w:sz w:val="32"/>
          <w:szCs w:val="32"/>
        </w:rPr>
        <w:t>部门整体预算绩效管理情况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 w:eastAsia="仿宋_GB2312" w:cs="仿宋_GB2312"/>
          <w:sz w:val="32"/>
          <w:szCs w:val="32"/>
        </w:rPr>
      </w:pPr>
      <w:r>
        <w:rPr>
          <w:rFonts w:hint="eastAsia" w:ascii="楷体_GB2312" w:hAnsi="楷体_GB2312" w:eastAsia="楷体_GB2312" w:cs="楷体_GB2312"/>
          <w:b/>
          <w:bCs/>
          <w:sz w:val="32"/>
          <w:szCs w:val="32"/>
        </w:rPr>
        <w:t>（一）部门预算管理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 w:hAnsi="仿宋" w:eastAsia="仿宋" w:cs="楷体_GB2312"/>
          <w:bCs/>
          <w:sz w:val="32"/>
          <w:szCs w:val="32"/>
          <w:lang w:val="en-US" w:eastAsia="zh-CN"/>
        </w:rPr>
        <w:t>1.</w:t>
      </w:r>
      <w:r>
        <w:rPr>
          <w:rFonts w:hint="eastAsia" w:ascii="仿宋" w:hAnsi="仿宋" w:eastAsia="仿宋" w:cs="楷体_GB2312"/>
          <w:bCs/>
          <w:sz w:val="32"/>
          <w:szCs w:val="32"/>
          <w:lang w:val="zh-CN"/>
        </w:rPr>
        <w:t>预算编制情况。</w:t>
      </w:r>
      <w:r>
        <w:rPr>
          <w:rFonts w:hint="eastAsia" w:ascii="仿宋_GB2312" w:hAnsi="仿宋_GB2312" w:eastAsia="仿宋_GB2312" w:cs="仿宋_GB2312"/>
          <w:b w:val="0"/>
          <w:bCs w:val="0"/>
          <w:sz w:val="32"/>
          <w:szCs w:val="32"/>
          <w:lang w:eastAsia="zh-CN"/>
        </w:rPr>
        <w:t>20</w:t>
      </w:r>
      <w:r>
        <w:rPr>
          <w:rFonts w:hint="eastAsia" w:ascii="仿宋_GB2312" w:hAnsi="仿宋_GB2312" w:eastAsia="仿宋_GB2312" w:cs="仿宋_GB2312"/>
          <w:b w:val="0"/>
          <w:bCs w:val="0"/>
          <w:sz w:val="32"/>
          <w:szCs w:val="32"/>
          <w:lang w:val="en-US" w:eastAsia="zh-CN"/>
        </w:rPr>
        <w:t>24</w:t>
      </w:r>
      <w:r>
        <w:rPr>
          <w:rFonts w:hint="eastAsia" w:ascii="仿宋_GB2312" w:hAnsi="仿宋_GB2312" w:eastAsia="仿宋_GB2312" w:cs="仿宋_GB2312"/>
          <w:b w:val="0"/>
          <w:bCs w:val="0"/>
          <w:sz w:val="32"/>
          <w:szCs w:val="32"/>
          <w:lang w:eastAsia="zh-CN"/>
        </w:rPr>
        <w:t>年</w:t>
      </w:r>
      <w:r>
        <w:rPr>
          <w:rFonts w:hint="eastAsia" w:ascii="仿宋_GB2312" w:hAnsi="仿宋_GB2312" w:eastAsia="仿宋_GB2312" w:cs="仿宋_GB2312"/>
          <w:b w:val="0"/>
          <w:bCs w:val="0"/>
          <w:sz w:val="32"/>
          <w:szCs w:val="32"/>
          <w:lang w:val="en-US" w:eastAsia="zh-CN"/>
        </w:rPr>
        <w:t>本单位</w:t>
      </w:r>
      <w:r>
        <w:rPr>
          <w:rFonts w:hint="eastAsia" w:ascii="仿宋_GB2312" w:hAnsi="仿宋_GB2312" w:eastAsia="仿宋_GB2312" w:cs="仿宋_GB2312"/>
          <w:b w:val="0"/>
          <w:bCs w:val="0"/>
          <w:sz w:val="32"/>
          <w:szCs w:val="32"/>
          <w:lang w:eastAsia="zh-CN"/>
        </w:rPr>
        <w:t>严格按照财政预算编制要求，准确录入相关信息，各项业务经费参照上两年支出情况，并结合下年工作计划进行合理编制，</w:t>
      </w:r>
      <w:r>
        <w:rPr>
          <w:rFonts w:hint="eastAsia" w:ascii="仿宋" w:hAnsi="仿宋" w:eastAsia="仿宋" w:cs="楷体_GB2312"/>
          <w:bCs/>
          <w:sz w:val="32"/>
          <w:szCs w:val="32"/>
          <w:lang w:val="zh-CN"/>
        </w:rPr>
        <w:t>较好的完成了</w:t>
      </w:r>
      <w:r>
        <w:rPr>
          <w:rFonts w:hint="eastAsia" w:ascii="仿宋" w:hAnsi="仿宋" w:eastAsia="仿宋" w:cs="楷体_GB2312"/>
          <w:bCs/>
          <w:sz w:val="32"/>
          <w:szCs w:val="32"/>
          <w:lang w:val="en-US" w:eastAsia="zh-CN"/>
        </w:rPr>
        <w:t>本单位</w:t>
      </w:r>
      <w:r>
        <w:rPr>
          <w:rFonts w:hint="eastAsia" w:ascii="仿宋" w:hAnsi="仿宋" w:eastAsia="仿宋" w:cs="楷体_GB2312"/>
          <w:bCs/>
          <w:sz w:val="32"/>
          <w:szCs w:val="32"/>
          <w:lang w:val="zh-CN"/>
        </w:rPr>
        <w:t>预算编制工作，无违规记录</w:t>
      </w:r>
      <w:r>
        <w:rPr>
          <w:rFonts w:hint="eastAsia" w:ascii="仿宋_GB2312" w:hAnsi="仿宋_GB2312" w:eastAsia="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kern w:val="2"/>
          <w:sz w:val="32"/>
          <w:szCs w:val="32"/>
          <w:lang w:val="zh-CN" w:eastAsia="zh-CN" w:bidi="ar-SA"/>
        </w:rPr>
        <w:t>执行管理情况。</w:t>
      </w:r>
      <w:r>
        <w:rPr>
          <w:rFonts w:hint="eastAsia" w:ascii="仿宋_GB2312" w:hAnsi="仿宋_GB2312" w:eastAsia="仿宋_GB2312" w:cs="仿宋_GB2312"/>
          <w:b w:val="0"/>
          <w:bCs w:val="0"/>
          <w:kern w:val="2"/>
          <w:sz w:val="32"/>
          <w:szCs w:val="32"/>
          <w:lang w:val="en-US" w:eastAsia="zh-CN" w:bidi="ar-SA"/>
        </w:rPr>
        <w:t>本单位严格按照规定执行年度预算，</w:t>
      </w:r>
      <w:r>
        <w:rPr>
          <w:rFonts w:hint="eastAsia" w:ascii="仿宋_GB2312" w:hAnsi="仿宋_GB2312" w:eastAsia="仿宋_GB2312" w:cs="仿宋_GB2312"/>
          <w:b w:val="0"/>
          <w:bCs w:val="0"/>
          <w:sz w:val="32"/>
          <w:szCs w:val="32"/>
          <w:lang w:val="en-US" w:eastAsia="zh-CN"/>
        </w:rPr>
        <w:t>2024年度财政预算收入总计1833.53万元，</w:t>
      </w:r>
      <w:r>
        <w:rPr>
          <w:rFonts w:hint="eastAsia" w:ascii="仿宋_GB2312" w:hAnsi="仿宋" w:eastAsia="仿宋_GB2312" w:cs="仿宋_GB2312"/>
          <w:sz w:val="32"/>
          <w:szCs w:val="32"/>
        </w:rPr>
        <w:t>财政</w:t>
      </w:r>
      <w:r>
        <w:rPr>
          <w:rFonts w:hint="eastAsia" w:ascii="仿宋_GB2312" w:hAnsi="仿宋" w:eastAsia="仿宋_GB2312" w:cs="仿宋_GB2312"/>
          <w:sz w:val="32"/>
          <w:szCs w:val="32"/>
          <w:lang w:val="en-US" w:eastAsia="zh-CN"/>
        </w:rPr>
        <w:t>实际</w:t>
      </w:r>
      <w:r>
        <w:rPr>
          <w:rFonts w:hint="eastAsia" w:ascii="仿宋_GB2312" w:hAnsi="仿宋" w:eastAsia="仿宋_GB2312" w:cs="仿宋_GB2312"/>
          <w:sz w:val="32"/>
          <w:szCs w:val="32"/>
        </w:rPr>
        <w:t>支出总</w:t>
      </w:r>
      <w:r>
        <w:rPr>
          <w:rFonts w:hint="eastAsia" w:ascii="仿宋_GB2312" w:hAnsi="仿宋" w:eastAsia="仿宋_GB2312" w:cs="仿宋_GB2312"/>
          <w:sz w:val="32"/>
          <w:szCs w:val="32"/>
          <w:lang w:val="en-US" w:eastAsia="zh-CN"/>
        </w:rPr>
        <w:t>计1833.53</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当年预算支出完成率</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zh-CN" w:eastAsia="zh-CN"/>
        </w:rPr>
        <w:t>资金支出和使用完全按照相关规定操作，无违规违纪现象发生。</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3.综合管理情况。本单位由专人负责预算绩效管理，并</w:t>
      </w:r>
      <w:r>
        <w:rPr>
          <w:rFonts w:hint="eastAsia" w:ascii="仿宋_GB2312" w:hAnsi="仿宋_GB2312" w:eastAsia="仿宋_GB2312" w:cs="仿宋_GB2312"/>
          <w:b w:val="0"/>
          <w:bCs w:val="0"/>
          <w:sz w:val="32"/>
          <w:szCs w:val="32"/>
          <w:lang w:val="zh-CN" w:eastAsia="zh-CN"/>
        </w:rPr>
        <w:t>根据财政局下发的文件要求</w:t>
      </w:r>
      <w:r>
        <w:rPr>
          <w:rFonts w:hint="eastAsia" w:ascii="仿宋_GB2312" w:hAnsi="仿宋_GB2312" w:eastAsia="仿宋_GB2312" w:cs="仿宋_GB2312"/>
          <w:b w:val="0"/>
          <w:bCs w:val="0"/>
          <w:sz w:val="32"/>
          <w:szCs w:val="32"/>
          <w:lang w:val="en-US" w:eastAsia="zh-CN"/>
        </w:rPr>
        <w:t>，建立“预算编制有目标、预算执行有监控、预算完成有评价、评价结果有反馈、反馈结果有应用”的全过程预算绩效管理机制，</w:t>
      </w:r>
      <w:r>
        <w:rPr>
          <w:rFonts w:hint="eastAsia" w:ascii="仿宋_GB2312" w:hAnsi="仿宋_GB2312" w:eastAsia="仿宋_GB2312" w:cs="仿宋_GB2312"/>
          <w:b w:val="0"/>
          <w:bCs w:val="0"/>
          <w:sz w:val="32"/>
          <w:szCs w:val="32"/>
          <w:lang w:val="zh-CN" w:eastAsia="zh-CN"/>
        </w:rPr>
        <w:t>做好财政收支工作，做好预算及决算工作，保证本单位财务工作公开透明规范运行。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1"/>
          <w:szCs w:val="31"/>
          <w:lang w:val="en-US" w:eastAsia="zh-CN"/>
        </w:rPr>
      </w:pPr>
      <w:r>
        <w:rPr>
          <w:rFonts w:hint="eastAsia" w:ascii="仿宋_GB2312" w:hAnsi="仿宋_GB2312" w:eastAsia="仿宋_GB2312" w:cs="仿宋_GB2312"/>
          <w:b w:val="0"/>
          <w:bCs w:val="0"/>
          <w:sz w:val="32"/>
          <w:szCs w:val="32"/>
          <w:lang w:val="en-US" w:eastAsia="zh-CN"/>
        </w:rPr>
        <w:t>本单位现已完成部门预算编制工作，绩效目标指向明确，符合国民经济和社会发展规划，结合部门职能及事业发展规划等，特别是在数量、质量、成本、时效、效益等指标方面进行了具体量化。</w:t>
      </w:r>
      <w:r>
        <w:rPr>
          <w:rFonts w:hint="eastAsia" w:ascii="仿宋" w:hAnsi="仿宋" w:eastAsia="仿宋" w:cs="仿宋"/>
          <w:sz w:val="31"/>
          <w:szCs w:val="31"/>
        </w:rPr>
        <w:t> </w:t>
      </w:r>
      <w:r>
        <w:rPr>
          <w:rFonts w:hint="eastAsia" w:ascii="仿宋" w:hAnsi="仿宋" w:eastAsia="仿宋" w:cs="仿宋"/>
          <w:sz w:val="31"/>
          <w:szCs w:val="3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部门预算专项项目总数为8个，涉及金额为453.73万元，其中运转类的其他运转类（常年项目）2个，为：网格管理员工资和黑水县外出人员服务管理工作；特定项目类的部门项目（阶段项目）6个，分别为：法律援助工作经费、第二期“雪亮工程”租赁费、“雪亮工程”补点建设、网格化服务管理工作经费、维稳情报信息工作经费、中央和省级政法转移支付资金。本单位的8个项目经局党组和委务会议研究通过，申报程序合理，按规定开展事前评估论证，与部门“三定”方案确定的职责和部门中长期发展规划相匹配，符合部门年度工作任务。</w:t>
      </w:r>
      <w:r>
        <w:rPr>
          <w:rFonts w:hint="eastAsia" w:ascii="仿宋_GB2312" w:hAnsi="仿宋" w:eastAsia="仿宋_GB2312" w:cs="仿宋_GB2312"/>
          <w:color w:val="auto"/>
          <w:sz w:val="32"/>
          <w:szCs w:val="32"/>
          <w:lang w:val="en-US" w:eastAsia="zh-CN"/>
        </w:rPr>
        <w:t>本单位严格按照资金用途专款专用，无违规违纪现象发生</w:t>
      </w:r>
      <w:r>
        <w:rPr>
          <w:rFonts w:hint="eastAsia" w:ascii="仿宋_GB2312" w:hAnsi="仿宋" w:eastAsia="仿宋_GB2312" w:cs="仿宋_GB2312"/>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结果应用情况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eastAsia="zh-CN"/>
        </w:rPr>
        <w:t>本单位</w:t>
      </w:r>
      <w:r>
        <w:rPr>
          <w:rFonts w:hint="eastAsia" w:ascii="仿宋_GB2312" w:hAnsi="仿宋" w:eastAsia="仿宋_GB2312" w:cs="仿宋_GB2312"/>
          <w:sz w:val="32"/>
          <w:szCs w:val="32"/>
        </w:rPr>
        <w:t>依据财政编审要求</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在年度终了后</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结合本单位当年全部预算收入、财政拨款收入及支出等</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对全口径的资金收入、支出和预算管理、资产管理等工作进行全面总结。通过编制部门决算报表</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对本单位全年的资金管理、单位履行机构职能和受托责任等进行系统的思考检查</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分析预算执行中的得失</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以推动单位加强内部管理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制定适应本单位的内控制度以</w:t>
      </w:r>
      <w:r>
        <w:rPr>
          <w:rFonts w:hint="eastAsia" w:ascii="仿宋_GB2312" w:hAnsi="仿宋" w:eastAsia="仿宋_GB2312" w:cs="仿宋_GB2312"/>
          <w:sz w:val="32"/>
          <w:szCs w:val="32"/>
          <w:lang w:eastAsia="zh-CN"/>
        </w:rPr>
        <w:t>促进</w:t>
      </w:r>
      <w:r>
        <w:rPr>
          <w:rFonts w:hint="eastAsia" w:ascii="仿宋_GB2312" w:hAnsi="仿宋" w:eastAsia="仿宋_GB2312" w:cs="仿宋_GB2312"/>
          <w:sz w:val="32"/>
          <w:szCs w:val="32"/>
        </w:rPr>
        <w:t>发展。为编报一份高质量的部门决算报表</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从日常工作、前期准备、报表分析等方面做好全过程精细化的财务管理。紧紧围绕年初制定的各项工作计划，切实加强组织领导，落实工作责任，全面完成了各项目标任务。实现</w:t>
      </w:r>
      <w:r>
        <w:rPr>
          <w:rFonts w:hint="eastAsia" w:ascii="仿宋_GB2312" w:hAnsi="仿宋" w:eastAsia="仿宋_GB2312" w:cs="仿宋_GB2312"/>
          <w:sz w:val="32"/>
          <w:szCs w:val="32"/>
          <w:lang w:eastAsia="zh-CN"/>
        </w:rPr>
        <w:t>了</w:t>
      </w:r>
      <w:r>
        <w:rPr>
          <w:rFonts w:hint="eastAsia" w:ascii="仿宋_GB2312" w:hAnsi="仿宋" w:eastAsia="仿宋_GB2312" w:cs="仿宋_GB2312"/>
          <w:sz w:val="32"/>
          <w:szCs w:val="32"/>
        </w:rPr>
        <w:t>全县</w:t>
      </w:r>
      <w:r>
        <w:rPr>
          <w:rFonts w:hint="eastAsia" w:ascii="仿宋_GB2312" w:hAnsi="仿宋" w:eastAsia="仿宋_GB2312" w:cs="仿宋_GB2312"/>
          <w:sz w:val="32"/>
          <w:szCs w:val="32"/>
          <w:lang w:eastAsia="zh-CN"/>
        </w:rPr>
        <w:t>政法、司法行政工作</w:t>
      </w:r>
      <w:r>
        <w:rPr>
          <w:rFonts w:hint="eastAsia" w:ascii="仿宋_GB2312" w:hAnsi="仿宋" w:eastAsia="仿宋_GB2312" w:cs="仿宋_GB2312"/>
          <w:sz w:val="32"/>
          <w:szCs w:val="32"/>
        </w:rPr>
        <w:t>运行平稳，全面履行了</w:t>
      </w:r>
      <w:r>
        <w:rPr>
          <w:rFonts w:hint="eastAsia" w:ascii="仿宋_GB2312" w:hAnsi="仿宋" w:eastAsia="仿宋_GB2312" w:cs="仿宋_GB2312"/>
          <w:sz w:val="32"/>
          <w:szCs w:val="32"/>
          <w:lang w:eastAsia="zh-CN"/>
        </w:rPr>
        <w:t>政法、司法行政</w:t>
      </w:r>
      <w:r>
        <w:rPr>
          <w:rFonts w:hint="eastAsia" w:ascii="仿宋_GB2312" w:hAnsi="仿宋" w:eastAsia="仿宋_GB2312" w:cs="仿宋_GB2312"/>
          <w:sz w:val="32"/>
          <w:szCs w:val="32"/>
        </w:rPr>
        <w:t>职责职能。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四、评价结论及建议</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 w:eastAsia="仿宋_GB2312" w:cs="仿宋_GB2312"/>
          <w:sz w:val="32"/>
          <w:szCs w:val="32"/>
          <w:lang w:eastAsia="zh-CN"/>
        </w:rPr>
      </w:pPr>
      <w:r>
        <w:rPr>
          <w:rFonts w:hint="eastAsia" w:ascii="楷体_GB2312" w:hAnsi="楷体_GB2312" w:eastAsia="楷体_GB2312" w:cs="楷体_GB2312"/>
          <w:b/>
          <w:bCs/>
          <w:sz w:val="32"/>
          <w:szCs w:val="32"/>
          <w:lang w:eastAsia="zh-CN"/>
        </w:rPr>
        <w:t>（一）评价结论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根据部门预算绩效评价指标体系，202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年自评得分为9</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分，评价等级为“优”。</w:t>
      </w:r>
      <w:r>
        <w:rPr>
          <w:rFonts w:hint="eastAsia" w:ascii="仿宋_GB2312" w:hAnsi="仿宋" w:eastAsia="仿宋_GB2312" w:cs="仿宋_GB2312"/>
          <w:sz w:val="32"/>
          <w:szCs w:val="32"/>
          <w:lang w:val="zh-CN" w:eastAsia="zh-CN"/>
        </w:rPr>
        <w:t>本</w:t>
      </w:r>
      <w:r>
        <w:rPr>
          <w:rFonts w:hint="eastAsia" w:ascii="仿宋" w:hAnsi="仿宋" w:eastAsia="仿宋" w:cs="楷体_GB2312"/>
          <w:bCs/>
          <w:sz w:val="32"/>
          <w:szCs w:val="32"/>
          <w:lang w:val="zh-CN"/>
        </w:rPr>
        <w:t>单位</w:t>
      </w:r>
      <w:r>
        <w:rPr>
          <w:rFonts w:hint="eastAsia" w:ascii="仿宋_GB2312" w:hAnsi="仿宋" w:eastAsia="仿宋_GB2312" w:cs="仿宋_GB2312"/>
          <w:sz w:val="32"/>
          <w:szCs w:val="32"/>
          <w:lang w:eastAsia="zh-CN"/>
        </w:rPr>
        <w:t>经过调查研究和科学论证，制定与法律法规、政策和社会发展要求相符的目标任务，目标任务清晰明确，能够体现部门目标任务完成情况和部门预期实现的效益；按照</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财政局预算编制要求，按时完成</w:t>
      </w:r>
      <w:r>
        <w:rPr>
          <w:rFonts w:hint="eastAsia" w:ascii="仿宋_GB2312" w:hAnsi="仿宋" w:eastAsia="仿宋_GB2312" w:cs="仿宋_GB2312"/>
          <w:sz w:val="32"/>
          <w:szCs w:val="32"/>
          <w:lang w:val="en-US" w:eastAsia="zh-CN"/>
        </w:rPr>
        <w:t>本部门</w:t>
      </w:r>
      <w:r>
        <w:rPr>
          <w:rFonts w:hint="eastAsia" w:ascii="仿宋_GB2312" w:hAnsi="仿宋" w:eastAsia="仿宋_GB2312" w:cs="仿宋_GB2312"/>
          <w:sz w:val="32"/>
          <w:szCs w:val="32"/>
          <w:lang w:eastAsia="zh-CN"/>
        </w:rPr>
        <w:t>的预算编制工作并提交</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部门预算编制完整、准确、规范；按要求开展预算执行中期评估工作；严格预算执行管理；部门利用资产管理信息系统完成资产占有、使用、处置等动态管理情况，并完成年度国有资产报告编报工作；除涉密信息外，及时向社会公开本部门预算、决算；按要求公开部门整体支出绩效自评报告及其他按要求应公开的绩效信息。按部门职能职责和年度总体目标细化设置履职成效指标；社会公众、相关协同部门、部门管理对象等对部门绩效情况满意度较高；年底基本能够达到年初制定的绩效目标。</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存在问题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绩效目标制定不够完善，预算编制不够科学合理。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改进建议</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ascii="仿宋_GB2312" w:hAnsi="仿宋_GB2312" w:eastAsia="仿宋_GB2312" w:cs="仿宋_GB2312"/>
          <w:sz w:val="32"/>
          <w:szCs w:val="32"/>
        </w:rPr>
      </w:pPr>
      <w:r>
        <w:rPr>
          <w:rFonts w:hint="eastAsia" w:ascii="仿宋_GB2312" w:hAnsi="仿宋" w:eastAsia="仿宋_GB2312" w:cs="仿宋_GB2312"/>
          <w:kern w:val="2"/>
          <w:sz w:val="32"/>
          <w:szCs w:val="32"/>
          <w:lang w:val="en-US" w:eastAsia="zh-CN" w:bidi="ar-SA"/>
        </w:rPr>
        <w:t>进一步完善绩效目标填报工作，强化绩效指标实用性。绩效目标是整个预算绩效管理的起点，与部门履职效率有直接关系。在接下来的工作中，要严格按照经济性、效率性及效益性原则设置对应指标，提高绩效指标实用性。认真履行预算编报要求，提高预算编报的科学性。严格按照相关预算编报文件要求，结合近年来执行情况，合理编制各项预算，提高预算的科学性和准确性。</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仿宋_GB2312">
    <w:panose1 w:val="02010609030101010101"/>
    <w:charset w:val="86"/>
    <w:family w:val="modern"/>
    <w:pitch w:val="default"/>
    <w:sig w:usb0="00000001" w:usb1="080E0000" w:usb2="00000000" w:usb3="00000000" w:csb0="00040000" w:csb1="00000000"/>
  </w:font>
  <w:font w:name="方正粗宋简体">
    <w:altName w:val="方正书宋_GBK"/>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JmYTA0NjA3NmMwZWJlODQzOTA2NGNmZDNlNmI5N2UifQ=="/>
  </w:docVars>
  <w:rsids>
    <w:rsidRoot w:val="00491B22"/>
    <w:rsid w:val="001C4EB6"/>
    <w:rsid w:val="00291808"/>
    <w:rsid w:val="00491B22"/>
    <w:rsid w:val="0052390C"/>
    <w:rsid w:val="01AA3E65"/>
    <w:rsid w:val="05435D83"/>
    <w:rsid w:val="063446BC"/>
    <w:rsid w:val="0693088A"/>
    <w:rsid w:val="0CA44C5B"/>
    <w:rsid w:val="10E6593C"/>
    <w:rsid w:val="112577AA"/>
    <w:rsid w:val="15165C8F"/>
    <w:rsid w:val="190522C4"/>
    <w:rsid w:val="1EEE701E"/>
    <w:rsid w:val="20D46104"/>
    <w:rsid w:val="256E56CC"/>
    <w:rsid w:val="27CE42FE"/>
    <w:rsid w:val="29972AF3"/>
    <w:rsid w:val="29E52D01"/>
    <w:rsid w:val="2BA36789"/>
    <w:rsid w:val="2CCC463D"/>
    <w:rsid w:val="2F983DCA"/>
    <w:rsid w:val="33D4485E"/>
    <w:rsid w:val="36435EC2"/>
    <w:rsid w:val="3901386C"/>
    <w:rsid w:val="3DE356DF"/>
    <w:rsid w:val="3ECB6646"/>
    <w:rsid w:val="416026BD"/>
    <w:rsid w:val="41982E29"/>
    <w:rsid w:val="43686B13"/>
    <w:rsid w:val="437102AA"/>
    <w:rsid w:val="4B58309B"/>
    <w:rsid w:val="4FA722E3"/>
    <w:rsid w:val="51786CFC"/>
    <w:rsid w:val="53782EE0"/>
    <w:rsid w:val="54CA6867"/>
    <w:rsid w:val="57365AEB"/>
    <w:rsid w:val="58694294"/>
    <w:rsid w:val="594737D8"/>
    <w:rsid w:val="59B1522C"/>
    <w:rsid w:val="5B0358A6"/>
    <w:rsid w:val="5C71500A"/>
    <w:rsid w:val="60D032A5"/>
    <w:rsid w:val="61E45E33"/>
    <w:rsid w:val="63A62D82"/>
    <w:rsid w:val="66117BCF"/>
    <w:rsid w:val="697F2471"/>
    <w:rsid w:val="69AA16EA"/>
    <w:rsid w:val="6BDE1A5A"/>
    <w:rsid w:val="72D3128F"/>
    <w:rsid w:val="74BF0D0A"/>
    <w:rsid w:val="78322F0E"/>
    <w:rsid w:val="7A085D28"/>
    <w:rsid w:val="7B8F1B28"/>
    <w:rsid w:val="7C407642"/>
    <w:rsid w:val="7EA144D7"/>
    <w:rsid w:val="8FFF2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able of figures"/>
    <w:basedOn w:val="1"/>
    <w:next w:val="1"/>
    <w:unhideWhenUsed/>
    <w:qFormat/>
    <w:uiPriority w:val="99"/>
    <w:pPr>
      <w:ind w:left="200" w:leftChars="200" w:hanging="200" w:hangingChars="200"/>
    </w:pPr>
  </w:style>
  <w:style w:type="paragraph" w:styleId="6">
    <w:name w:val="Normal (Web)"/>
    <w:basedOn w:val="1"/>
    <w:qFormat/>
    <w:uiPriority w:val="0"/>
    <w:pPr>
      <w:spacing w:before="100" w:beforeAutospacing="1" w:after="100" w:afterAutospacing="1"/>
      <w:jc w:val="left"/>
    </w:pPr>
    <w:rPr>
      <w:rFonts w:eastAsia="宋体"/>
      <w:kern w:val="0"/>
      <w:sz w:val="24"/>
      <w:szCs w:val="24"/>
    </w:rPr>
  </w:style>
  <w:style w:type="character" w:customStyle="1" w:styleId="9">
    <w:name w:val="页眉 Char"/>
    <w:basedOn w:val="8"/>
    <w:link w:val="4"/>
    <w:semiHidden/>
    <w:qFormat/>
    <w:uiPriority w:val="99"/>
    <w:rPr>
      <w:sz w:val="18"/>
      <w:szCs w:val="18"/>
    </w:rPr>
  </w:style>
  <w:style w:type="character" w:customStyle="1" w:styleId="10">
    <w:name w:val="页脚 Char"/>
    <w:basedOn w:val="8"/>
    <w:link w:val="3"/>
    <w:semiHidden/>
    <w:qFormat/>
    <w:uiPriority w:val="99"/>
    <w:rPr>
      <w:sz w:val="18"/>
      <w:szCs w:val="18"/>
    </w:rPr>
  </w:style>
  <w:style w:type="paragraph" w:customStyle="1" w:styleId="11">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2">
    <w:name w:val="正文2"/>
    <w:basedOn w:val="1"/>
    <w:next w:val="1"/>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8</Pages>
  <Words>3709</Words>
  <Characters>3868</Characters>
  <Lines>2</Lines>
  <Paragraphs>1</Paragraphs>
  <TotalTime>15</TotalTime>
  <ScaleCrop>false</ScaleCrop>
  <LinksUpToDate>false</LinksUpToDate>
  <CharactersWithSpaces>3892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2025-12-04T11:47:02Z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C0FD8F207129418E957F274EA98D553D</vt:lpwstr>
  </property>
  <property fmtid="{D5CDD505-2E9C-101B-9397-08002B2CF9AE}" pid="4" name="KSOTemplateDocerSaveRecord">
    <vt:lpwstr>eyJoZGlkIjoiNGUxNWQ2YTkyNzA2ZGNkZDUwMDBjNDMyYWE4MjlhNjEiLCJ1c2VySWQiOiIyOTg0ODUzODUifQ==</vt:lpwstr>
  </property>
</Properties>
</file>