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val="0"/>
        <w:spacing w:line="560" w:lineRule="exact"/>
        <w:textAlignment w:val="auto"/>
        <w:rPr>
          <w:rFonts w:hint="eastAsia" w:ascii="仿宋_GB2312" w:hAnsi="仿宋_GB2312" w:eastAsia="仿宋_GB2312" w:cs="仿宋_GB2312"/>
          <w:color w:val="auto"/>
          <w:sz w:val="32"/>
          <w:szCs w:val="32"/>
          <w:lang w:val="en-US" w:eastAsia="zh-CN"/>
        </w:rPr>
      </w:pPr>
      <w:bookmarkStart w:id="0" w:name="_Toc15396616"/>
      <w:r>
        <w:rPr>
          <w:rFonts w:hint="eastAsia" w:ascii="仿宋_GB2312" w:hAnsi="仿宋_GB2312" w:eastAsia="仿宋_GB2312" w:cs="仿宋_GB2312"/>
          <w:color w:val="auto"/>
          <w:sz w:val="32"/>
          <w:szCs w:val="32"/>
          <w:lang w:val="en-US" w:eastAsia="zh-CN"/>
        </w:rPr>
        <w:t>附件2</w:t>
      </w:r>
    </w:p>
    <w:p>
      <w:pPr>
        <w:ind w:right="0" w:rightChars="0"/>
        <w:jc w:val="center"/>
        <w:rPr>
          <w:rFonts w:hint="eastAsia"/>
          <w:lang w:eastAsia="zh-CN"/>
        </w:rPr>
      </w:pPr>
      <w:r>
        <w:rPr>
          <w:rFonts w:hint="eastAsia" w:ascii="方正粗宋简体" w:hAnsi="宋体" w:eastAsia="方正粗宋简体" w:cs="Times New Roman"/>
          <w:b/>
          <w:bCs/>
          <w:color w:val="FF0000"/>
          <w:w w:val="43"/>
          <w:sz w:val="154"/>
          <w:szCs w:val="154"/>
          <w:lang w:eastAsia="zh-CN"/>
        </w:rPr>
        <w:t>中共黑水县委政法委员会文</w:t>
      </w:r>
      <w:r>
        <w:rPr>
          <w:rFonts w:hint="eastAsia" w:ascii="方正粗宋简体" w:hAnsi="宋体" w:eastAsia="方正粗宋简体" w:cs="Times New Roman"/>
          <w:b/>
          <w:bCs/>
          <w:color w:val="FF0000"/>
          <w:spacing w:val="36"/>
          <w:w w:val="43"/>
          <w:sz w:val="154"/>
          <w:szCs w:val="154"/>
          <w:lang w:eastAsia="zh-CN"/>
        </w:rPr>
        <w:t>件</w:t>
      </w:r>
    </w:p>
    <w:p>
      <w:pPr>
        <w:keepNext w:val="0"/>
        <w:keepLines w:val="0"/>
        <w:pageBreakBefore w:val="0"/>
        <w:kinsoku/>
        <w:wordWrap/>
        <w:overflowPunct/>
        <w:topLinePunct w:val="0"/>
        <w:autoSpaceDE/>
        <w:autoSpaceDN/>
        <w:bidi w:val="0"/>
        <w:snapToGrid/>
        <w:spacing w:line="540" w:lineRule="exact"/>
        <w:jc w:val="both"/>
        <w:textAlignment w:val="auto"/>
        <w:outlineLvl w:val="0"/>
        <w:rPr>
          <w:rFonts w:hint="eastAsia" w:ascii="方正小标宋简体" w:hAnsi="方正小标宋简体" w:eastAsia="方正小标宋简体" w:cs="方正小标宋简体"/>
          <w:b w:val="0"/>
          <w:bCs/>
          <w:sz w:val="44"/>
          <w:szCs w:val="44"/>
          <w:lang w:val="en-US" w:eastAsia="zh-CN"/>
        </w:rPr>
      </w:pPr>
      <w:r>
        <w:rPr>
          <w:rFonts w:ascii="Calibri" w:hAnsi="Calibri" w:eastAsia="宋体" w:cs="Times New Roman"/>
          <w:b/>
          <w:strike/>
          <w:color w:val="FF0000"/>
          <w:sz w:val="84"/>
          <w:szCs w:val="84"/>
          <w:lang w:eastAsia="zh-CN"/>
        </w:rPr>
        <w:t xml:space="preserve">       </w:t>
      </w:r>
      <w:r>
        <w:rPr>
          <w:rFonts w:hint="eastAsia" w:ascii="Calibri" w:hAnsi="Calibri" w:eastAsia="宋体" w:cs="Times New Roman"/>
          <w:b/>
          <w:strike/>
          <w:color w:val="FF0000"/>
          <w:sz w:val="84"/>
          <w:szCs w:val="84"/>
          <w:lang w:val="en-US" w:eastAsia="zh-CN"/>
        </w:rPr>
        <w:t xml:space="preserve"> </w:t>
      </w:r>
      <w:r>
        <w:rPr>
          <w:rFonts w:ascii="Calibri" w:hAnsi="Calibri" w:eastAsia="宋体" w:cs="Times New Roman"/>
          <w:b/>
          <w:strike/>
          <w:color w:val="FF0000"/>
          <w:sz w:val="84"/>
          <w:szCs w:val="84"/>
          <w:lang w:eastAsia="zh-CN"/>
        </w:rPr>
        <w:t xml:space="preserve"> </w:t>
      </w:r>
      <w:r>
        <w:rPr>
          <w:rFonts w:hint="eastAsia" w:ascii="Calibri" w:hAnsi="Calibri" w:eastAsia="宋体" w:cs="Times New Roman"/>
          <w:b/>
          <w:strike/>
          <w:color w:val="FF0000"/>
          <w:sz w:val="84"/>
          <w:szCs w:val="84"/>
          <w:lang w:val="en-US" w:eastAsia="zh-CN"/>
        </w:rPr>
        <w:t xml:space="preserve"> </w:t>
      </w:r>
      <w:r>
        <w:rPr>
          <w:rFonts w:hint="eastAsia" w:ascii="Calibri" w:hAnsi="Calibri" w:eastAsia="宋体" w:cs="Times New Roman"/>
          <w:b/>
          <w:color w:val="FF0000"/>
          <w:sz w:val="52"/>
          <w:szCs w:val="52"/>
          <w:lang w:eastAsia="zh-CN"/>
        </w:rPr>
        <w:t>★</w:t>
      </w:r>
      <w:r>
        <w:rPr>
          <w:rFonts w:ascii="Calibri" w:hAnsi="Calibri" w:eastAsia="宋体" w:cs="Times New Roman"/>
          <w:b/>
          <w:strike/>
          <w:color w:val="FF0000"/>
          <w:sz w:val="84"/>
          <w:szCs w:val="84"/>
          <w:lang w:eastAsia="zh-CN"/>
        </w:rPr>
        <w:t xml:space="preserve">  </w:t>
      </w:r>
      <w:r>
        <w:rPr>
          <w:rFonts w:hint="eastAsia" w:ascii="Calibri" w:hAnsi="Calibri" w:eastAsia="宋体" w:cs="Times New Roman"/>
          <w:b/>
          <w:strike/>
          <w:color w:val="FF0000"/>
          <w:sz w:val="84"/>
          <w:szCs w:val="84"/>
          <w:lang w:val="en-US" w:eastAsia="zh-CN"/>
        </w:rPr>
        <w:t xml:space="preserve">   </w:t>
      </w:r>
      <w:r>
        <w:rPr>
          <w:rFonts w:ascii="Calibri" w:hAnsi="Calibri" w:eastAsia="宋体" w:cs="Times New Roman"/>
          <w:b/>
          <w:strike/>
          <w:color w:val="FF0000"/>
          <w:sz w:val="84"/>
          <w:szCs w:val="84"/>
          <w:lang w:eastAsia="zh-CN"/>
        </w:rPr>
        <w:t xml:space="preserve"> </w:t>
      </w:r>
      <w:r>
        <w:rPr>
          <w:rFonts w:hint="eastAsia" w:ascii="Calibri" w:hAnsi="Calibri" w:eastAsia="宋体" w:cs="Times New Roman"/>
          <w:b/>
          <w:strike/>
          <w:color w:val="FF0000"/>
          <w:sz w:val="84"/>
          <w:szCs w:val="84"/>
          <w:lang w:val="en-US" w:eastAsia="zh-CN"/>
        </w:rPr>
        <w:t xml:space="preserve"> </w:t>
      </w:r>
      <w:r>
        <w:rPr>
          <w:rFonts w:ascii="Calibri" w:hAnsi="Calibri" w:eastAsia="宋体" w:cs="Times New Roman"/>
          <w:b/>
          <w:strike/>
          <w:color w:val="FF0000"/>
          <w:sz w:val="84"/>
          <w:szCs w:val="84"/>
          <w:lang w:eastAsia="zh-CN"/>
        </w:rPr>
        <w:t xml:space="preserve">   </w:t>
      </w:r>
    </w:p>
    <w:p>
      <w:pPr>
        <w:keepNext w:val="0"/>
        <w:keepLines w:val="0"/>
        <w:pageBreakBefore w:val="0"/>
        <w:kinsoku/>
        <w:wordWrap/>
        <w:overflowPunct/>
        <w:topLinePunct w:val="0"/>
        <w:autoSpaceDE/>
        <w:autoSpaceDN/>
        <w:bidi w:val="0"/>
        <w:adjustRightInd/>
        <w:snapToGrid/>
        <w:spacing w:line="540" w:lineRule="exact"/>
        <w:jc w:val="center"/>
        <w:textAlignment w:val="auto"/>
        <w:outlineLvl w:val="0"/>
        <w:rPr>
          <w:rFonts w:hint="eastAsia" w:ascii="方正小标宋_GBK" w:hAnsi="方正小标宋_GBK" w:eastAsia="方正小标宋_GBK" w:cs="方正小标宋_GBK"/>
          <w:b w:val="0"/>
          <w:bCs/>
          <w:sz w:val="44"/>
          <w:szCs w:val="44"/>
          <w:lang w:val="en-US" w:eastAsia="zh-CN"/>
        </w:rPr>
      </w:pPr>
    </w:p>
    <w:p>
      <w:pPr>
        <w:keepNext w:val="0"/>
        <w:keepLines w:val="0"/>
        <w:pageBreakBefore w:val="0"/>
        <w:kinsoku/>
        <w:wordWrap/>
        <w:overflowPunct/>
        <w:topLinePunct w:val="0"/>
        <w:autoSpaceDE/>
        <w:autoSpaceDN/>
        <w:bidi w:val="0"/>
        <w:adjustRightInd/>
        <w:snapToGrid/>
        <w:spacing w:line="540" w:lineRule="exact"/>
        <w:jc w:val="center"/>
        <w:textAlignment w:val="auto"/>
        <w:outlineLvl w:val="0"/>
        <w:rPr>
          <w:rFonts w:hint="eastAsia" w:ascii="方正小标宋_GBK" w:hAnsi="方正小标宋_GBK" w:eastAsia="方正小标宋_GBK" w:cs="方正小标宋_GBK"/>
          <w:w w:val="95"/>
          <w:kern w:val="0"/>
          <w:sz w:val="44"/>
          <w:szCs w:val="44"/>
          <w:lang w:val="en-US" w:eastAsia="zh-CN"/>
        </w:rPr>
      </w:pPr>
      <w:r>
        <w:rPr>
          <w:rFonts w:hint="eastAsia" w:ascii="方正小标宋_GBK" w:hAnsi="方正小标宋_GBK" w:eastAsia="方正小标宋_GBK" w:cs="方正小标宋_GBK"/>
          <w:w w:val="95"/>
          <w:kern w:val="0"/>
          <w:sz w:val="44"/>
          <w:szCs w:val="44"/>
        </w:rPr>
        <w:t>黑水县社会治安综合治理中心</w:t>
      </w:r>
      <w:r>
        <w:rPr>
          <w:rFonts w:hint="eastAsia" w:ascii="方正小标宋_GBK" w:hAnsi="方正小标宋_GBK" w:eastAsia="方正小标宋_GBK" w:cs="方正小标宋_GBK"/>
          <w:w w:val="95"/>
          <w:kern w:val="0"/>
          <w:sz w:val="44"/>
          <w:szCs w:val="44"/>
          <w:lang w:val="en-US" w:eastAsia="zh-CN"/>
        </w:rPr>
        <w:t xml:space="preserve"> </w:t>
      </w:r>
    </w:p>
    <w:p>
      <w:pPr>
        <w:keepNext w:val="0"/>
        <w:keepLines w:val="0"/>
        <w:pageBreakBefore w:val="0"/>
        <w:kinsoku/>
        <w:wordWrap/>
        <w:overflowPunct/>
        <w:topLinePunct w:val="0"/>
        <w:autoSpaceDE/>
        <w:autoSpaceDN/>
        <w:bidi w:val="0"/>
        <w:adjustRightInd/>
        <w:snapToGrid/>
        <w:spacing w:line="540" w:lineRule="exact"/>
        <w:jc w:val="center"/>
        <w:textAlignment w:val="auto"/>
        <w:outlineLvl w:val="0"/>
        <w:rPr>
          <w:rFonts w:hint="eastAsia" w:ascii="方正小标宋_GBK" w:hAnsi="方正小标宋_GBK" w:eastAsia="方正小标宋_GBK" w:cs="方正小标宋_GBK"/>
          <w:b/>
          <w:sz w:val="44"/>
          <w:szCs w:val="44"/>
        </w:rPr>
      </w:pPr>
      <w:r>
        <w:rPr>
          <w:rFonts w:hint="eastAsia" w:ascii="方正小标宋_GBK" w:hAnsi="方正小标宋_GBK" w:eastAsia="方正小标宋_GBK" w:cs="方正小标宋_GBK"/>
          <w:b w:val="0"/>
          <w:bCs/>
          <w:sz w:val="44"/>
          <w:szCs w:val="44"/>
        </w:rPr>
        <w:t>20</w:t>
      </w:r>
      <w:r>
        <w:rPr>
          <w:rFonts w:hint="eastAsia" w:ascii="方正小标宋_GBK" w:hAnsi="方正小标宋_GBK" w:eastAsia="方正小标宋_GBK" w:cs="方正小标宋_GBK"/>
          <w:b w:val="0"/>
          <w:bCs/>
          <w:sz w:val="44"/>
          <w:szCs w:val="44"/>
          <w:lang w:val="en-US" w:eastAsia="zh-CN"/>
        </w:rPr>
        <w:t>25</w:t>
      </w:r>
      <w:r>
        <w:rPr>
          <w:rFonts w:hint="eastAsia" w:ascii="方正小标宋_GBK" w:hAnsi="方正小标宋_GBK" w:eastAsia="方正小标宋_GBK" w:cs="方正小标宋_GBK"/>
          <w:b w:val="0"/>
          <w:bCs/>
          <w:sz w:val="44"/>
          <w:szCs w:val="44"/>
        </w:rPr>
        <w:t>年</w:t>
      </w:r>
      <w:r>
        <w:rPr>
          <w:rFonts w:hint="eastAsia" w:ascii="方正小标宋_GBK" w:hAnsi="方正小标宋_GBK" w:eastAsia="方正小标宋_GBK" w:cs="方正小标宋_GBK"/>
          <w:b w:val="0"/>
          <w:bCs/>
          <w:sz w:val="44"/>
          <w:szCs w:val="44"/>
          <w:lang w:eastAsia="zh-CN"/>
        </w:rPr>
        <w:t>度</w:t>
      </w:r>
      <w:r>
        <w:rPr>
          <w:rFonts w:hint="eastAsia" w:ascii="方正小标宋_GBK" w:hAnsi="方正小标宋_GBK" w:eastAsia="方正小标宋_GBK" w:cs="方正小标宋_GBK"/>
          <w:b w:val="0"/>
          <w:bCs/>
          <w:sz w:val="44"/>
          <w:szCs w:val="44"/>
        </w:rPr>
        <w:t>部门整体支出绩效评价报告</w:t>
      </w:r>
      <w:bookmarkEnd w:id="0"/>
    </w:p>
    <w:p>
      <w:pPr>
        <w:keepNext w:val="0"/>
        <w:keepLines w:val="0"/>
        <w:pageBreakBefore w:val="0"/>
        <w:kinsoku/>
        <w:wordWrap/>
        <w:overflowPunct/>
        <w:topLinePunct w:val="0"/>
        <w:autoSpaceDE/>
        <w:autoSpaceDN/>
        <w:bidi w:val="0"/>
        <w:adjustRightInd/>
        <w:snapToGrid/>
        <w:spacing w:line="540" w:lineRule="exact"/>
        <w:ind w:firstLine="640" w:firstLineChars="200"/>
        <w:jc w:val="center"/>
        <w:textAlignment w:val="auto"/>
        <w:rPr>
          <w:rFonts w:hint="eastAsia" w:ascii="黑体" w:hAnsi="黑体" w:eastAsia="黑体" w:cs="黑体"/>
          <w:sz w:val="32"/>
          <w:szCs w:val="32"/>
        </w:rPr>
      </w:pP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一、部门（单位）概况</w:t>
      </w:r>
    </w:p>
    <w:p>
      <w:pPr>
        <w:keepNext w:val="0"/>
        <w:keepLines w:val="0"/>
        <w:pageBreakBefore w:val="0"/>
        <w:kinsoku/>
        <w:wordWrap/>
        <w:overflowPunct/>
        <w:topLinePunct w:val="0"/>
        <w:autoSpaceDE/>
        <w:autoSpaceDN/>
        <w:bidi w:val="0"/>
        <w:adjustRightInd/>
        <w:snapToGrid/>
        <w:spacing w:line="540" w:lineRule="exact"/>
        <w:ind w:firstLine="64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（一）机构组成。</w:t>
      </w:r>
    </w:p>
    <w:p>
      <w:pPr>
        <w:pBdr>
          <w:bottom w:val="single" w:color="FFFFFF" w:sz="4" w:space="31"/>
        </w:pBdr>
        <w:shd w:val="clear" w:color="auto" w:fill="FFFFFF"/>
        <w:tabs>
          <w:tab w:val="left" w:pos="1440"/>
        </w:tabs>
        <w:snapToGrid w:val="0"/>
        <w:spacing w:line="560" w:lineRule="exact"/>
        <w:ind w:firstLine="640" w:firstLineChars="200"/>
        <w:rPr>
          <w:rFonts w:hint="eastAsia" w:ascii="仿宋_GB2312" w:hAnsi="仿宋_GB2312" w:eastAsia="仿宋_GB2312" w:cs="仿宋_GB2312"/>
          <w:bCs/>
          <w:sz w:val="32"/>
          <w:szCs w:val="32"/>
          <w:lang w:eastAsia="zh-CN"/>
        </w:rPr>
      </w:pPr>
      <w:r>
        <w:rPr>
          <w:rFonts w:hint="eastAsia" w:ascii="仿宋_GB2312" w:hAnsi="仿宋_GB2312" w:eastAsia="仿宋_GB2312" w:cs="仿宋_GB2312"/>
          <w:sz w:val="32"/>
          <w:szCs w:val="32"/>
          <w:lang w:val="en-US" w:eastAsia="zh-CN"/>
        </w:rPr>
        <w:t>2025年6月，“</w:t>
      </w:r>
      <w:r>
        <w:rPr>
          <w:rFonts w:hint="eastAsia" w:ascii="仿宋_GB2312" w:hAnsi="仿宋_GB2312" w:eastAsia="仿宋_GB2312" w:cs="仿宋_GB2312"/>
          <w:bCs/>
          <w:sz w:val="32"/>
          <w:szCs w:val="32"/>
        </w:rPr>
        <w:t>黑水县</w:t>
      </w:r>
      <w:r>
        <w:rPr>
          <w:rFonts w:hint="eastAsia" w:ascii="仿宋_GB2312" w:hAnsi="仿宋_GB2312" w:eastAsia="仿宋_GB2312" w:cs="仿宋_GB2312"/>
          <w:bCs/>
          <w:sz w:val="32"/>
          <w:szCs w:val="32"/>
          <w:lang w:eastAsia="zh-CN"/>
        </w:rPr>
        <w:t>矛盾纠纷大调解协调中心”经县委机构编制委员会同意更名为“黑水县社会治安综合治理中心”。</w:t>
      </w:r>
    </w:p>
    <w:p>
      <w:pPr>
        <w:pBdr>
          <w:bottom w:val="single" w:color="FFFFFF" w:sz="4" w:space="31"/>
        </w:pBdr>
        <w:shd w:val="clear" w:color="auto" w:fill="FFFFFF"/>
        <w:tabs>
          <w:tab w:val="left" w:pos="1440"/>
        </w:tabs>
        <w:snapToGrid w:val="0"/>
        <w:spacing w:line="560" w:lineRule="exact"/>
        <w:ind w:firstLine="640" w:firstLineChars="200"/>
        <w:rPr>
          <w:rFonts w:hint="eastAsia" w:ascii="仿宋_GB2312" w:hAnsi="仿宋_GB2312" w:eastAsia="仿宋_GB2312" w:cs="仿宋_GB2312"/>
          <w:b/>
          <w:color w:val="auto"/>
          <w:sz w:val="32"/>
          <w:szCs w:val="32"/>
        </w:rPr>
      </w:pPr>
      <w:r>
        <w:rPr>
          <w:rFonts w:hint="eastAsia" w:ascii="仿宋_GB2312" w:hAnsi="仿宋_GB2312" w:eastAsia="仿宋_GB2312" w:cs="仿宋_GB2312"/>
          <w:bCs/>
          <w:sz w:val="32"/>
          <w:szCs w:val="32"/>
          <w:lang w:eastAsia="zh-CN"/>
        </w:rPr>
        <w:t>黑水县社会治安综合治理中心</w:t>
      </w:r>
      <w:r>
        <w:rPr>
          <w:rFonts w:hint="eastAsia" w:ascii="仿宋_GB2312" w:eastAsia="仿宋_GB2312"/>
          <w:sz w:val="32"/>
          <w:szCs w:val="32"/>
        </w:rPr>
        <w:t>（四川省黑水县公证处）无下属二级单位</w:t>
      </w:r>
      <w:r>
        <w:rPr>
          <w:rFonts w:hint="eastAsia" w:ascii="仿宋_GB2312" w:eastAsia="仿宋_GB2312"/>
          <w:sz w:val="32"/>
          <w:szCs w:val="32"/>
          <w:lang w:eastAsia="zh-CN"/>
        </w:rPr>
        <w:t>，本单位</w:t>
      </w:r>
      <w:r>
        <w:rPr>
          <w:rFonts w:hint="eastAsia" w:ascii="仿宋_GB2312" w:eastAsia="仿宋_GB2312"/>
          <w:sz w:val="32"/>
          <w:szCs w:val="32"/>
        </w:rPr>
        <w:t>属县委政法委（县司法局）直属事业单位</w:t>
      </w:r>
      <w:r>
        <w:rPr>
          <w:rFonts w:hint="eastAsia" w:ascii="仿宋_GB2312" w:eastAsia="仿宋_GB2312"/>
          <w:sz w:val="32"/>
          <w:szCs w:val="32"/>
          <w:lang w:eastAsia="zh-CN"/>
        </w:rPr>
        <w:t>。</w:t>
      </w:r>
      <w:r>
        <w:rPr>
          <w:rFonts w:hint="eastAsia" w:ascii="楷体_GB2312" w:hAnsi="楷体_GB2312" w:eastAsia="楷体_GB2312" w:cs="楷体_GB2312"/>
          <w:b/>
          <w:bCs/>
          <w:sz w:val="32"/>
          <w:szCs w:val="32"/>
          <w:lang w:eastAsia="zh-CN"/>
        </w:rPr>
        <w:t>（二）机构</w:t>
      </w:r>
      <w:r>
        <w:rPr>
          <w:rFonts w:hint="eastAsia" w:ascii="楷体_GB2312" w:hAnsi="楷体_GB2312" w:eastAsia="楷体_GB2312" w:cs="楷体_GB2312"/>
          <w:b/>
          <w:bCs/>
          <w:sz w:val="32"/>
          <w:szCs w:val="32"/>
        </w:rPr>
        <w:t>职能</w:t>
      </w:r>
      <w:r>
        <w:rPr>
          <w:rFonts w:hint="eastAsia" w:ascii="仿宋_GB2312" w:hAnsi="仿宋_GB2312" w:eastAsia="仿宋_GB2312" w:cs="仿宋_GB2312"/>
          <w:b/>
          <w:color w:val="auto"/>
          <w:sz w:val="32"/>
          <w:szCs w:val="32"/>
        </w:rPr>
        <w:t>。</w:t>
      </w:r>
    </w:p>
    <w:p>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2"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sz w:val="32"/>
          <w:szCs w:val="32"/>
        </w:rPr>
        <w:t>县</w:t>
      </w:r>
      <w:r>
        <w:rPr>
          <w:rFonts w:hint="eastAsia" w:ascii="仿宋_GB2312" w:hAnsi="仿宋_GB2312" w:eastAsia="仿宋_GB2312" w:cs="仿宋_GB2312"/>
          <w:b/>
          <w:bCs/>
          <w:sz w:val="32"/>
          <w:szCs w:val="32"/>
          <w:lang w:eastAsia="zh-CN"/>
        </w:rPr>
        <w:t>社会治安综合治理中心：</w:t>
      </w:r>
      <w:r>
        <w:rPr>
          <w:rFonts w:hint="eastAsia" w:ascii="仿宋_GB2312" w:hAnsi="仿宋_GB2312" w:eastAsia="仿宋_GB2312" w:cs="仿宋_GB2312"/>
          <w:color w:val="auto"/>
          <w:sz w:val="32"/>
          <w:szCs w:val="32"/>
        </w:rPr>
        <w:t>组织协调社会治安</w:t>
      </w:r>
      <w:r>
        <w:rPr>
          <w:rFonts w:hint="default" w:ascii="仿宋_GB2312" w:hAnsi="仿宋_GB2312" w:eastAsia="仿宋_GB2312" w:cs="仿宋_GB2312"/>
          <w:color w:val="auto"/>
          <w:sz w:val="32"/>
          <w:szCs w:val="32"/>
        </w:rPr>
        <w:t>整体</w:t>
      </w:r>
      <w:bookmarkStart w:id="1" w:name="_GoBack"/>
      <w:bookmarkEnd w:id="1"/>
      <w:r>
        <w:rPr>
          <w:rFonts w:hint="eastAsia" w:ascii="仿宋_GB2312" w:hAnsi="仿宋_GB2312" w:eastAsia="仿宋_GB2312" w:cs="仿宋_GB2312"/>
          <w:color w:val="auto"/>
          <w:sz w:val="32"/>
          <w:szCs w:val="32"/>
        </w:rPr>
        <w:t>防控体系建设，推动解决涉及跨部门的社会治安</w:t>
      </w:r>
      <w:r>
        <w:rPr>
          <w:rFonts w:hint="eastAsia" w:ascii="仿宋_GB2312" w:hAnsi="仿宋_GB2312" w:eastAsia="仿宋_GB2312" w:cs="仿宋_GB2312"/>
          <w:color w:val="auto"/>
          <w:sz w:val="32"/>
          <w:szCs w:val="32"/>
          <w:lang w:eastAsia="zh-CN"/>
        </w:rPr>
        <w:t>综合治理</w:t>
      </w:r>
      <w:r>
        <w:rPr>
          <w:rFonts w:hint="eastAsia" w:ascii="仿宋_GB2312" w:hAnsi="仿宋_GB2312" w:eastAsia="仿宋_GB2312" w:cs="仿宋_GB2312"/>
          <w:color w:val="auto"/>
          <w:sz w:val="32"/>
          <w:szCs w:val="32"/>
        </w:rPr>
        <w:t>事项</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组织、协调、指导开展矛盾纠纷多元化解、网格化服务管理工作，具体承担“微网实格”工作实施</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运用社会治安综合治理信息系统实现信息、资源和力量联动融合，增强基层社会治理</w:t>
      </w:r>
      <w:r>
        <w:rPr>
          <w:rFonts w:hint="eastAsia" w:ascii="仿宋_GB2312" w:hAnsi="仿宋_GB2312" w:eastAsia="仿宋_GB2312" w:cs="仿宋_GB2312"/>
          <w:color w:val="auto"/>
          <w:sz w:val="32"/>
          <w:szCs w:val="32"/>
          <w:lang w:eastAsia="zh-CN"/>
        </w:rPr>
        <w:t>合力；</w:t>
      </w:r>
      <w:r>
        <w:rPr>
          <w:rFonts w:hint="eastAsia" w:ascii="仿宋_GB2312" w:hAnsi="仿宋_GB2312" w:eastAsia="仿宋_GB2312" w:cs="仿宋_GB2312"/>
          <w:color w:val="auto"/>
          <w:sz w:val="32"/>
          <w:szCs w:val="32"/>
        </w:rPr>
        <w:t>推进公共安全视频监控的建设联网运用等工作。</w:t>
      </w:r>
    </w:p>
    <w:p>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sz w:val="32"/>
          <w:szCs w:val="32"/>
          <w:lang w:val="en-US" w:eastAsia="zh-CN"/>
        </w:rPr>
        <w:t>县公证处：</w:t>
      </w:r>
      <w:r>
        <w:rPr>
          <w:rFonts w:hint="eastAsia" w:ascii="仿宋_GB2312" w:hAnsi="仿宋_GB2312" w:eastAsia="仿宋_GB2312" w:cs="仿宋_GB2312"/>
          <w:color w:val="auto"/>
          <w:sz w:val="32"/>
          <w:szCs w:val="32"/>
          <w:lang w:val="en-US" w:eastAsia="zh-CN"/>
        </w:rPr>
        <w:t>办理公证事务，出具公</w:t>
      </w:r>
      <w:r>
        <w:rPr>
          <w:rFonts w:hint="eastAsia" w:ascii="仿宋_GB2312" w:hAnsi="仿宋_GB2312" w:eastAsia="仿宋_GB2312" w:cs="仿宋_GB2312"/>
          <w:color w:val="auto"/>
          <w:sz w:val="32"/>
          <w:szCs w:val="32"/>
        </w:rPr>
        <w:t>证证明。如公证经济合同、收养、遗嘱等法律行为，公证学历、出生、亲属关系等有法律意义的事实和文书，赋予债权文书具有强制执行效力，办理保全证据和提存公证等；向社会提供法律服务。除办理公证事务外，公证法律服务的内容还包括：解答法律咨询，代写法律文书，代当事人保管遗嘱、文件和其他贵重物品，清点、封存遗产，调解公证事项的纠纷</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参与当事人之间的谈判和其他经济活动，进行回访监督，提出公证建议，担任法律顾问，代办与公证有关的法律手续等；对社会性活动实施法律监督。</w:t>
      </w:r>
      <w:r>
        <w:rPr>
          <w:rFonts w:hint="eastAsia" w:ascii="仿宋_GB2312" w:hAnsi="仿宋_GB2312" w:eastAsia="仿宋_GB2312" w:cs="仿宋_GB2312"/>
          <w:color w:val="auto"/>
          <w:sz w:val="32"/>
          <w:szCs w:val="32"/>
          <w:lang w:eastAsia="zh-CN"/>
        </w:rPr>
        <w:t>对</w:t>
      </w:r>
      <w:r>
        <w:rPr>
          <w:rFonts w:hint="eastAsia" w:ascii="仿宋_GB2312" w:hAnsi="仿宋_GB2312" w:eastAsia="仿宋_GB2312" w:cs="仿宋_GB2312"/>
          <w:color w:val="auto"/>
          <w:sz w:val="32"/>
          <w:szCs w:val="32"/>
        </w:rPr>
        <w:t>招标投标、拍卖、</w:t>
      </w:r>
      <w:r>
        <w:rPr>
          <w:rFonts w:hint="eastAsia" w:ascii="仿宋_GB2312" w:hAnsi="仿宋_GB2312" w:eastAsia="仿宋_GB2312" w:cs="仿宋_GB2312"/>
          <w:color w:val="auto"/>
          <w:sz w:val="32"/>
          <w:szCs w:val="32"/>
          <w:lang w:eastAsia="zh-CN"/>
        </w:rPr>
        <w:t>面向社会的</w:t>
      </w:r>
      <w:r>
        <w:rPr>
          <w:rFonts w:hint="eastAsia" w:ascii="仿宋_GB2312" w:hAnsi="仿宋_GB2312" w:eastAsia="仿宋_GB2312" w:cs="仿宋_GB2312"/>
          <w:color w:val="auto"/>
          <w:sz w:val="32"/>
          <w:szCs w:val="32"/>
        </w:rPr>
        <w:t>竞赛活动、商品的抽样检测</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股份公司创立大会、公司</w:t>
      </w:r>
      <w:r>
        <w:rPr>
          <w:rFonts w:hint="eastAsia" w:ascii="仿宋_GB2312" w:hAnsi="仿宋_GB2312" w:eastAsia="仿宋_GB2312" w:cs="仿宋_GB2312"/>
          <w:color w:val="auto"/>
          <w:sz w:val="32"/>
          <w:szCs w:val="32"/>
          <w:lang w:eastAsia="zh-CN"/>
        </w:rPr>
        <w:t>股东会</w:t>
      </w:r>
      <w:r>
        <w:rPr>
          <w:rFonts w:hint="eastAsia" w:ascii="仿宋_GB2312" w:hAnsi="仿宋_GB2312" w:eastAsia="仿宋_GB2312" w:cs="仿宋_GB2312"/>
          <w:color w:val="auto"/>
          <w:sz w:val="32"/>
          <w:szCs w:val="32"/>
        </w:rPr>
        <w:t xml:space="preserve">等与公众或社会经济生活有密切关系的社会活动进行公证监督，以维护正常的经济秩序。     </w:t>
      </w:r>
    </w:p>
    <w:p>
      <w:pPr>
        <w:keepNext w:val="0"/>
        <w:keepLines w:val="0"/>
        <w:pageBreakBefore w:val="0"/>
        <w:widowControl w:val="0"/>
        <w:numPr>
          <w:ilvl w:val="0"/>
          <w:numId w:val="1"/>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2"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人员概况。</w:t>
      </w:r>
    </w:p>
    <w:p>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kern w:val="2"/>
          <w:sz w:val="32"/>
          <w:szCs w:val="32"/>
          <w:lang w:val="en-US" w:eastAsia="zh-CN" w:bidi="ar-SA"/>
        </w:rPr>
        <w:t>本单位</w:t>
      </w:r>
      <w:r>
        <w:rPr>
          <w:rFonts w:hint="eastAsia" w:ascii="仿宋_GB2312" w:hAnsi="仿宋_GB2312" w:eastAsia="仿宋_GB2312" w:cs="仿宋_GB2312"/>
          <w:sz w:val="32"/>
          <w:szCs w:val="32"/>
          <w:lang w:val="en-US" w:eastAsia="zh-CN"/>
        </w:rPr>
        <w:t>编制数（事业）10人，</w:t>
      </w:r>
      <w:r>
        <w:rPr>
          <w:rFonts w:hint="eastAsia" w:ascii="仿宋_GB2312" w:hAnsi="仿宋_GB2312" w:eastAsia="仿宋_GB2312" w:cs="仿宋_GB2312"/>
          <w:color w:val="auto"/>
          <w:sz w:val="32"/>
          <w:szCs w:val="32"/>
          <w:lang w:val="en-US" w:eastAsia="zh-CN"/>
        </w:rPr>
        <w:t>实有在职人员</w:t>
      </w:r>
      <w:r>
        <w:rPr>
          <w:rFonts w:hint="eastAsia" w:ascii="仿宋_GB2312" w:hAnsi="仿宋_GB2312" w:eastAsia="仿宋_GB2312" w:cs="仿宋_GB2312"/>
          <w:sz w:val="32"/>
          <w:szCs w:val="32"/>
          <w:lang w:val="en-US" w:eastAsia="zh-CN"/>
        </w:rPr>
        <w:t>9人，</w:t>
      </w:r>
      <w:r>
        <w:rPr>
          <w:rFonts w:hint="eastAsia" w:ascii="仿宋_GB2312" w:hAnsi="仿宋_GB2312" w:eastAsia="仿宋_GB2312" w:cs="仿宋_GB2312"/>
          <w:color w:val="auto"/>
          <w:sz w:val="32"/>
          <w:szCs w:val="32"/>
        </w:rPr>
        <w:t>退休</w:t>
      </w:r>
      <w:r>
        <w:rPr>
          <w:rFonts w:hint="eastAsia" w:ascii="仿宋_GB2312" w:hAnsi="仿宋_GB2312" w:eastAsia="仿宋_GB2312" w:cs="仿宋_GB2312"/>
          <w:color w:val="auto"/>
          <w:sz w:val="32"/>
          <w:szCs w:val="32"/>
          <w:lang w:eastAsia="zh-CN"/>
        </w:rPr>
        <w:t>人员</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人。</w:t>
      </w:r>
    </w:p>
    <w:p>
      <w:pPr>
        <w:keepNext w:val="0"/>
        <w:keepLines w:val="0"/>
        <w:pageBreakBefore w:val="0"/>
        <w:widowControl w:val="0"/>
        <w:numPr>
          <w:ilvl w:val="0"/>
          <w:numId w:val="2"/>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部门财政资金收支情况</w:t>
      </w:r>
    </w:p>
    <w:p>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2" w:firstLineChars="200"/>
        <w:textAlignment w:val="auto"/>
        <w:rPr>
          <w:rFonts w:hint="eastAsia" w:ascii="仿宋_GB2312" w:hAnsi="仿宋" w:eastAsia="仿宋_GB2312"/>
          <w:sz w:val="32"/>
          <w:szCs w:val="32"/>
        </w:rPr>
      </w:pPr>
      <w:r>
        <w:rPr>
          <w:rFonts w:hint="eastAsia" w:ascii="楷体_GB2312" w:hAnsi="楷体_GB2312" w:eastAsia="楷体_GB2312" w:cs="楷体_GB2312"/>
          <w:b/>
          <w:bCs/>
          <w:color w:val="auto"/>
          <w:sz w:val="32"/>
          <w:szCs w:val="32"/>
          <w:lang w:val="en-US" w:eastAsia="zh-CN"/>
        </w:rPr>
        <w:t>1.</w:t>
      </w:r>
      <w:r>
        <w:rPr>
          <w:rFonts w:hint="eastAsia" w:ascii="楷体_GB2312" w:hAnsi="楷体_GB2312" w:eastAsia="楷体_GB2312" w:cs="楷体_GB2312"/>
          <w:b/>
          <w:bCs/>
          <w:color w:val="auto"/>
          <w:sz w:val="32"/>
          <w:szCs w:val="32"/>
        </w:rPr>
        <w:t>部门财政资金收入情况</w:t>
      </w:r>
      <w:r>
        <w:rPr>
          <w:rFonts w:hint="eastAsia" w:ascii="楷体_GB2312" w:hAnsi="楷体_GB2312" w:eastAsia="楷体_GB2312" w:cs="楷体_GB2312"/>
          <w:b/>
          <w:bCs/>
          <w:color w:val="auto"/>
          <w:sz w:val="32"/>
          <w:szCs w:val="32"/>
          <w:lang w:eastAsia="zh-CN"/>
        </w:rPr>
        <w:t>。</w:t>
      </w:r>
      <w:r>
        <w:rPr>
          <w:rFonts w:hint="eastAsia" w:ascii="仿宋_GB2312" w:hAnsi="仿宋" w:eastAsia="仿宋_GB2312"/>
          <w:sz w:val="32"/>
          <w:szCs w:val="32"/>
        </w:rPr>
        <w:t>202</w:t>
      </w:r>
      <w:r>
        <w:rPr>
          <w:rFonts w:hint="eastAsia" w:ascii="仿宋_GB2312" w:hAnsi="仿宋" w:eastAsia="仿宋_GB2312"/>
          <w:sz w:val="32"/>
          <w:szCs w:val="32"/>
          <w:lang w:val="en-US" w:eastAsia="zh-CN"/>
        </w:rPr>
        <w:t>5</w:t>
      </w:r>
      <w:r>
        <w:rPr>
          <w:rFonts w:hint="eastAsia" w:ascii="仿宋_GB2312" w:hAnsi="仿宋" w:eastAsia="仿宋_GB2312"/>
          <w:sz w:val="32"/>
          <w:szCs w:val="32"/>
        </w:rPr>
        <w:t>年收入总计</w:t>
      </w:r>
      <w:r>
        <w:rPr>
          <w:rFonts w:hint="eastAsia" w:ascii="仿宋_GB2312" w:hAnsi="仿宋" w:eastAsia="仿宋_GB2312"/>
          <w:sz w:val="32"/>
          <w:szCs w:val="32"/>
          <w:lang w:val="en-US" w:eastAsia="zh-CN"/>
        </w:rPr>
        <w:t>185.20</w:t>
      </w:r>
      <w:r>
        <w:rPr>
          <w:rFonts w:hint="eastAsia" w:ascii="仿宋_GB2312" w:hAnsi="仿宋" w:eastAsia="仿宋_GB2312"/>
          <w:sz w:val="32"/>
          <w:szCs w:val="32"/>
        </w:rPr>
        <w:t>万元</w:t>
      </w:r>
      <w:r>
        <w:rPr>
          <w:rFonts w:hint="eastAsia" w:ascii="仿宋_GB2312" w:hAnsi="仿宋" w:eastAsia="仿宋_GB2312"/>
          <w:sz w:val="32"/>
          <w:szCs w:val="32"/>
          <w:lang w:eastAsia="zh-CN"/>
        </w:rPr>
        <w:t>。其中：一般公共预算财政拨款收入</w:t>
      </w:r>
      <w:r>
        <w:rPr>
          <w:rFonts w:hint="eastAsia" w:ascii="仿宋_GB2312" w:hAnsi="仿宋" w:eastAsia="仿宋_GB2312"/>
          <w:sz w:val="32"/>
          <w:szCs w:val="32"/>
          <w:lang w:val="en-US" w:eastAsia="zh-CN"/>
        </w:rPr>
        <w:t>185.20万元，</w:t>
      </w:r>
      <w:r>
        <w:rPr>
          <w:rFonts w:hint="eastAsia" w:ascii="仿宋_GB2312" w:hAnsi="仿宋" w:eastAsia="仿宋_GB2312"/>
          <w:sz w:val="32"/>
          <w:szCs w:val="32"/>
        </w:rPr>
        <w:t>占</w:t>
      </w:r>
      <w:r>
        <w:rPr>
          <w:rFonts w:hint="eastAsia" w:ascii="仿宋_GB2312" w:hAnsi="仿宋" w:eastAsia="仿宋_GB2312"/>
          <w:sz w:val="32"/>
          <w:szCs w:val="32"/>
          <w:lang w:val="en-US" w:eastAsia="zh-CN"/>
        </w:rPr>
        <w:t>10</w:t>
      </w:r>
      <w:r>
        <w:rPr>
          <w:rFonts w:hint="eastAsia" w:ascii="仿宋_GB2312" w:hAnsi="仿宋" w:eastAsia="仿宋_GB2312"/>
          <w:sz w:val="32"/>
          <w:szCs w:val="32"/>
        </w:rPr>
        <w:t>0%</w:t>
      </w:r>
      <w:r>
        <w:rPr>
          <w:rFonts w:hint="eastAsia" w:ascii="仿宋_GB2312" w:hAnsi="仿宋" w:eastAsia="仿宋_GB2312"/>
          <w:sz w:val="32"/>
          <w:szCs w:val="32"/>
          <w:lang w:eastAsia="zh-CN"/>
        </w:rPr>
        <w:t>；</w:t>
      </w:r>
      <w:r>
        <w:rPr>
          <w:rFonts w:hint="eastAsia" w:ascii="仿宋_GB2312" w:hAnsi="仿宋" w:eastAsia="仿宋_GB2312"/>
          <w:sz w:val="32"/>
          <w:szCs w:val="32"/>
        </w:rPr>
        <w:t>政府性基金预算财政拨款收入0万元，占0%；国有资本经营预算财政拨款收入0万元，占0%；事业收入0万元，占0%；经营收入0万元，占0%；附属单位上缴收入0万元，占0%；其他收入0万元，占0%。</w:t>
      </w:r>
    </w:p>
    <w:p>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2" w:firstLineChars="200"/>
        <w:textAlignment w:val="auto"/>
        <w:rPr>
          <w:rFonts w:hint="eastAsia" w:ascii="仿宋_GB2312" w:hAnsi="仿宋" w:eastAsia="仿宋_GB2312"/>
          <w:sz w:val="32"/>
          <w:szCs w:val="32"/>
        </w:rPr>
      </w:pPr>
      <w:r>
        <w:rPr>
          <w:rFonts w:hint="eastAsia" w:ascii="楷体_GB2312" w:hAnsi="楷体_GB2312" w:eastAsia="楷体_GB2312" w:cs="楷体_GB2312"/>
          <w:b/>
          <w:bCs/>
          <w:color w:val="auto"/>
          <w:sz w:val="32"/>
          <w:szCs w:val="32"/>
          <w:lang w:val="en-US" w:eastAsia="zh-CN"/>
        </w:rPr>
        <w:t>2.</w:t>
      </w:r>
      <w:r>
        <w:rPr>
          <w:rFonts w:hint="eastAsia" w:ascii="楷体_GB2312" w:hAnsi="楷体_GB2312" w:eastAsia="楷体_GB2312" w:cs="楷体_GB2312"/>
          <w:b/>
          <w:bCs/>
          <w:color w:val="auto"/>
          <w:sz w:val="32"/>
          <w:szCs w:val="32"/>
        </w:rPr>
        <w:t>部门财政资金支出情况</w:t>
      </w:r>
      <w:r>
        <w:rPr>
          <w:rFonts w:hint="eastAsia" w:ascii="楷体_GB2312" w:hAnsi="楷体_GB2312" w:eastAsia="楷体_GB2312" w:cs="楷体_GB2312"/>
          <w:b/>
          <w:bCs/>
          <w:color w:val="auto"/>
          <w:sz w:val="32"/>
          <w:szCs w:val="32"/>
          <w:lang w:eastAsia="zh-CN"/>
        </w:rPr>
        <w:t>。</w:t>
      </w:r>
      <w:r>
        <w:rPr>
          <w:rFonts w:hint="eastAsia" w:ascii="仿宋_GB2312" w:hAnsi="仿宋_GB2312" w:eastAsia="仿宋_GB2312" w:cs="仿宋_GB2312"/>
          <w:b w:val="0"/>
          <w:bCs w:val="0"/>
          <w:color w:val="auto"/>
          <w:sz w:val="32"/>
          <w:szCs w:val="32"/>
          <w:lang w:eastAsia="zh-CN"/>
        </w:rPr>
        <w:t>20</w:t>
      </w:r>
      <w:r>
        <w:rPr>
          <w:rFonts w:hint="eastAsia" w:ascii="仿宋_GB2312" w:hAnsi="仿宋_GB2312" w:eastAsia="仿宋_GB2312" w:cs="仿宋_GB2312"/>
          <w:b w:val="0"/>
          <w:bCs w:val="0"/>
          <w:color w:val="auto"/>
          <w:sz w:val="32"/>
          <w:szCs w:val="32"/>
          <w:lang w:val="en-US" w:eastAsia="zh-CN"/>
        </w:rPr>
        <w:t>25</w:t>
      </w:r>
      <w:r>
        <w:rPr>
          <w:rFonts w:hint="eastAsia" w:ascii="仿宋_GB2312" w:hAnsi="仿宋_GB2312" w:eastAsia="仿宋_GB2312" w:cs="仿宋_GB2312"/>
          <w:b w:val="0"/>
          <w:bCs w:val="0"/>
          <w:color w:val="auto"/>
          <w:sz w:val="32"/>
          <w:szCs w:val="32"/>
          <w:lang w:eastAsia="zh-CN"/>
        </w:rPr>
        <w:t>年</w:t>
      </w:r>
      <w:r>
        <w:rPr>
          <w:rFonts w:hint="eastAsia" w:ascii="仿宋_GB2312" w:hAnsi="仿宋_GB2312" w:eastAsia="仿宋_GB2312" w:cs="仿宋_GB2312"/>
          <w:b w:val="0"/>
          <w:bCs w:val="0"/>
          <w:color w:val="auto"/>
          <w:sz w:val="32"/>
          <w:szCs w:val="32"/>
          <w:lang w:val="en-US" w:eastAsia="zh-CN"/>
        </w:rPr>
        <w:t>支出总计185.20</w:t>
      </w:r>
      <w:r>
        <w:rPr>
          <w:rFonts w:hint="eastAsia" w:ascii="仿宋_GB2312" w:hAnsi="仿宋_GB2312" w:eastAsia="仿宋_GB2312" w:cs="仿宋_GB2312"/>
          <w:b w:val="0"/>
          <w:bCs w:val="0"/>
          <w:color w:val="auto"/>
          <w:sz w:val="32"/>
          <w:szCs w:val="32"/>
        </w:rPr>
        <w:t>万元</w:t>
      </w:r>
      <w:r>
        <w:rPr>
          <w:rFonts w:hint="eastAsia" w:ascii="仿宋_GB2312" w:hAnsi="仿宋_GB2312" w:eastAsia="仿宋_GB2312" w:cs="仿宋_GB2312"/>
          <w:b w:val="0"/>
          <w:bCs w:val="0"/>
          <w:color w:val="auto"/>
          <w:sz w:val="32"/>
          <w:szCs w:val="32"/>
          <w:lang w:eastAsia="zh-CN"/>
        </w:rPr>
        <w:t>。其中：基本支出</w:t>
      </w:r>
      <w:r>
        <w:rPr>
          <w:rFonts w:hint="eastAsia" w:ascii="仿宋_GB2312" w:hAnsi="仿宋_GB2312" w:eastAsia="仿宋_GB2312" w:cs="仿宋_GB2312"/>
          <w:b w:val="0"/>
          <w:bCs w:val="0"/>
          <w:color w:val="auto"/>
          <w:sz w:val="32"/>
          <w:szCs w:val="32"/>
          <w:lang w:val="en-US" w:eastAsia="zh-CN"/>
        </w:rPr>
        <w:t>185.20万元，占100%；项目支出0万元，占0%；</w:t>
      </w:r>
      <w:r>
        <w:rPr>
          <w:rFonts w:hint="eastAsia" w:ascii="仿宋_GB2312" w:hAnsi="仿宋" w:eastAsia="仿宋_GB2312"/>
          <w:sz w:val="32"/>
          <w:szCs w:val="32"/>
        </w:rPr>
        <w:t>上缴上级支出0万元，占0%；经营支出0万元，占0%；对附属单位补助支出0万元，占0%。</w:t>
      </w:r>
    </w:p>
    <w:p>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2" w:firstLineChars="200"/>
        <w:textAlignment w:val="auto"/>
      </w:pPr>
      <w:r>
        <w:rPr>
          <w:rFonts w:hint="eastAsia" w:ascii="楷体_GB2312" w:hAnsi="楷体_GB2312" w:eastAsia="楷体_GB2312" w:cs="楷体_GB2312"/>
          <w:b/>
          <w:bCs/>
          <w:color w:val="auto"/>
          <w:sz w:val="32"/>
          <w:szCs w:val="32"/>
          <w:lang w:val="en-US" w:eastAsia="zh-CN"/>
        </w:rPr>
        <w:t>3.结余分配和结转结余情况。</w:t>
      </w:r>
      <w:r>
        <w:rPr>
          <w:rFonts w:hint="eastAsia" w:ascii="仿宋_GB2312" w:hAnsi="仿宋_GB2312" w:eastAsia="仿宋_GB2312" w:cs="仿宋_GB2312"/>
          <w:b w:val="0"/>
          <w:bCs w:val="0"/>
          <w:color w:val="auto"/>
          <w:sz w:val="32"/>
          <w:szCs w:val="32"/>
          <w:lang w:val="en-US" w:eastAsia="zh-CN"/>
        </w:rPr>
        <w:t>2025年决算无结转结余资金。</w:t>
      </w:r>
    </w:p>
    <w:p>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2"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lang w:val="en-US" w:eastAsia="zh-CN"/>
        </w:rPr>
        <w:t>三、</w:t>
      </w:r>
      <w:r>
        <w:rPr>
          <w:rFonts w:hint="eastAsia" w:ascii="黑体" w:hAnsi="黑体" w:eastAsia="黑体" w:cs="黑体"/>
          <w:b/>
          <w:bCs/>
          <w:sz w:val="32"/>
          <w:szCs w:val="32"/>
        </w:rPr>
        <w:t>部门整体预算绩效管理情况</w:t>
      </w:r>
    </w:p>
    <w:p>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（一）部门预算管理</w:t>
      </w:r>
    </w:p>
    <w:p>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2" w:firstLineChars="200"/>
        <w:textAlignment w:val="auto"/>
        <w:rPr>
          <w:rFonts w:hint="default" w:ascii="仿宋" w:hAnsi="仿宋" w:eastAsia="仿宋" w:cs="仿宋"/>
          <w:color w:val="auto"/>
          <w:kern w:val="0"/>
          <w:sz w:val="32"/>
          <w:szCs w:val="32"/>
          <w:lang w:val="en-US" w:eastAsia="zh-CN" w:bidi="ar-SA"/>
        </w:rPr>
      </w:pPr>
      <w:r>
        <w:rPr>
          <w:rFonts w:hint="eastAsia" w:ascii="仿宋" w:hAnsi="仿宋" w:eastAsia="仿宋" w:cs="楷体_GB2312"/>
          <w:b/>
          <w:bCs w:val="0"/>
          <w:color w:val="auto"/>
          <w:sz w:val="32"/>
          <w:szCs w:val="32"/>
          <w:lang w:val="en-US" w:eastAsia="zh-CN"/>
        </w:rPr>
        <w:t>1.</w:t>
      </w:r>
      <w:r>
        <w:rPr>
          <w:rFonts w:hint="eastAsia" w:ascii="仿宋" w:hAnsi="仿宋" w:eastAsia="仿宋" w:cs="楷体_GB2312"/>
          <w:b/>
          <w:bCs w:val="0"/>
          <w:color w:val="auto"/>
          <w:sz w:val="32"/>
          <w:szCs w:val="32"/>
          <w:lang w:val="zh-CN"/>
        </w:rPr>
        <w:t>预算编制情况。</w:t>
      </w:r>
      <w:r>
        <w:rPr>
          <w:rFonts w:hint="eastAsia" w:ascii="仿宋_GB2312" w:hAnsi="仿宋_GB2312" w:eastAsia="仿宋_GB2312" w:cs="仿宋_GB2312"/>
          <w:b w:val="0"/>
          <w:bCs w:val="0"/>
          <w:color w:val="auto"/>
          <w:sz w:val="32"/>
          <w:szCs w:val="32"/>
          <w:lang w:eastAsia="zh-CN"/>
        </w:rPr>
        <w:t>严格按照财政预算编制要求，准确录入相关信息，各项业务经费</w:t>
      </w:r>
      <w:r>
        <w:rPr>
          <w:rFonts w:hint="default" w:ascii="仿宋" w:hAnsi="仿宋" w:eastAsia="仿宋" w:cs="仿宋"/>
          <w:color w:val="auto"/>
          <w:kern w:val="0"/>
          <w:sz w:val="32"/>
          <w:szCs w:val="32"/>
          <w:lang w:val="en-US" w:eastAsia="zh-CN" w:bidi="ar-SA"/>
        </w:rPr>
        <w:t>与部门职责和年度任务相匹配</w:t>
      </w:r>
      <w:r>
        <w:rPr>
          <w:rFonts w:hint="eastAsia" w:ascii="仿宋" w:hAnsi="仿宋" w:eastAsia="仿宋" w:cs="仿宋"/>
          <w:color w:val="auto"/>
          <w:kern w:val="0"/>
          <w:sz w:val="32"/>
          <w:szCs w:val="32"/>
          <w:lang w:val="en-US" w:eastAsia="zh-CN" w:bidi="ar-SA"/>
        </w:rPr>
        <w:t>，</w:t>
      </w:r>
      <w:r>
        <w:rPr>
          <w:rFonts w:hint="default" w:ascii="仿宋" w:hAnsi="仿宋" w:eastAsia="仿宋" w:cs="仿宋"/>
          <w:color w:val="auto"/>
          <w:kern w:val="0"/>
          <w:sz w:val="32"/>
          <w:szCs w:val="32"/>
          <w:lang w:val="en-US" w:eastAsia="zh-CN" w:bidi="ar-SA"/>
        </w:rPr>
        <w:t>科学设定了部门整体绩效目标</w:t>
      </w:r>
      <w:r>
        <w:rPr>
          <w:rFonts w:hint="eastAsia" w:ascii="仿宋" w:hAnsi="仿宋" w:eastAsia="仿宋" w:cs="仿宋"/>
          <w:color w:val="auto"/>
          <w:kern w:val="0"/>
          <w:sz w:val="32"/>
          <w:szCs w:val="32"/>
          <w:lang w:val="en-US" w:eastAsia="zh-CN" w:bidi="ar-SA"/>
        </w:rPr>
        <w:t>。</w:t>
      </w:r>
      <w:r>
        <w:rPr>
          <w:rFonts w:hint="default" w:ascii="仿宋" w:hAnsi="仿宋" w:eastAsia="仿宋" w:cs="仿宋"/>
          <w:color w:val="auto"/>
          <w:kern w:val="0"/>
          <w:sz w:val="32"/>
          <w:szCs w:val="32"/>
          <w:lang w:val="en-US" w:eastAsia="zh-CN" w:bidi="ar-SA"/>
        </w:rPr>
        <w:t>基本支出预算</w:t>
      </w:r>
      <w:r>
        <w:rPr>
          <w:rFonts w:hint="eastAsia" w:ascii="仿宋" w:hAnsi="仿宋" w:eastAsia="仿宋" w:cs="仿宋"/>
          <w:color w:val="auto"/>
          <w:kern w:val="0"/>
          <w:sz w:val="32"/>
          <w:szCs w:val="32"/>
          <w:lang w:val="en-US" w:eastAsia="zh-CN" w:bidi="ar-SA"/>
        </w:rPr>
        <w:t>中</w:t>
      </w:r>
      <w:r>
        <w:rPr>
          <w:rFonts w:hint="default" w:ascii="仿宋" w:hAnsi="仿宋" w:eastAsia="仿宋" w:cs="仿宋"/>
          <w:color w:val="auto"/>
          <w:kern w:val="0"/>
          <w:sz w:val="32"/>
          <w:szCs w:val="32"/>
          <w:lang w:val="en-US" w:eastAsia="zh-CN" w:bidi="ar-SA"/>
        </w:rPr>
        <w:t>人员经费按实有人员和政策标准编</w:t>
      </w:r>
      <w:r>
        <w:rPr>
          <w:rFonts w:hint="eastAsia" w:ascii="仿宋" w:hAnsi="仿宋" w:eastAsia="仿宋" w:cs="仿宋"/>
          <w:color w:val="auto"/>
          <w:kern w:val="0"/>
          <w:sz w:val="32"/>
          <w:szCs w:val="32"/>
          <w:lang w:val="en-US" w:eastAsia="zh-CN" w:bidi="ar-SA"/>
        </w:rPr>
        <w:t>制</w:t>
      </w:r>
      <w:r>
        <w:rPr>
          <w:rFonts w:hint="default" w:ascii="仿宋" w:hAnsi="仿宋" w:eastAsia="仿宋" w:cs="仿宋"/>
          <w:color w:val="auto"/>
          <w:kern w:val="0"/>
          <w:sz w:val="32"/>
          <w:szCs w:val="32"/>
          <w:lang w:val="en-US" w:eastAsia="zh-CN" w:bidi="ar-SA"/>
        </w:rPr>
        <w:t>，公用经费按定额核定</w:t>
      </w:r>
      <w:r>
        <w:rPr>
          <w:rFonts w:hint="eastAsia" w:ascii="仿宋" w:hAnsi="仿宋" w:eastAsia="仿宋" w:cs="仿宋"/>
          <w:color w:val="auto"/>
          <w:kern w:val="0"/>
          <w:sz w:val="32"/>
          <w:szCs w:val="32"/>
          <w:lang w:val="en-US" w:eastAsia="zh-CN" w:bidi="ar-SA"/>
        </w:rPr>
        <w:t>；</w:t>
      </w:r>
      <w:r>
        <w:rPr>
          <w:rFonts w:hint="default" w:ascii="仿宋" w:hAnsi="仿宋" w:eastAsia="仿宋" w:cs="仿宋"/>
          <w:color w:val="auto"/>
          <w:kern w:val="0"/>
          <w:sz w:val="32"/>
          <w:szCs w:val="32"/>
          <w:lang w:val="en-US" w:eastAsia="zh-CN" w:bidi="ar-SA"/>
        </w:rPr>
        <w:t>项目支出预算</w:t>
      </w:r>
      <w:r>
        <w:rPr>
          <w:rFonts w:hint="eastAsia" w:ascii="仿宋" w:hAnsi="仿宋" w:eastAsia="仿宋" w:cs="仿宋"/>
          <w:color w:val="auto"/>
          <w:kern w:val="0"/>
          <w:sz w:val="32"/>
          <w:szCs w:val="32"/>
          <w:lang w:val="en-US" w:eastAsia="zh-CN" w:bidi="ar-SA"/>
        </w:rPr>
        <w:t>中</w:t>
      </w:r>
      <w:r>
        <w:rPr>
          <w:rFonts w:hint="default" w:ascii="仿宋" w:hAnsi="仿宋" w:eastAsia="仿宋" w:cs="仿宋"/>
          <w:color w:val="auto"/>
          <w:kern w:val="0"/>
          <w:sz w:val="32"/>
          <w:szCs w:val="32"/>
          <w:lang w:val="en-US" w:eastAsia="zh-CN" w:bidi="ar-SA"/>
        </w:rPr>
        <w:t>根据发展规划和项目库储备情况编制</w:t>
      </w:r>
      <w:r>
        <w:rPr>
          <w:rFonts w:hint="eastAsia" w:ascii="仿宋" w:hAnsi="仿宋" w:eastAsia="仿宋" w:cs="仿宋"/>
          <w:color w:val="auto"/>
          <w:kern w:val="0"/>
          <w:sz w:val="32"/>
          <w:szCs w:val="32"/>
          <w:lang w:val="en-US" w:eastAsia="zh-CN" w:bidi="ar-SA"/>
        </w:rPr>
        <w:t>。</w:t>
      </w:r>
      <w:r>
        <w:rPr>
          <w:rFonts w:hint="default" w:ascii="仿宋" w:hAnsi="仿宋" w:eastAsia="仿宋" w:cs="仿宋"/>
          <w:color w:val="auto"/>
          <w:kern w:val="0"/>
          <w:sz w:val="32"/>
          <w:szCs w:val="32"/>
          <w:lang w:val="en-US" w:eastAsia="zh-CN" w:bidi="ar-SA"/>
        </w:rPr>
        <w:t>预算编制内容全面、依据充分、数据准确，预决算偏差率控制在合理范围内。</w:t>
      </w:r>
    </w:p>
    <w:p>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2" w:firstLineChars="200"/>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2.</w:t>
      </w:r>
      <w:r>
        <w:rPr>
          <w:rFonts w:hint="default" w:ascii="仿宋_GB2312" w:hAnsi="仿宋_GB2312" w:eastAsia="仿宋_GB2312" w:cs="仿宋_GB2312"/>
          <w:b/>
          <w:bCs/>
          <w:color w:val="auto"/>
          <w:kern w:val="2"/>
          <w:sz w:val="32"/>
          <w:szCs w:val="32"/>
          <w:lang w:val="en-US" w:eastAsia="zh-CN" w:bidi="ar-SA"/>
        </w:rPr>
        <w:t>支出</w:t>
      </w:r>
      <w:r>
        <w:rPr>
          <w:rFonts w:hint="eastAsia" w:ascii="仿宋_GB2312" w:hAnsi="仿宋_GB2312" w:eastAsia="仿宋_GB2312" w:cs="仿宋_GB2312"/>
          <w:b/>
          <w:bCs/>
          <w:color w:val="auto"/>
          <w:kern w:val="2"/>
          <w:sz w:val="32"/>
          <w:szCs w:val="32"/>
          <w:lang w:val="en-US" w:eastAsia="zh-CN" w:bidi="ar-SA"/>
        </w:rPr>
        <w:t>管理情况。</w:t>
      </w:r>
      <w:r>
        <w:rPr>
          <w:rFonts w:hint="default" w:ascii="仿宋_GB2312" w:hAnsi="仿宋_GB2312" w:eastAsia="仿宋_GB2312" w:cs="仿宋_GB2312"/>
          <w:b w:val="0"/>
          <w:bCs w:val="0"/>
          <w:color w:val="auto"/>
          <w:kern w:val="2"/>
          <w:sz w:val="32"/>
          <w:szCs w:val="32"/>
          <w:lang w:val="en-US" w:eastAsia="zh-CN" w:bidi="ar-SA"/>
        </w:rPr>
        <w:t>严格执行内控制度、财经法规和经费支出审批程序，严控“三公”经费和一般性支出。资金支付合规，凭证齐全，核算规范。基本支出未突破预算，项目支出均用于预定用途，无挤占、挪用现象，支出控制有效</w:t>
      </w:r>
      <w:r>
        <w:rPr>
          <w:rFonts w:hint="eastAsia" w:ascii="仿宋_GB2312" w:hAnsi="仿宋_GB2312" w:eastAsia="仿宋_GB2312" w:cs="仿宋_GB2312"/>
          <w:b w:val="0"/>
          <w:bCs w:val="0"/>
          <w:color w:val="auto"/>
          <w:kern w:val="2"/>
          <w:sz w:val="32"/>
          <w:szCs w:val="32"/>
          <w:lang w:val="en-US" w:eastAsia="zh-CN" w:bidi="ar-SA"/>
        </w:rPr>
        <w:t>。</w:t>
      </w:r>
    </w:p>
    <w:p>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2" w:firstLineChars="200"/>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3.</w:t>
      </w:r>
      <w:r>
        <w:rPr>
          <w:rFonts w:hint="default" w:ascii="仿宋_GB2312" w:hAnsi="仿宋_GB2312" w:eastAsia="仿宋_GB2312" w:cs="仿宋_GB2312"/>
          <w:b/>
          <w:bCs/>
          <w:color w:val="auto"/>
          <w:kern w:val="2"/>
          <w:sz w:val="32"/>
          <w:szCs w:val="32"/>
          <w:lang w:val="en-US" w:eastAsia="zh-CN" w:bidi="ar-SA"/>
        </w:rPr>
        <w:t>预算动态</w:t>
      </w:r>
      <w:r>
        <w:rPr>
          <w:rFonts w:hint="eastAsia" w:ascii="仿宋_GB2312" w:hAnsi="仿宋_GB2312" w:eastAsia="仿宋_GB2312" w:cs="仿宋_GB2312"/>
          <w:b/>
          <w:bCs/>
          <w:color w:val="auto"/>
          <w:kern w:val="2"/>
          <w:sz w:val="32"/>
          <w:szCs w:val="32"/>
          <w:lang w:val="en-US" w:eastAsia="zh-CN" w:bidi="ar-SA"/>
        </w:rPr>
        <w:t>管理情况。</w:t>
      </w:r>
      <w:r>
        <w:rPr>
          <w:rFonts w:hint="default" w:ascii="仿宋_GB2312" w:hAnsi="仿宋_GB2312" w:eastAsia="仿宋_GB2312" w:cs="仿宋_GB2312"/>
          <w:b w:val="0"/>
          <w:bCs w:val="0"/>
          <w:color w:val="auto"/>
          <w:kern w:val="2"/>
          <w:sz w:val="32"/>
          <w:szCs w:val="32"/>
          <w:lang w:val="en-US" w:eastAsia="zh-CN" w:bidi="ar-SA"/>
        </w:rPr>
        <w:t>根据年度执行中因政策调整、人员变动、项目实施进度等因素产生的变化，按规定程序及时向财政部门申请预算调剂或调整，确保了预算安排与实际需求的动态平衡，提高了预算管理的精准性和灵活性。</w:t>
      </w:r>
    </w:p>
    <w:p>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2"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kern w:val="2"/>
          <w:sz w:val="32"/>
          <w:szCs w:val="32"/>
          <w:lang w:val="en-US" w:eastAsia="zh-CN" w:bidi="ar-SA"/>
        </w:rPr>
        <w:t>4.</w:t>
      </w:r>
      <w:r>
        <w:rPr>
          <w:rFonts w:hint="eastAsia" w:ascii="仿宋_GB2312" w:hAnsi="仿宋_GB2312" w:eastAsia="仿宋_GB2312" w:cs="仿宋_GB2312"/>
          <w:b/>
          <w:bCs/>
          <w:kern w:val="2"/>
          <w:sz w:val="32"/>
          <w:szCs w:val="32"/>
          <w:lang w:val="zh-CN" w:eastAsia="zh-CN" w:bidi="ar-SA"/>
        </w:rPr>
        <w:t>执行管理情况。</w:t>
      </w:r>
      <w:r>
        <w:rPr>
          <w:rFonts w:hint="eastAsia" w:ascii="仿宋_GB2312" w:hAnsi="仿宋_GB2312" w:eastAsia="仿宋_GB2312" w:cs="仿宋_GB2312"/>
          <w:b w:val="0"/>
          <w:bCs w:val="0"/>
          <w:kern w:val="2"/>
          <w:sz w:val="32"/>
          <w:szCs w:val="32"/>
          <w:lang w:val="en-US" w:eastAsia="zh-CN" w:bidi="ar-SA"/>
        </w:rPr>
        <w:t>严格按照规定执行年度预算，</w:t>
      </w:r>
      <w:r>
        <w:rPr>
          <w:rFonts w:hint="eastAsia" w:ascii="仿宋_GB2312" w:hAnsi="仿宋_GB2312" w:eastAsia="仿宋_GB2312" w:cs="仿宋_GB2312"/>
          <w:b w:val="0"/>
          <w:bCs w:val="0"/>
          <w:sz w:val="32"/>
          <w:szCs w:val="32"/>
          <w:lang w:val="en-US" w:eastAsia="zh-CN"/>
        </w:rPr>
        <w:t>2025年度财政预算收入总计</w:t>
      </w:r>
      <w:r>
        <w:rPr>
          <w:rFonts w:hint="eastAsia" w:ascii="仿宋_GB2312" w:hAnsi="仿宋_GB2312" w:eastAsia="仿宋_GB2312" w:cs="仿宋_GB2312"/>
          <w:b w:val="0"/>
          <w:bCs w:val="0"/>
          <w:color w:val="auto"/>
          <w:sz w:val="32"/>
          <w:szCs w:val="32"/>
          <w:lang w:val="en-US" w:eastAsia="zh-CN"/>
        </w:rPr>
        <w:t>185.20万元，</w:t>
      </w:r>
      <w:r>
        <w:rPr>
          <w:rFonts w:hint="eastAsia" w:ascii="仿宋_GB2312" w:hAnsi="仿宋" w:eastAsia="仿宋_GB2312" w:cs="仿宋_GB2312"/>
          <w:color w:val="auto"/>
          <w:sz w:val="32"/>
          <w:szCs w:val="32"/>
        </w:rPr>
        <w:t>财政</w:t>
      </w:r>
      <w:r>
        <w:rPr>
          <w:rFonts w:hint="eastAsia" w:ascii="仿宋_GB2312" w:hAnsi="仿宋" w:eastAsia="仿宋_GB2312" w:cs="仿宋_GB2312"/>
          <w:color w:val="auto"/>
          <w:sz w:val="32"/>
          <w:szCs w:val="32"/>
          <w:lang w:val="en-US" w:eastAsia="zh-CN"/>
        </w:rPr>
        <w:t>实际</w:t>
      </w:r>
      <w:r>
        <w:rPr>
          <w:rFonts w:hint="eastAsia" w:ascii="仿宋_GB2312" w:hAnsi="仿宋" w:eastAsia="仿宋_GB2312" w:cs="仿宋_GB2312"/>
          <w:color w:val="auto"/>
          <w:sz w:val="32"/>
          <w:szCs w:val="32"/>
        </w:rPr>
        <w:t>支出总</w:t>
      </w:r>
      <w:r>
        <w:rPr>
          <w:rFonts w:hint="eastAsia" w:ascii="仿宋_GB2312" w:hAnsi="仿宋" w:eastAsia="仿宋_GB2312" w:cs="仿宋_GB2312"/>
          <w:color w:val="auto"/>
          <w:sz w:val="32"/>
          <w:szCs w:val="32"/>
          <w:lang w:val="en-US" w:eastAsia="zh-CN"/>
        </w:rPr>
        <w:t>计185.20</w:t>
      </w:r>
      <w:r>
        <w:rPr>
          <w:rFonts w:hint="eastAsia" w:ascii="仿宋_GB2312" w:hAnsi="仿宋" w:eastAsia="仿宋_GB2312" w:cs="仿宋_GB2312"/>
          <w:sz w:val="32"/>
          <w:szCs w:val="32"/>
        </w:rPr>
        <w:t>万元</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当年预算支出完成率</w:t>
      </w:r>
      <w:r>
        <w:rPr>
          <w:rFonts w:hint="eastAsia" w:ascii="仿宋_GB2312" w:hAnsi="仿宋" w:eastAsia="仿宋_GB2312" w:cs="仿宋_GB2312"/>
          <w:sz w:val="32"/>
          <w:szCs w:val="32"/>
          <w:lang w:val="en-US" w:eastAsia="zh-CN"/>
        </w:rPr>
        <w:t>100</w:t>
      </w:r>
      <w:r>
        <w:rPr>
          <w:rFonts w:hint="eastAsia" w:ascii="仿宋_GB2312" w:hAnsi="仿宋" w:eastAsia="仿宋_GB2312" w:cs="仿宋_GB2312"/>
          <w:sz w:val="32"/>
          <w:szCs w:val="32"/>
        </w:rPr>
        <w:t>%</w:t>
      </w:r>
      <w:r>
        <w:rPr>
          <w:rFonts w:hint="eastAsia" w:ascii="仿宋_GB2312" w:hAnsi="仿宋_GB2312" w:eastAsia="仿宋_GB2312" w:cs="仿宋_GB2312"/>
          <w:b w:val="0"/>
          <w:bCs w:val="0"/>
          <w:kern w:val="2"/>
          <w:sz w:val="32"/>
          <w:szCs w:val="32"/>
          <w:lang w:val="en-US" w:eastAsia="zh-CN" w:bidi="ar-SA"/>
        </w:rPr>
        <w:t>，</w:t>
      </w:r>
      <w:r>
        <w:rPr>
          <w:rFonts w:hint="default" w:ascii="仿宋_GB2312" w:hAnsi="仿宋_GB2312" w:eastAsia="仿宋_GB2312" w:cs="仿宋_GB2312"/>
          <w:b w:val="0"/>
          <w:bCs w:val="0"/>
          <w:kern w:val="2"/>
          <w:sz w:val="32"/>
          <w:szCs w:val="32"/>
          <w:lang w:val="en-US" w:eastAsia="zh-CN" w:bidi="ar-SA"/>
        </w:rPr>
        <w:t>预算完成情况良好</w:t>
      </w:r>
      <w:r>
        <w:rPr>
          <w:rFonts w:hint="eastAsia" w:ascii="仿宋_GB2312" w:hAnsi="仿宋_GB2312" w:eastAsia="仿宋_GB2312" w:cs="仿宋_GB2312"/>
          <w:b w:val="0"/>
          <w:bCs w:val="0"/>
          <w:kern w:val="2"/>
          <w:sz w:val="32"/>
          <w:szCs w:val="32"/>
          <w:lang w:val="en-US" w:eastAsia="zh-CN" w:bidi="ar-SA"/>
        </w:rPr>
        <w:t>。</w:t>
      </w:r>
      <w:r>
        <w:rPr>
          <w:rFonts w:hint="eastAsia" w:ascii="仿宋_GB2312" w:hAnsi="仿宋_GB2312" w:eastAsia="仿宋_GB2312" w:cs="仿宋_GB2312"/>
          <w:b w:val="0"/>
          <w:bCs w:val="0"/>
          <w:sz w:val="32"/>
          <w:szCs w:val="32"/>
          <w:lang w:val="en-US" w:eastAsia="zh-CN"/>
        </w:rPr>
        <w:t>资金支付具有完整的审批程序和凭证，符合部门预算批复用途，不存在截留、挤占、挪用、虚列支出等情况。</w:t>
      </w:r>
    </w:p>
    <w:p>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2" w:firstLineChars="200"/>
        <w:textAlignment w:val="auto"/>
        <w:rPr>
          <w:rFonts w:hint="eastAsia" w:ascii="仿宋" w:hAnsi="仿宋" w:eastAsia="仿宋" w:cs="仿宋"/>
          <w:sz w:val="31"/>
          <w:szCs w:val="31"/>
          <w:lang w:val="en-US" w:eastAsia="zh-CN"/>
        </w:rPr>
      </w:pPr>
      <w:r>
        <w:rPr>
          <w:rFonts w:hint="eastAsia" w:ascii="仿宋_GB2312" w:hAnsi="仿宋_GB2312" w:eastAsia="仿宋_GB2312" w:cs="仿宋_GB2312"/>
          <w:b/>
          <w:bCs/>
          <w:sz w:val="32"/>
          <w:szCs w:val="32"/>
          <w:lang w:val="en-US" w:eastAsia="zh-CN"/>
        </w:rPr>
        <w:t>5.综合管理情况。</w:t>
      </w:r>
      <w:r>
        <w:rPr>
          <w:rFonts w:hint="eastAsia" w:ascii="仿宋_GB2312" w:hAnsi="仿宋_GB2312" w:eastAsia="仿宋_GB2312" w:cs="仿宋_GB2312"/>
          <w:b w:val="0"/>
          <w:bCs w:val="0"/>
          <w:sz w:val="32"/>
          <w:szCs w:val="32"/>
          <w:lang w:val="en-US" w:eastAsia="zh-CN"/>
        </w:rPr>
        <w:t>由专人负责预算绩效管理，并</w:t>
      </w:r>
      <w:r>
        <w:rPr>
          <w:rFonts w:hint="eastAsia" w:ascii="仿宋_GB2312" w:hAnsi="仿宋_GB2312" w:eastAsia="仿宋_GB2312" w:cs="仿宋_GB2312"/>
          <w:b w:val="0"/>
          <w:bCs w:val="0"/>
          <w:sz w:val="32"/>
          <w:szCs w:val="32"/>
          <w:lang w:val="zh-CN" w:eastAsia="zh-CN"/>
        </w:rPr>
        <w:t>根据财政局下发的文件要求</w:t>
      </w:r>
      <w:r>
        <w:rPr>
          <w:rFonts w:hint="eastAsia" w:ascii="仿宋_GB2312" w:hAnsi="仿宋_GB2312" w:eastAsia="仿宋_GB2312" w:cs="仿宋_GB2312"/>
          <w:b w:val="0"/>
          <w:bCs w:val="0"/>
          <w:sz w:val="32"/>
          <w:szCs w:val="32"/>
          <w:lang w:val="en-US" w:eastAsia="zh-CN"/>
        </w:rPr>
        <w:t>，建立“预算编制有目标、预算执行有监控、预算完成有评价、评价结果有反馈、反馈结果有应用”的全过程预算绩效管理机制，</w:t>
      </w:r>
      <w:r>
        <w:rPr>
          <w:rFonts w:hint="eastAsia" w:ascii="仿宋_GB2312" w:hAnsi="仿宋_GB2312" w:eastAsia="仿宋_GB2312" w:cs="仿宋_GB2312"/>
          <w:b w:val="0"/>
          <w:bCs w:val="0"/>
          <w:sz w:val="32"/>
          <w:szCs w:val="32"/>
          <w:lang w:val="zh-CN" w:eastAsia="zh-CN"/>
        </w:rPr>
        <w:t>做好财政收支工作，做好预算及决算工作，保证本单位财务工作公开透明规范运行，</w:t>
      </w:r>
      <w:r>
        <w:rPr>
          <w:rFonts w:hint="eastAsia" w:ascii="仿宋_GB2312" w:hAnsi="仿宋_GB2312" w:eastAsia="仿宋_GB2312" w:cs="仿宋_GB2312"/>
          <w:b w:val="0"/>
          <w:bCs w:val="0"/>
          <w:sz w:val="32"/>
          <w:szCs w:val="32"/>
          <w:lang w:val="en-US" w:eastAsia="zh-CN"/>
        </w:rPr>
        <w:t>各项支出符合国家财经法规和财务管理制度规定。</w:t>
      </w:r>
      <w:r>
        <w:rPr>
          <w:rFonts w:hint="default" w:ascii="仿宋_GB2312" w:hAnsi="仿宋_GB2312" w:eastAsia="仿宋_GB2312" w:cs="仿宋_GB2312"/>
          <w:b w:val="0"/>
          <w:bCs w:val="0"/>
          <w:sz w:val="32"/>
          <w:szCs w:val="32"/>
          <w:lang w:val="en-US" w:eastAsia="zh-CN"/>
        </w:rPr>
        <w:t>202</w:t>
      </w:r>
      <w:r>
        <w:rPr>
          <w:rFonts w:hint="eastAsia" w:ascii="仿宋_GB2312" w:hAnsi="仿宋_GB2312" w:eastAsia="仿宋_GB2312" w:cs="仿宋_GB2312"/>
          <w:b w:val="0"/>
          <w:bCs w:val="0"/>
          <w:sz w:val="32"/>
          <w:szCs w:val="32"/>
          <w:lang w:val="en-US" w:eastAsia="zh-CN"/>
        </w:rPr>
        <w:t>5</w:t>
      </w:r>
      <w:r>
        <w:rPr>
          <w:rFonts w:hint="default" w:ascii="仿宋_GB2312" w:hAnsi="仿宋_GB2312" w:eastAsia="仿宋_GB2312" w:cs="仿宋_GB2312"/>
          <w:b w:val="0"/>
          <w:bCs w:val="0"/>
          <w:sz w:val="32"/>
          <w:szCs w:val="32"/>
          <w:lang w:val="en-US" w:eastAsia="zh-CN"/>
        </w:rPr>
        <w:t>年，在预算管理和资金使用过程中，无任何预算违规违纪行为，未</w:t>
      </w:r>
      <w:r>
        <w:rPr>
          <w:rFonts w:hint="eastAsia" w:ascii="仿宋_GB2312" w:hAnsi="仿宋_GB2312" w:eastAsia="仿宋_GB2312" w:cs="仿宋_GB2312"/>
          <w:b w:val="0"/>
          <w:bCs w:val="0"/>
          <w:sz w:val="32"/>
          <w:szCs w:val="32"/>
          <w:lang w:val="en-US" w:eastAsia="zh-CN"/>
        </w:rPr>
        <w:t>受到</w:t>
      </w:r>
      <w:r>
        <w:rPr>
          <w:rFonts w:hint="default" w:ascii="仿宋_GB2312" w:hAnsi="仿宋_GB2312" w:eastAsia="仿宋_GB2312" w:cs="仿宋_GB2312"/>
          <w:b w:val="0"/>
          <w:bCs w:val="0"/>
          <w:sz w:val="32"/>
          <w:szCs w:val="32"/>
          <w:lang w:val="en-US" w:eastAsia="zh-CN"/>
        </w:rPr>
        <w:t>财政、审计等部门的处理处罚</w:t>
      </w:r>
      <w:r>
        <w:rPr>
          <w:rFonts w:hint="eastAsia" w:ascii="仿宋_GB2312" w:hAnsi="仿宋_GB2312" w:eastAsia="仿宋_GB2312" w:cs="仿宋_GB2312"/>
          <w:b w:val="0"/>
          <w:bCs w:val="0"/>
          <w:sz w:val="32"/>
          <w:szCs w:val="32"/>
          <w:lang w:val="en-US" w:eastAsia="zh-CN"/>
        </w:rPr>
        <w:t>情况</w:t>
      </w:r>
      <w:r>
        <w:rPr>
          <w:rFonts w:hint="default" w:ascii="仿宋_GB2312" w:hAnsi="仿宋_GB2312" w:eastAsia="仿宋_GB2312" w:cs="仿宋_GB2312"/>
          <w:b w:val="0"/>
          <w:bCs w:val="0"/>
          <w:sz w:val="32"/>
          <w:szCs w:val="32"/>
          <w:lang w:val="en-US" w:eastAsia="zh-CN"/>
        </w:rPr>
        <w:t>。</w:t>
      </w:r>
    </w:p>
    <w:p>
      <w:pPr>
        <w:keepNext w:val="0"/>
        <w:keepLines w:val="0"/>
        <w:pageBreakBefore w:val="0"/>
        <w:widowControl w:val="0"/>
        <w:numPr>
          <w:ilvl w:val="0"/>
          <w:numId w:val="3"/>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专项预算管理</w:t>
      </w:r>
    </w:p>
    <w:p>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cs="仿宋_GB2312"/>
          <w:color w:val="auto"/>
          <w:sz w:val="32"/>
          <w:szCs w:val="32"/>
          <w:lang w:val="en-US" w:eastAsia="zh-CN"/>
        </w:rPr>
      </w:pPr>
      <w:r>
        <w:rPr>
          <w:rFonts w:hint="eastAsia" w:ascii="仿宋_GB2312" w:hAnsi="仿宋" w:eastAsia="仿宋_GB2312" w:cs="仿宋_GB2312"/>
          <w:color w:val="auto"/>
          <w:sz w:val="32"/>
          <w:szCs w:val="32"/>
          <w:lang w:val="en-US" w:eastAsia="zh-CN"/>
        </w:rPr>
        <w:t>2025年本单位无专项预算管理资金。</w:t>
      </w:r>
    </w:p>
    <w:p>
      <w:pPr>
        <w:keepNext w:val="0"/>
        <w:keepLines w:val="0"/>
        <w:pageBreakBefore w:val="0"/>
        <w:widowControl w:val="0"/>
        <w:numPr>
          <w:ilvl w:val="0"/>
          <w:numId w:val="3"/>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left="0" w:leftChars="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结果应用情况</w:t>
      </w:r>
    </w:p>
    <w:p>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本单位</w:t>
      </w:r>
      <w:r>
        <w:rPr>
          <w:rFonts w:hint="eastAsia" w:ascii="仿宋_GB2312" w:hAnsi="仿宋" w:eastAsia="仿宋_GB2312" w:cs="仿宋_GB2312"/>
          <w:sz w:val="32"/>
          <w:szCs w:val="32"/>
        </w:rPr>
        <w:t>依据财政编审要求</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在年度终了后</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结合本单位当年全部预算收入、财政拨款收入及支出等</w:t>
      </w:r>
      <w:r>
        <w:rPr>
          <w:rFonts w:hint="eastAsia" w:ascii="仿宋_GB2312" w:hAnsi="仿宋" w:eastAsia="仿宋_GB2312" w:cs="仿宋_GB2312"/>
          <w:sz w:val="32"/>
          <w:szCs w:val="32"/>
          <w:lang w:eastAsia="zh-CN"/>
        </w:rPr>
        <w:t>情况，</w:t>
      </w:r>
      <w:r>
        <w:rPr>
          <w:rFonts w:hint="eastAsia" w:ascii="仿宋_GB2312" w:hAnsi="仿宋" w:eastAsia="仿宋_GB2312" w:cs="仿宋_GB2312"/>
          <w:sz w:val="32"/>
          <w:szCs w:val="32"/>
        </w:rPr>
        <w:t>对全口径的资金收入、支出</w:t>
      </w:r>
      <w:r>
        <w:rPr>
          <w:rFonts w:hint="eastAsia" w:ascii="仿宋_GB2312" w:hAnsi="仿宋" w:eastAsia="仿宋_GB2312" w:cs="仿宋_GB2312"/>
          <w:sz w:val="32"/>
          <w:szCs w:val="32"/>
          <w:lang w:eastAsia="zh-CN"/>
        </w:rPr>
        <w:t>以及</w:t>
      </w:r>
      <w:r>
        <w:rPr>
          <w:rFonts w:hint="eastAsia" w:ascii="仿宋_GB2312" w:hAnsi="仿宋" w:eastAsia="仿宋_GB2312" w:cs="仿宋_GB2312"/>
          <w:sz w:val="32"/>
          <w:szCs w:val="32"/>
        </w:rPr>
        <w:t>预算管理、资产管理等工作进行全面总结。通过编制部门决算报表</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对本单位全年的资金管理、单位履行机构职能和受托责任等</w:t>
      </w:r>
      <w:r>
        <w:rPr>
          <w:rFonts w:hint="eastAsia" w:ascii="仿宋_GB2312" w:hAnsi="仿宋" w:eastAsia="仿宋_GB2312" w:cs="仿宋_GB2312"/>
          <w:sz w:val="32"/>
          <w:szCs w:val="32"/>
          <w:lang w:eastAsia="zh-CN"/>
        </w:rPr>
        <w:t>情况进行</w:t>
      </w:r>
      <w:r>
        <w:rPr>
          <w:rFonts w:hint="eastAsia" w:ascii="仿宋_GB2312" w:hAnsi="仿宋" w:eastAsia="仿宋_GB2312" w:cs="仿宋_GB2312"/>
          <w:sz w:val="32"/>
          <w:szCs w:val="32"/>
        </w:rPr>
        <w:t>系统的思考</w:t>
      </w:r>
      <w:r>
        <w:rPr>
          <w:rFonts w:hint="eastAsia" w:ascii="仿宋_GB2312" w:hAnsi="仿宋" w:eastAsia="仿宋_GB2312" w:cs="仿宋_GB2312"/>
          <w:sz w:val="32"/>
          <w:szCs w:val="32"/>
          <w:lang w:eastAsia="zh-CN"/>
        </w:rPr>
        <w:t>和检查，</w:t>
      </w:r>
      <w:r>
        <w:rPr>
          <w:rFonts w:hint="eastAsia" w:ascii="仿宋_GB2312" w:hAnsi="仿宋" w:eastAsia="仿宋_GB2312" w:cs="仿宋_GB2312"/>
          <w:sz w:val="32"/>
          <w:szCs w:val="32"/>
        </w:rPr>
        <w:t>分析预算执行中的得失</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以推动单位加强内部管理</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制定</w:t>
      </w:r>
      <w:r>
        <w:rPr>
          <w:rFonts w:hint="eastAsia" w:ascii="仿宋_GB2312" w:hAnsi="仿宋" w:eastAsia="仿宋_GB2312" w:cs="仿宋_GB2312"/>
          <w:sz w:val="32"/>
          <w:szCs w:val="32"/>
          <w:lang w:eastAsia="zh-CN"/>
        </w:rPr>
        <w:t>适合</w:t>
      </w:r>
      <w:r>
        <w:rPr>
          <w:rFonts w:hint="eastAsia" w:ascii="仿宋_GB2312" w:hAnsi="仿宋" w:eastAsia="仿宋_GB2312" w:cs="仿宋_GB2312"/>
          <w:sz w:val="32"/>
          <w:szCs w:val="32"/>
        </w:rPr>
        <w:t>本单位的内控制度</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促进</w:t>
      </w:r>
      <w:r>
        <w:rPr>
          <w:rFonts w:hint="eastAsia" w:ascii="仿宋_GB2312" w:hAnsi="仿宋" w:eastAsia="仿宋_GB2312" w:cs="仿宋_GB2312"/>
          <w:sz w:val="32"/>
          <w:szCs w:val="32"/>
          <w:lang w:eastAsia="zh-CN"/>
        </w:rPr>
        <w:t>单位发展</w:t>
      </w:r>
      <w:r>
        <w:rPr>
          <w:rFonts w:hint="eastAsia" w:ascii="仿宋_GB2312" w:hAnsi="仿宋" w:eastAsia="仿宋_GB2312" w:cs="仿宋_GB2312"/>
          <w:sz w:val="32"/>
          <w:szCs w:val="32"/>
        </w:rPr>
        <w:t>。为编报一份高质量的部门决算报表</w:t>
      </w:r>
      <w:r>
        <w:rPr>
          <w:rFonts w:hint="eastAsia" w:ascii="仿宋_GB2312" w:hAnsi="仿宋" w:eastAsia="仿宋_GB2312" w:cs="仿宋_GB2312"/>
          <w:sz w:val="32"/>
          <w:szCs w:val="32"/>
          <w:lang w:eastAsia="zh-CN"/>
        </w:rPr>
        <w:t>，本单位</w:t>
      </w:r>
      <w:r>
        <w:rPr>
          <w:rFonts w:hint="eastAsia" w:ascii="仿宋_GB2312" w:hAnsi="仿宋" w:eastAsia="仿宋_GB2312" w:cs="仿宋_GB2312"/>
          <w:sz w:val="32"/>
          <w:szCs w:val="32"/>
        </w:rPr>
        <w:t>从日常工作、前期准备、报表分析等方面做好全过程精细化的财务管理。</w:t>
      </w:r>
    </w:p>
    <w:p>
      <w:pPr>
        <w:keepNext w:val="0"/>
        <w:keepLines w:val="0"/>
        <w:pageBreakBefore w:val="0"/>
        <w:widowControl w:val="0"/>
        <w:numPr>
          <w:ilvl w:val="0"/>
          <w:numId w:val="4"/>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评价结论及建议</w:t>
      </w:r>
    </w:p>
    <w:p>
      <w:pPr>
        <w:keepNext w:val="0"/>
        <w:keepLines w:val="0"/>
        <w:pageBreakBefore w:val="0"/>
        <w:widowControl w:val="0"/>
        <w:numPr>
          <w:ilvl w:val="0"/>
          <w:numId w:val="5"/>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2"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评价结论</w:t>
      </w:r>
    </w:p>
    <w:p>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根据部门预算绩效评价指标体系，202</w:t>
      </w:r>
      <w:r>
        <w:rPr>
          <w:rFonts w:hint="eastAsia" w:ascii="仿宋_GB2312" w:hAnsi="仿宋" w:eastAsia="仿宋_GB2312" w:cs="仿宋_GB2312"/>
          <w:sz w:val="32"/>
          <w:szCs w:val="32"/>
          <w:lang w:val="en-US" w:eastAsia="zh-CN"/>
        </w:rPr>
        <w:t>5</w:t>
      </w:r>
      <w:r>
        <w:rPr>
          <w:rFonts w:hint="eastAsia" w:ascii="仿宋_GB2312" w:hAnsi="仿宋" w:eastAsia="仿宋_GB2312" w:cs="仿宋_GB2312"/>
          <w:sz w:val="32"/>
          <w:szCs w:val="32"/>
          <w:lang w:eastAsia="zh-CN"/>
        </w:rPr>
        <w:t>年自评得分为9</w:t>
      </w:r>
      <w:r>
        <w:rPr>
          <w:rFonts w:hint="eastAsia" w:ascii="仿宋_GB2312" w:hAnsi="仿宋" w:eastAsia="仿宋_GB2312" w:cs="仿宋_GB2312"/>
          <w:sz w:val="32"/>
          <w:szCs w:val="32"/>
          <w:lang w:val="en-US" w:eastAsia="zh-CN"/>
        </w:rPr>
        <w:t>3</w:t>
      </w:r>
      <w:r>
        <w:rPr>
          <w:rFonts w:hint="eastAsia" w:ascii="仿宋_GB2312" w:hAnsi="仿宋" w:eastAsia="仿宋_GB2312" w:cs="仿宋_GB2312"/>
          <w:sz w:val="32"/>
          <w:szCs w:val="32"/>
          <w:lang w:eastAsia="zh-CN"/>
        </w:rPr>
        <w:t>分，评价等级为“优”。</w:t>
      </w:r>
      <w:r>
        <w:rPr>
          <w:rFonts w:hint="eastAsia" w:ascii="仿宋" w:hAnsi="仿宋" w:eastAsia="仿宋" w:cs="楷体_GB2312"/>
          <w:bCs/>
          <w:sz w:val="32"/>
          <w:szCs w:val="32"/>
          <w:lang w:val="zh-CN"/>
        </w:rPr>
        <w:t>本单位</w:t>
      </w:r>
      <w:r>
        <w:rPr>
          <w:rFonts w:hint="eastAsia" w:ascii="仿宋_GB2312" w:hAnsi="仿宋" w:eastAsia="仿宋_GB2312" w:cs="仿宋_GB2312"/>
          <w:sz w:val="32"/>
          <w:szCs w:val="32"/>
          <w:lang w:eastAsia="zh-CN"/>
        </w:rPr>
        <w:t>经过调查研究和科学论证，制定与法律法规、政策和社会发展要求相符的目标任务，目标任务清晰明确，能够体现部门目标任务完成情况和部门</w:t>
      </w:r>
      <w:r>
        <w:rPr>
          <w:rFonts w:hint="default" w:ascii="仿宋_GB2312" w:hAnsi="仿宋" w:eastAsia="仿宋_GB2312" w:cs="仿宋_GB2312"/>
          <w:sz w:val="32"/>
          <w:szCs w:val="32"/>
          <w:lang w:eastAsia="zh-CN"/>
        </w:rPr>
        <w:t>如期实现</w:t>
      </w:r>
      <w:r>
        <w:rPr>
          <w:rFonts w:hint="eastAsia" w:ascii="仿宋_GB2312" w:hAnsi="仿宋" w:eastAsia="仿宋_GB2312" w:cs="仿宋_GB2312"/>
          <w:sz w:val="32"/>
          <w:szCs w:val="32"/>
          <w:lang w:eastAsia="zh-CN"/>
        </w:rPr>
        <w:t>的效益；按照</w:t>
      </w:r>
      <w:r>
        <w:rPr>
          <w:rFonts w:hint="eastAsia" w:ascii="仿宋_GB2312" w:hAnsi="仿宋" w:eastAsia="仿宋_GB2312" w:cs="仿宋_GB2312"/>
          <w:sz w:val="32"/>
          <w:szCs w:val="32"/>
          <w:lang w:val="en-US" w:eastAsia="zh-CN"/>
        </w:rPr>
        <w:t>县</w:t>
      </w:r>
      <w:r>
        <w:rPr>
          <w:rFonts w:hint="eastAsia" w:ascii="仿宋_GB2312" w:hAnsi="仿宋" w:eastAsia="仿宋_GB2312" w:cs="仿宋_GB2312"/>
          <w:sz w:val="32"/>
          <w:szCs w:val="32"/>
          <w:lang w:eastAsia="zh-CN"/>
        </w:rPr>
        <w:t>财政局预算编制要求，按时完成</w:t>
      </w:r>
      <w:r>
        <w:rPr>
          <w:rFonts w:hint="eastAsia" w:ascii="仿宋_GB2312" w:hAnsi="仿宋" w:eastAsia="仿宋_GB2312" w:cs="仿宋_GB2312"/>
          <w:sz w:val="32"/>
          <w:szCs w:val="32"/>
          <w:lang w:val="en-US" w:eastAsia="zh-CN"/>
        </w:rPr>
        <w:t>本部门</w:t>
      </w:r>
      <w:r>
        <w:rPr>
          <w:rFonts w:hint="eastAsia" w:ascii="仿宋_GB2312" w:hAnsi="仿宋" w:eastAsia="仿宋_GB2312" w:cs="仿宋_GB2312"/>
          <w:sz w:val="32"/>
          <w:szCs w:val="32"/>
          <w:lang w:eastAsia="zh-CN"/>
        </w:rPr>
        <w:t>的预算编制工作并提交</w:t>
      </w:r>
      <w:r>
        <w:rPr>
          <w:rFonts w:hint="eastAsia" w:ascii="仿宋_GB2312" w:hAnsi="仿宋" w:eastAsia="仿宋_GB2312" w:cs="仿宋_GB2312"/>
          <w:sz w:val="32"/>
          <w:szCs w:val="32"/>
          <w:lang w:val="en-US" w:eastAsia="zh-CN"/>
        </w:rPr>
        <w:t>县</w:t>
      </w:r>
      <w:r>
        <w:rPr>
          <w:rFonts w:hint="eastAsia" w:ascii="仿宋_GB2312" w:hAnsi="仿宋" w:eastAsia="仿宋_GB2312" w:cs="仿宋_GB2312"/>
          <w:sz w:val="32"/>
          <w:szCs w:val="32"/>
          <w:lang w:eastAsia="zh-CN"/>
        </w:rPr>
        <w:t>财政局，部门预算编制完整、准确、规范；严格预算执行管理；除涉密信息外，及时向社会公开本部门预算、决算；按要求公开部门整体支出绩效自评报告。按部门职能职责和年度总体目标细化设置履职成效指标；社会公众、相关协同部门、部门管理对象等对部门绩效情况满意度较高；年底基本能够达到年初制定的绩效目标。</w:t>
      </w:r>
    </w:p>
    <w:p>
      <w:pPr>
        <w:keepNext w:val="0"/>
        <w:keepLines w:val="0"/>
        <w:pageBreakBefore w:val="0"/>
        <w:widowControl w:val="0"/>
        <w:numPr>
          <w:ilvl w:val="0"/>
          <w:numId w:val="5"/>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left="0" w:leftChars="0" w:firstLine="642"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存在问题</w:t>
      </w:r>
    </w:p>
    <w:p>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cs="仿宋_GB2312"/>
          <w:kern w:val="2"/>
          <w:sz w:val="32"/>
          <w:szCs w:val="32"/>
          <w:lang w:val="en-US" w:eastAsia="zh-CN" w:bidi="ar-SA"/>
        </w:rPr>
      </w:pPr>
      <w:r>
        <w:rPr>
          <w:rFonts w:hint="eastAsia" w:ascii="仿宋_GB2312" w:hAnsi="仿宋" w:eastAsia="仿宋_GB2312" w:cs="仿宋_GB2312"/>
          <w:kern w:val="2"/>
          <w:sz w:val="32"/>
          <w:szCs w:val="32"/>
          <w:lang w:val="en-US" w:eastAsia="zh-CN" w:bidi="ar-SA"/>
        </w:rPr>
        <w:t>无</w:t>
      </w:r>
    </w:p>
    <w:p>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2"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（三）改进建议</w:t>
      </w:r>
    </w:p>
    <w:p>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 w:eastAsia="仿宋_GB2312" w:cs="仿宋_GB2312"/>
          <w:kern w:val="2"/>
          <w:sz w:val="32"/>
          <w:szCs w:val="32"/>
          <w:lang w:val="en-US" w:eastAsia="zh-CN" w:bidi="ar-SA"/>
        </w:rPr>
        <w:t>无</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
    <w:altName w:val="AR PL UKai CN"/>
    <w:panose1 w:val="00000000000000000000"/>
    <w:charset w:val="00"/>
    <w:family w:val="roman"/>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方正粗宋简体">
    <w:altName w:val="方正书宋_GBK"/>
    <w:panose1 w:val="00000000000000000000"/>
    <w:charset w:val="86"/>
    <w:family w:val="script"/>
    <w:pitch w:val="default"/>
    <w:sig w:usb0="00000000" w:usb1="00000000" w:usb2="00000010" w:usb3="00000000" w:csb0="00040000" w:csb1="00000000"/>
  </w:font>
  <w:font w:name="方正小标宋简体">
    <w:altName w:val="方正小标宋_GBK"/>
    <w:panose1 w:val="02000000000000000000"/>
    <w:charset w:val="86"/>
    <w:family w:val="auto"/>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AR PL UKai CN">
    <w:panose1 w:val="02000503000000000000"/>
    <w:charset w:val="86"/>
    <w:family w:val="auto"/>
    <w:pitch w:val="default"/>
    <w:sig w:usb0="A00002FF" w:usb1="3ACFFDFF" w:usb2="00000036" w:usb3="00000000" w:csb0="2016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923F9F"/>
    <w:multiLevelType w:val="singleLevel"/>
    <w:tmpl w:val="84923F9F"/>
    <w:lvl w:ilvl="0" w:tentative="0">
      <w:start w:val="2"/>
      <w:numFmt w:val="chineseCounting"/>
      <w:suff w:val="nothing"/>
      <w:lvlText w:val="（%1）"/>
      <w:lvlJc w:val="left"/>
      <w:rPr>
        <w:rFonts w:hint="eastAsia"/>
      </w:rPr>
    </w:lvl>
  </w:abstractNum>
  <w:abstractNum w:abstractNumId="1">
    <w:nsid w:val="B2E23667"/>
    <w:multiLevelType w:val="singleLevel"/>
    <w:tmpl w:val="B2E23667"/>
    <w:lvl w:ilvl="0" w:tentative="0">
      <w:start w:val="3"/>
      <w:numFmt w:val="chineseCounting"/>
      <w:suff w:val="nothing"/>
      <w:lvlText w:val="（%1）"/>
      <w:lvlJc w:val="left"/>
      <w:rPr>
        <w:rFonts w:hint="eastAsia"/>
      </w:rPr>
    </w:lvl>
  </w:abstractNum>
  <w:abstractNum w:abstractNumId="2">
    <w:nsid w:val="103E419A"/>
    <w:multiLevelType w:val="singleLevel"/>
    <w:tmpl w:val="103E419A"/>
    <w:lvl w:ilvl="0" w:tentative="0">
      <w:start w:val="1"/>
      <w:numFmt w:val="chineseCounting"/>
      <w:suff w:val="nothing"/>
      <w:lvlText w:val="（%1）"/>
      <w:lvlJc w:val="left"/>
      <w:rPr>
        <w:rFonts w:hint="eastAsia"/>
      </w:rPr>
    </w:lvl>
  </w:abstractNum>
  <w:abstractNum w:abstractNumId="3">
    <w:nsid w:val="62C28196"/>
    <w:multiLevelType w:val="singleLevel"/>
    <w:tmpl w:val="62C28196"/>
    <w:lvl w:ilvl="0" w:tentative="0">
      <w:start w:val="2"/>
      <w:numFmt w:val="chineseCounting"/>
      <w:suff w:val="nothing"/>
      <w:lvlText w:val="%1、"/>
      <w:lvlJc w:val="left"/>
      <w:rPr>
        <w:rFonts w:hint="eastAsia"/>
      </w:rPr>
    </w:lvl>
  </w:abstractNum>
  <w:abstractNum w:abstractNumId="4">
    <w:nsid w:val="66BF047A"/>
    <w:multiLevelType w:val="singleLevel"/>
    <w:tmpl w:val="66BF047A"/>
    <w:lvl w:ilvl="0" w:tentative="0">
      <w:start w:val="2"/>
      <w:numFmt w:val="chineseCounting"/>
      <w:suff w:val="nothing"/>
      <w:lvlText w:val="%1、"/>
      <w:lvlJc w:val="left"/>
      <w:rPr>
        <w:rFonts w:hint="eastAsia"/>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GJmYTA0NjA3NmMwZWJlODQzOTA2NGNmZDNlNmI5N2UifQ=="/>
  </w:docVars>
  <w:rsids>
    <w:rsidRoot w:val="00491B22"/>
    <w:rsid w:val="00291808"/>
    <w:rsid w:val="00491B22"/>
    <w:rsid w:val="0052390C"/>
    <w:rsid w:val="00BE5764"/>
    <w:rsid w:val="00CA5E56"/>
    <w:rsid w:val="01AA3E65"/>
    <w:rsid w:val="024A0BB7"/>
    <w:rsid w:val="03B10EED"/>
    <w:rsid w:val="05435D83"/>
    <w:rsid w:val="062A135F"/>
    <w:rsid w:val="0693088A"/>
    <w:rsid w:val="06A13A43"/>
    <w:rsid w:val="07206BBE"/>
    <w:rsid w:val="072528B1"/>
    <w:rsid w:val="0BD01EC0"/>
    <w:rsid w:val="0CA44C5B"/>
    <w:rsid w:val="0D7F0E7C"/>
    <w:rsid w:val="0E645549"/>
    <w:rsid w:val="0E65399E"/>
    <w:rsid w:val="102E1B18"/>
    <w:rsid w:val="110F23E6"/>
    <w:rsid w:val="11947A23"/>
    <w:rsid w:val="11D96461"/>
    <w:rsid w:val="11EE77B0"/>
    <w:rsid w:val="12906AB9"/>
    <w:rsid w:val="12AC76B7"/>
    <w:rsid w:val="15004221"/>
    <w:rsid w:val="1DA157B5"/>
    <w:rsid w:val="20D46104"/>
    <w:rsid w:val="2164665D"/>
    <w:rsid w:val="220A5416"/>
    <w:rsid w:val="22E744D4"/>
    <w:rsid w:val="276A3393"/>
    <w:rsid w:val="27A12212"/>
    <w:rsid w:val="27CE42FE"/>
    <w:rsid w:val="29972AF3"/>
    <w:rsid w:val="2A2F78A5"/>
    <w:rsid w:val="2C7347CA"/>
    <w:rsid w:val="2CCC463D"/>
    <w:rsid w:val="2F98565A"/>
    <w:rsid w:val="337E053C"/>
    <w:rsid w:val="33D4485E"/>
    <w:rsid w:val="36435EC2"/>
    <w:rsid w:val="3901386C"/>
    <w:rsid w:val="3BA046F2"/>
    <w:rsid w:val="3BB64BF1"/>
    <w:rsid w:val="3CAC2DCD"/>
    <w:rsid w:val="3D2A1386"/>
    <w:rsid w:val="3DE356DF"/>
    <w:rsid w:val="3EF10DD0"/>
    <w:rsid w:val="402E56D0"/>
    <w:rsid w:val="41982E29"/>
    <w:rsid w:val="43686B13"/>
    <w:rsid w:val="437102AA"/>
    <w:rsid w:val="46444D70"/>
    <w:rsid w:val="47AC0A9E"/>
    <w:rsid w:val="485B09F4"/>
    <w:rsid w:val="4B58309B"/>
    <w:rsid w:val="4E2677B1"/>
    <w:rsid w:val="51786CFC"/>
    <w:rsid w:val="53782EE0"/>
    <w:rsid w:val="53807BBD"/>
    <w:rsid w:val="54CA6867"/>
    <w:rsid w:val="57365AEB"/>
    <w:rsid w:val="57DB35A4"/>
    <w:rsid w:val="580F3477"/>
    <w:rsid w:val="591066FA"/>
    <w:rsid w:val="594737D8"/>
    <w:rsid w:val="59B1522C"/>
    <w:rsid w:val="5A74173E"/>
    <w:rsid w:val="5B0A2FDA"/>
    <w:rsid w:val="5BE85C83"/>
    <w:rsid w:val="5C71500A"/>
    <w:rsid w:val="5F670D29"/>
    <w:rsid w:val="5FE36286"/>
    <w:rsid w:val="60D032A5"/>
    <w:rsid w:val="610F527B"/>
    <w:rsid w:val="624A4C48"/>
    <w:rsid w:val="62EE3230"/>
    <w:rsid w:val="63A62D82"/>
    <w:rsid w:val="652A1A23"/>
    <w:rsid w:val="66117BCF"/>
    <w:rsid w:val="66336919"/>
    <w:rsid w:val="697F2471"/>
    <w:rsid w:val="69AA16EA"/>
    <w:rsid w:val="6A396731"/>
    <w:rsid w:val="6AC90B1C"/>
    <w:rsid w:val="6AF04731"/>
    <w:rsid w:val="6C524A63"/>
    <w:rsid w:val="6F2F4DCD"/>
    <w:rsid w:val="73547170"/>
    <w:rsid w:val="751526F4"/>
    <w:rsid w:val="77136827"/>
    <w:rsid w:val="78322F0E"/>
    <w:rsid w:val="7A085D28"/>
    <w:rsid w:val="7A6D4434"/>
    <w:rsid w:val="7B8747FE"/>
    <w:rsid w:val="7BBD8AB6"/>
    <w:rsid w:val="7D154658"/>
    <w:rsid w:val="7E731058"/>
    <w:rsid w:val="DEFB800A"/>
    <w:rsid w:val="F77F16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3"/>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2"/>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Plain Text"/>
    <w:basedOn w:val="1"/>
    <w:unhideWhenUsed/>
    <w:qFormat/>
    <w:uiPriority w:val="99"/>
    <w:rPr>
      <w:rFonts w:ascii="宋体" w:hAnsi="Courier New" w:cs="Courier New"/>
      <w:szCs w:val="21"/>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able of figures"/>
    <w:basedOn w:val="1"/>
    <w:next w:val="1"/>
    <w:unhideWhenUsed/>
    <w:qFormat/>
    <w:uiPriority w:val="99"/>
    <w:pPr>
      <w:ind w:left="200" w:leftChars="200" w:hanging="200" w:hangingChars="200"/>
    </w:pPr>
  </w:style>
  <w:style w:type="paragraph" w:styleId="7">
    <w:name w:val="Normal (Web)"/>
    <w:basedOn w:val="1"/>
    <w:qFormat/>
    <w:uiPriority w:val="0"/>
    <w:pPr>
      <w:spacing w:before="100" w:beforeAutospacing="1" w:after="100" w:afterAutospacing="1"/>
      <w:jc w:val="left"/>
    </w:pPr>
    <w:rPr>
      <w:rFonts w:eastAsia="宋体"/>
      <w:kern w:val="0"/>
      <w:sz w:val="24"/>
      <w:szCs w:val="24"/>
    </w:rPr>
  </w:style>
  <w:style w:type="paragraph" w:customStyle="1" w:styleId="1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11">
    <w:name w:val="页眉 Char"/>
    <w:basedOn w:val="9"/>
    <w:link w:val="5"/>
    <w:semiHidden/>
    <w:qFormat/>
    <w:uiPriority w:val="99"/>
    <w:rPr>
      <w:sz w:val="18"/>
      <w:szCs w:val="18"/>
    </w:rPr>
  </w:style>
  <w:style w:type="character" w:customStyle="1" w:styleId="12">
    <w:name w:val="页脚 Char"/>
    <w:basedOn w:val="9"/>
    <w:link w:val="2"/>
    <w:semiHidden/>
    <w:qFormat/>
    <w:uiPriority w:val="99"/>
    <w:rPr>
      <w:sz w:val="18"/>
      <w:szCs w:val="18"/>
    </w:rPr>
  </w:style>
  <w:style w:type="character" w:customStyle="1" w:styleId="13">
    <w:name w:val="标题 1 Char"/>
    <w:basedOn w:val="9"/>
    <w:link w:val="3"/>
    <w:qFormat/>
    <w:uiPriority w:val="9"/>
    <w:rPr>
      <w:b/>
      <w:bCs/>
      <w:kern w:val="44"/>
      <w:sz w:val="44"/>
      <w:szCs w:val="44"/>
    </w:rPr>
  </w:style>
  <w:style w:type="paragraph" w:customStyle="1" w:styleId="1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15">
    <w:name w:val="正文-公1"/>
    <w:basedOn w:val="16"/>
    <w:next w:val="1"/>
    <w:qFormat/>
    <w:uiPriority w:val="0"/>
    <w:pPr>
      <w:ind w:firstLine="200" w:firstLineChars="200"/>
    </w:pPr>
  </w:style>
  <w:style w:type="paragraph" w:customStyle="1" w:styleId="16">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5"/>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5</Pages>
  <Words>2189</Words>
  <Characters>2275</Characters>
  <Lines>2</Lines>
  <Paragraphs>1</Paragraphs>
  <TotalTime>15</TotalTime>
  <ScaleCrop>false</ScaleCrop>
  <LinksUpToDate>false</LinksUpToDate>
  <CharactersWithSpaces>2301</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2026-09-23T16:24:43Z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C0FD8F207129418E957F274EA98D553D</vt:lpwstr>
  </property>
  <property fmtid="{D5CDD505-2E9C-101B-9397-08002B2CF9AE}" pid="4" name="KSOTemplateDocerSaveRecord">
    <vt:lpwstr>eyJoZGlkIjoiYjA5NzBhNjc2NTZhNzhiNjcwMDczMzYzZWQxOTg0OWQiLCJ1c2VySWQiOiI2MjM0MTgxMzkifQ==</vt:lpwstr>
  </property>
</Properties>
</file>