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黑水县总工会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2021年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</w:p>
    <w:p>
      <w:pPr>
        <w:spacing w:line="600" w:lineRule="exact"/>
        <w:jc w:val="both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jc w:val="both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黑水县总工会一级预算单位1个，其中行政单位 1个。根据黑委办发（1997）48号文件规定，总工会单位机构内设办公室和女职工部。 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机构职能。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1、组织全县各级工会贯彻执行党的路线、方针和政策，根据工会组织的特点和广大职工的意愿，按照《工会法》和《中国工会章程》，依法独立自主地开展工作。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2、加强职工教育，做好职工的思想政治工作，提高广大职工的政治素质，为改革、发展、稳定奠定坚实的思想基础。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3、维护职工合法权益，检查和监督劳动保护条例的实施，维护职工的安全与健康。实施送温暖工程，搞好困难职工和劳模的管理和帮扶工作。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4、指导企事业单位工会组织参与民主选举、民主决策、民主管理工作，维护职工的民主权利，推动党的全心全意依靠工人阶级方针的贯彻落实。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5、建立健全工会组织，加强各级工会的组织建设，指导和协调开展群众性经济技术创新活动，特别是小微企业的工会组织建设，确保职工队伍的稳定。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6、组织和动员职工开展劳动竞赛和合理化建议活动，调动广大职工的生产积极性和创造性，为全县经济建设充分发挥工人阶级主力军的作用。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7、建设职工之家，在各基层工会积极开展创建“模范职工之家”活动，并组织职工开展积极向上的文体活动。活跃职工文化生活，促进精神文明建设。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8、按照党和国家的政策规定，指导和承担工会法律援助和法律服务工作，以帮扶困难职工和维护困难职工群众合法权益为根本目的，密切与职工群众的联系。加强女职工工作，维护女职工合法权益和特殊利益。</w:t>
      </w:r>
    </w:p>
    <w:p>
      <w:pPr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9、贯彻党和政府及上级工会有关财务工作的方针政策，收好、管好、用好工会经费。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Style w:val="9"/>
          <w:rFonts w:hint="eastAsia" w:ascii="仿宋_GB2312" w:hAnsi="黑体" w:eastAsia="仿宋_GB2312"/>
          <w:b w:val="0"/>
          <w:bCs w:val="0"/>
          <w:kern w:val="2"/>
          <w:lang w:val="en-US" w:eastAsia="zh-CN" w:bidi="ar-SA"/>
        </w:rPr>
        <w:t>10、完成县委、县政府安排的中心工作任务和上级工会交办的其它工作任务。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Style w:val="9"/>
          <w:rFonts w:hint="eastAsia" w:ascii="仿宋_GB2312" w:hAnsi="黑体" w:eastAsia="仿宋_GB2312"/>
          <w:b w:val="0"/>
          <w:bCs w:val="0"/>
        </w:rPr>
        <w:t>单位总编制5名，其中：行政编制4名，行政工勤1名。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2021年末</w:t>
      </w:r>
      <w:r>
        <w:rPr>
          <w:rStyle w:val="9"/>
          <w:rFonts w:hint="eastAsia" w:ascii="仿宋_GB2312" w:hAnsi="黑体" w:eastAsia="仿宋_GB2312"/>
          <w:b w:val="0"/>
          <w:bCs w:val="0"/>
        </w:rPr>
        <w:t>部门在职人员总数7人，其中：行政人员7人（其中：行政人员6人，行政工勤1人）；退休人员1人。抚养人员1人。</w:t>
      </w:r>
    </w:p>
    <w:p>
      <w:pPr>
        <w:numPr>
          <w:ilvl w:val="0"/>
          <w:numId w:val="2"/>
        </w:num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部门财政资金收支情况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9"/>
          <w:rFonts w:hint="eastAsia" w:ascii="仿宋_GB2312" w:hAnsi="黑体" w:eastAsia="仿宋_GB2312"/>
          <w:b w:val="0"/>
          <w:bCs w:val="0"/>
        </w:rPr>
      </w:pP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2021年</w:t>
      </w:r>
      <w:r>
        <w:rPr>
          <w:rStyle w:val="9"/>
          <w:rFonts w:hint="eastAsia" w:ascii="仿宋_GB2312" w:hAnsi="黑体" w:eastAsia="仿宋_GB2312"/>
          <w:b w:val="0"/>
          <w:bCs w:val="0"/>
        </w:rPr>
        <w:t>度收入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、支出</w:t>
      </w:r>
      <w:r>
        <w:rPr>
          <w:rStyle w:val="9"/>
          <w:rFonts w:hint="eastAsia" w:ascii="仿宋_GB2312" w:hAnsi="黑体" w:eastAsia="仿宋_GB2312"/>
          <w:b w:val="0"/>
          <w:bCs w:val="0"/>
        </w:rPr>
        <w:t>总计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391.27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万元，与20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20</w:t>
      </w:r>
      <w:r>
        <w:rPr>
          <w:rStyle w:val="9"/>
          <w:rFonts w:hint="eastAsia" w:ascii="仿宋_GB2312" w:hAnsi="黑体" w:eastAsia="仿宋_GB2312"/>
          <w:b w:val="0"/>
          <w:bCs w:val="0"/>
        </w:rPr>
        <w:t>年相比，5.90万元，增长1.53%。主要变动原因是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人员经费增加</w:t>
      </w:r>
      <w:r>
        <w:rPr>
          <w:rStyle w:val="9"/>
          <w:rFonts w:hint="eastAsia" w:ascii="仿宋_GB2312" w:hAnsi="黑体" w:eastAsia="仿宋_GB2312"/>
          <w:b w:val="0"/>
          <w:bCs w:val="0"/>
        </w:rPr>
        <w:t>; 支出总计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391.27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万元。与20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20</w:t>
      </w:r>
      <w:r>
        <w:rPr>
          <w:rStyle w:val="9"/>
          <w:rFonts w:hint="eastAsia" w:ascii="仿宋_GB2312" w:hAnsi="黑体" w:eastAsia="仿宋_GB2312"/>
          <w:b w:val="0"/>
          <w:bCs w:val="0"/>
        </w:rPr>
        <w:t>年相比，增加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5.90</w:t>
      </w:r>
      <w:r>
        <w:rPr>
          <w:rStyle w:val="9"/>
          <w:rFonts w:hint="eastAsia" w:ascii="仿宋_GB2312" w:hAnsi="黑体" w:eastAsia="仿宋_GB2312"/>
          <w:b w:val="0"/>
          <w:bCs w:val="0"/>
        </w:rPr>
        <w:t>万元，增长</w:t>
      </w:r>
      <w:r>
        <w:rPr>
          <w:rStyle w:val="9"/>
          <w:rFonts w:hint="eastAsia" w:ascii="仿宋_GB2312" w:hAnsi="黑体" w:eastAsia="仿宋_GB2312"/>
          <w:b w:val="0"/>
          <w:bCs w:val="0"/>
          <w:lang w:val="en-US" w:eastAsia="zh-CN"/>
        </w:rPr>
        <w:t>1.53%</w:t>
      </w:r>
      <w:r>
        <w:rPr>
          <w:rStyle w:val="9"/>
          <w:rFonts w:hint="eastAsia" w:ascii="仿宋_GB2312" w:hAnsi="黑体" w:eastAsia="仿宋_GB2312"/>
          <w:b w:val="0"/>
          <w:bCs w:val="0"/>
        </w:rPr>
        <w:t>。主要变动原因是</w:t>
      </w:r>
      <w:r>
        <w:rPr>
          <w:rStyle w:val="9"/>
          <w:rFonts w:hint="eastAsia" w:ascii="仿宋_GB2312" w:hAnsi="黑体" w:eastAsia="仿宋_GB2312"/>
          <w:b w:val="0"/>
          <w:bCs w:val="0"/>
          <w:lang w:eastAsia="zh-CN"/>
        </w:rPr>
        <w:t>人员经费增加</w:t>
      </w:r>
    </w:p>
    <w:p>
      <w:pPr>
        <w:numPr>
          <w:ilvl w:val="0"/>
          <w:numId w:val="3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部门财政资金收入情况。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2021年度部门财政资金总收入391.27万元，其中：本年收入168.73，年初结转和结余222.54万元。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2021年度部门财政总支出391.27万元。其中：一般公共预算财政拨款基本支出391.27万元，主要包括：群众团体事务352.19万元，社会保障和就业支出18.92万元，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医疗卫生支出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8.54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住房保障支出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11.62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jc w:val="both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黑水县总工会预算编制严格按照《预算法》来编制，编制较为及时，准确，确保预算编制的全面性和科学性。</w:t>
      </w:r>
    </w:p>
    <w:p>
      <w:pPr>
        <w:widowControl/>
        <w:adjustRightInd w:val="0"/>
        <w:snapToGrid w:val="0"/>
        <w:spacing w:line="540" w:lineRule="exact"/>
        <w:ind w:firstLine="72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执行中，严格按照《中华人民共和国预算法》要求执行，严格审批每笔支出业务。1-6月完成支付102.02万元，占全年支付总额的26.07%，1-9月完成支付337.61万元，占全年支付总额的86.29%，全年基本按支付进度支付，无突击用钱现象发生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严格按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仿宋_GB2312"/>
          <w:sz w:val="32"/>
          <w:szCs w:val="32"/>
        </w:rPr>
        <w:t>要求，切实加强部门预算支出执行管理工作，努力提高财政资金使用绩效。“三公”经费使用严格按照预算进行使用，认真贯彻落实中央和省委省政府相关规定，厉行节约，严格控制三公经费，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</w:rPr>
        <w:t>“三公”经费财政拨款预算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支出7.40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万元，其中：公务接待费 0万元。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财政资金均实行财政统一管理，专项资金实行专项管理、专款专用，单独核算。在实施过程中，严格按各项资金管理办法和各项财务管理制度执行。资金拨入和支出会计核算及时、合规合法，审批流程齐全、附件资料完整，我会根据实际情况制定了适用于我会的内控制度，日常的支出严格按照内控制度执行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结果应用情况。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总体来看，基本支出资金的投入，保障了总工会的正常运转，确保了我会顺利完成县委县政府交办任务，根据县财政关于开展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</w:rPr>
        <w:t>财政绩效评价工作的有关要求，我会高度重视，结合部门支出绩效评价指标体系，逐一自评打分，并认真撰写自评报告。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</w:rPr>
        <w:t>度部门一般公共预算财政拨款支出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391.27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154.51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商品和服务支出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229.63万元，</w:t>
      </w:r>
      <w:r>
        <w:rPr>
          <w:rFonts w:hint="eastAsia" w:ascii="仿宋_GB2312" w:hAnsi="仿宋" w:eastAsia="仿宋_GB2312" w:cs="仿宋_GB2312"/>
          <w:sz w:val="32"/>
          <w:szCs w:val="32"/>
        </w:rPr>
        <w:t>对个人和家庭的补助支出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5.63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资本性支出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1.50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2021年财政预算拨入205.00万元，全县工会经费及开展企业工资集体协议签订工作专项资金。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" w:eastAsia="仿宋_GB2312" w:cs="仿宋_GB2312"/>
          <w:sz w:val="32"/>
          <w:szCs w:val="32"/>
        </w:rPr>
        <w:t>度总支出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391.27</w:t>
      </w:r>
      <w:r>
        <w:rPr>
          <w:rFonts w:hint="eastAsia" w:ascii="仿宋_GB2312" w:hAnsi="仿宋" w:eastAsia="仿宋_GB2312" w:cs="仿宋_GB2312"/>
          <w:sz w:val="32"/>
          <w:szCs w:val="32"/>
        </w:rPr>
        <w:t>万元保障本年度各项工作正常开展，完成本年度预算计划，按照财政相关要求做好年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 w:cs="仿宋_GB2312"/>
          <w:sz w:val="32"/>
          <w:szCs w:val="32"/>
        </w:rPr>
        <w:t>决算工作。</w:t>
      </w:r>
    </w:p>
    <w:p>
      <w:pPr>
        <w:spacing w:line="58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jc w:val="both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widowControl/>
        <w:adjustRightInd w:val="0"/>
        <w:snapToGrid w:val="0"/>
        <w:spacing w:line="540" w:lineRule="exact"/>
        <w:ind w:firstLine="72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</w:t>
      </w:r>
      <w:r>
        <w:rPr>
          <w:rFonts w:hint="eastAsia" w:ascii="仿宋_GB2312" w:hAnsi="仿宋" w:eastAsia="仿宋_GB2312" w:cs="仿宋_GB2312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非常重视预算执行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各环节的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工作，能够按照国家的法律法规加强预算管理，不断完善内控制度，认真地完成了2021年的部门预、决算编制工作，取得了较好的预算执行效果。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从自评情况来看，总工会部门支出绩效水平较高，整体上完成了年初设定的绩效目标，保障了我会工作的正常运转，促进了黑水工运事业发展，充分发挥了财政资金的经济效益和社会效益。</w:t>
      </w:r>
    </w:p>
    <w:p>
      <w:pPr>
        <w:numPr>
          <w:ilvl w:val="0"/>
          <w:numId w:val="4"/>
        </w:numPr>
        <w:spacing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widowControl/>
        <w:numPr>
          <w:ilvl w:val="0"/>
          <w:numId w:val="5"/>
        </w:numPr>
        <w:adjustRightInd w:val="0"/>
        <w:snapToGrid w:val="0"/>
        <w:spacing w:line="540" w:lineRule="exact"/>
        <w:ind w:firstLine="72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财务管理制度需要进一步完善健全。按照“内控管理”制度要求，查漏补缺，进一步完善相关制度。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2、进一步规范会计行为。加强财务人员业务知识的提升，及时做好月度和年度会计处理，严格预算资金管理和使用，规范和完善各项费用审签报销制度。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加强财务人员的业务知识的培训力度，特别是新时期下财政主管部门应对财务人员开展一些会计制度、业务知识的交流学习培训业务，同时加强对单位财政资金的使用环节的监督力度。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建议加强对绩效评价工作的培训和指导，进一步优化项目绩效考核指标体系，做到合理性与可操作性的有机统一。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在资金使用上科学规划，支出上合法报销，账务核算上精细到位，不断提高资金使用效率。</w:t>
      </w:r>
    </w:p>
    <w:p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51E14"/>
    <w:multiLevelType w:val="singleLevel"/>
    <w:tmpl w:val="97851E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9B58B5"/>
    <w:multiLevelType w:val="singleLevel"/>
    <w:tmpl w:val="A59B58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B81E92"/>
    <w:multiLevelType w:val="singleLevel"/>
    <w:tmpl w:val="C2B81E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3B49592"/>
    <w:multiLevelType w:val="singleLevel"/>
    <w:tmpl w:val="C3B495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B3BED5D"/>
    <w:multiLevelType w:val="singleLevel"/>
    <w:tmpl w:val="1B3BED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10E67546"/>
    <w:rsid w:val="27546406"/>
    <w:rsid w:val="36435EC2"/>
    <w:rsid w:val="400022AD"/>
    <w:rsid w:val="543D2DE1"/>
    <w:rsid w:val="60D032A5"/>
    <w:rsid w:val="631B2060"/>
    <w:rsid w:val="639A738C"/>
    <w:rsid w:val="66641EBE"/>
    <w:rsid w:val="69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2021-08-11T09:06:00Z</cp:lastPrinted>
  <dcterms:modified xsi:type="dcterms:W3CDTF">2022-08-15T03:43:28Z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