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val="en-US" w:eastAsia="zh-CN"/>
        </w:rPr>
        <w:t>黑水县总工会</w:t>
      </w:r>
      <w:r>
        <w:rPr>
          <w:rFonts w:hint="eastAsia" w:ascii="仿宋_GB2312" w:hAnsi="黑体" w:eastAsia="仿宋_GB2312" w:cs="方正小标宋简体"/>
          <w:b/>
          <w:sz w:val="32"/>
          <w:szCs w:val="32"/>
          <w:lang w:eastAsia="zh-CN"/>
        </w:rPr>
        <w:t>2022</w:t>
      </w:r>
      <w:r>
        <w:rPr>
          <w:rFonts w:hint="eastAsia" w:ascii="仿宋_GB2312" w:hAnsi="黑体" w:eastAsia="仿宋_GB2312" w:cs="方正小标宋简体"/>
          <w:b/>
          <w:sz w:val="32"/>
          <w:szCs w:val="32"/>
        </w:rPr>
        <w:t>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 xml:space="preserve">   </w:t>
      </w:r>
      <w:r>
        <w:rPr>
          <w:rFonts w:hint="eastAsia" w:ascii="华文仿宋" w:hAnsi="华文仿宋" w:eastAsia="华文仿宋" w:cs="华文仿宋"/>
          <w:color w:val="333333"/>
          <w:sz w:val="32"/>
          <w:szCs w:val="32"/>
        </w:rPr>
        <w:t>黑水县总工会属于</w:t>
      </w:r>
      <w:r>
        <w:rPr>
          <w:rFonts w:hint="eastAsia" w:ascii="华文仿宋" w:hAnsi="华文仿宋" w:eastAsia="华文仿宋" w:cs="华文仿宋"/>
          <w:color w:val="333333"/>
          <w:sz w:val="32"/>
          <w:szCs w:val="32"/>
          <w:lang w:eastAsia="zh-CN"/>
        </w:rPr>
        <w:t>独立核算一级预算单位</w:t>
      </w:r>
      <w:r>
        <w:rPr>
          <w:rFonts w:hint="eastAsia" w:ascii="华文仿宋" w:hAnsi="华文仿宋" w:eastAsia="华文仿宋" w:cs="华文仿宋"/>
          <w:color w:val="333333"/>
          <w:sz w:val="32"/>
          <w:szCs w:val="32"/>
        </w:rPr>
        <w:t>，</w:t>
      </w:r>
      <w:r>
        <w:rPr>
          <w:rFonts w:hint="eastAsia" w:ascii="华文仿宋" w:hAnsi="华文仿宋" w:eastAsia="华文仿宋" w:cs="华文仿宋"/>
          <w:color w:val="333333"/>
          <w:sz w:val="32"/>
          <w:szCs w:val="32"/>
          <w:lang w:eastAsia="zh-CN"/>
        </w:rPr>
        <w:t>内设办公室、女职工部，</w:t>
      </w:r>
      <w:r>
        <w:rPr>
          <w:rFonts w:hint="eastAsia" w:ascii="华文仿宋" w:hAnsi="华文仿宋" w:eastAsia="华文仿宋" w:cs="华文仿宋"/>
          <w:color w:val="333333"/>
          <w:sz w:val="32"/>
          <w:szCs w:val="32"/>
        </w:rPr>
        <w:t>没有下属二级预算单位</w:t>
      </w:r>
      <w:r>
        <w:rPr>
          <w:rFonts w:hint="eastAsia" w:ascii="华文仿宋" w:hAnsi="华文仿宋" w:eastAsia="华文仿宋" w:cs="华文仿宋"/>
          <w:color w:val="333333"/>
        </w:rPr>
        <w:t>。</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widowControl/>
        <w:adjustRightInd w:val="0"/>
        <w:snapToGrid w:val="0"/>
        <w:spacing w:line="540" w:lineRule="exact"/>
        <w:ind w:firstLine="720"/>
        <w:jc w:val="left"/>
        <w:rPr>
          <w:rFonts w:hint="eastAsia" w:ascii="华文仿宋" w:hAnsi="华文仿宋" w:eastAsia="华文仿宋" w:cs="华文仿宋"/>
          <w:color w:val="333333"/>
          <w:sz w:val="32"/>
          <w:szCs w:val="32"/>
          <w:lang w:eastAsia="zh-CN"/>
        </w:rPr>
      </w:pPr>
      <w:r>
        <w:rPr>
          <w:rFonts w:hint="eastAsia" w:ascii="仿宋_GB2312" w:hAnsi="仿宋" w:eastAsia="仿宋_GB2312" w:cs="仿宋_GB2312"/>
          <w:sz w:val="32"/>
          <w:szCs w:val="32"/>
          <w:lang w:val="en-US" w:eastAsia="zh-CN"/>
        </w:rPr>
        <w:t xml:space="preserve">  </w:t>
      </w:r>
      <w:r>
        <w:rPr>
          <w:rFonts w:hint="eastAsia" w:ascii="华文仿宋" w:hAnsi="华文仿宋" w:eastAsia="华文仿宋" w:cs="华文仿宋"/>
          <w:b/>
          <w:bCs/>
          <w:color w:val="333333"/>
          <w:sz w:val="32"/>
          <w:szCs w:val="32"/>
          <w:lang w:val="zh-CN"/>
        </w:rPr>
        <w:t>主要</w:t>
      </w:r>
      <w:r>
        <w:rPr>
          <w:rFonts w:hint="eastAsia" w:ascii="华文仿宋" w:hAnsi="华文仿宋" w:eastAsia="华文仿宋" w:cs="华文仿宋"/>
          <w:b/>
          <w:bCs/>
          <w:color w:val="333333"/>
          <w:sz w:val="32"/>
          <w:szCs w:val="32"/>
        </w:rPr>
        <w:t>职能：</w:t>
      </w:r>
      <w:r>
        <w:rPr>
          <w:rFonts w:hint="eastAsia" w:ascii="华文仿宋" w:hAnsi="华文仿宋" w:eastAsia="华文仿宋" w:cs="华文仿宋"/>
          <w:color w:val="333333"/>
          <w:sz w:val="32"/>
          <w:szCs w:val="32"/>
        </w:rPr>
        <w:t>县总工会是全县各级工会的领导机关，以宪法为根本活动准则，依照《</w:t>
      </w:r>
      <w:r>
        <w:rPr>
          <w:rFonts w:hint="eastAsia" w:ascii="华文仿宋" w:hAnsi="华文仿宋" w:eastAsia="华文仿宋" w:cs="华文仿宋"/>
          <w:color w:val="333333"/>
          <w:sz w:val="32"/>
          <w:szCs w:val="32"/>
          <w:lang w:eastAsia="zh-CN"/>
        </w:rPr>
        <w:t>中华人民共和国</w:t>
      </w:r>
      <w:r>
        <w:rPr>
          <w:rFonts w:hint="eastAsia" w:ascii="华文仿宋" w:hAnsi="华文仿宋" w:eastAsia="华文仿宋" w:cs="华文仿宋"/>
          <w:color w:val="333333"/>
          <w:sz w:val="32"/>
          <w:szCs w:val="32"/>
        </w:rPr>
        <w:t>工会法》和《中国工会章程》规定，组织和指导全县各级工会组织切实履行“维护、建设、参与、教育”等社会职能，按照经费使用“三服务”原则，独立自主地开展工会各项工作。</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ascii="华文仿宋" w:hAnsi="华文仿宋" w:eastAsia="华文仿宋" w:cs="华文仿宋"/>
          <w:b/>
          <w:bCs/>
          <w:color w:val="333333"/>
          <w:sz w:val="32"/>
          <w:szCs w:val="32"/>
          <w:lang w:eastAsia="zh-CN"/>
        </w:rPr>
      </w:pPr>
      <w:r>
        <w:rPr>
          <w:rFonts w:hint="eastAsia" w:ascii="华文仿宋" w:hAnsi="华文仿宋" w:eastAsia="华文仿宋" w:cs="华文仿宋"/>
          <w:b/>
          <w:bCs/>
          <w:color w:val="333333"/>
          <w:sz w:val="32"/>
          <w:szCs w:val="32"/>
          <w:lang w:eastAsia="zh-CN"/>
        </w:rPr>
        <w:t>主要</w:t>
      </w:r>
      <w:r>
        <w:rPr>
          <w:rFonts w:hint="eastAsia" w:ascii="华文仿宋" w:hAnsi="华文仿宋" w:eastAsia="华文仿宋" w:cs="华文仿宋"/>
          <w:b/>
          <w:bCs/>
          <w:color w:val="333333"/>
          <w:sz w:val="32"/>
          <w:szCs w:val="32"/>
        </w:rPr>
        <w:t>工作</w:t>
      </w:r>
      <w:r>
        <w:rPr>
          <w:rFonts w:hint="eastAsia" w:ascii="华文仿宋" w:hAnsi="华文仿宋" w:eastAsia="华文仿宋" w:cs="华文仿宋"/>
          <w:b/>
          <w:bCs/>
          <w:color w:val="333333"/>
          <w:sz w:val="32"/>
          <w:szCs w:val="32"/>
          <w:lang w:eastAsia="zh-CN"/>
        </w:rPr>
        <w:t>任务：</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ascii="仿宋_GB2312" w:hAnsi="仿宋_GB2312" w:eastAsia="仿宋_GB2312" w:cs="仿宋_GB2312"/>
          <w:bCs/>
          <w:color w:val="000000"/>
          <w:sz w:val="32"/>
          <w:szCs w:val="32"/>
          <w:lang w:eastAsia="zh-CN"/>
        </w:rPr>
      </w:pPr>
      <w:r>
        <w:rPr>
          <w:rFonts w:hint="eastAsia" w:ascii="仿宋_GB2312" w:hAnsi="仿宋_GB2312" w:eastAsia="仿宋_GB2312" w:cs="仿宋_GB2312"/>
          <w:b w:val="0"/>
          <w:bCs w:val="0"/>
          <w:color w:val="000000"/>
          <w:sz w:val="32"/>
          <w:szCs w:val="32"/>
          <w:lang w:val="en-US" w:eastAsia="zh-CN"/>
        </w:rPr>
        <w:t>1.</w:t>
      </w:r>
      <w:r>
        <w:rPr>
          <w:rFonts w:hint="eastAsia" w:ascii="仿宋_GB2312" w:hAnsi="仿宋_GB2312" w:eastAsia="仿宋_GB2312" w:cs="仿宋_GB2312"/>
          <w:bCs/>
          <w:color w:val="000000"/>
          <w:sz w:val="32"/>
          <w:szCs w:val="32"/>
        </w:rPr>
        <w:t>以城镇下岗职工再就业、农民工创业就业数据支撑为重点，</w:t>
      </w:r>
      <w:r>
        <w:rPr>
          <w:rFonts w:hint="eastAsia" w:ascii="仿宋_GB2312" w:hAnsi="仿宋_GB2312" w:eastAsia="仿宋_GB2312" w:cs="仿宋_GB2312"/>
          <w:bCs/>
          <w:color w:val="auto"/>
          <w:sz w:val="32"/>
          <w:szCs w:val="32"/>
        </w:rPr>
        <w:t>以“春送岗位”活动为契机，积极</w:t>
      </w:r>
      <w:r>
        <w:rPr>
          <w:rFonts w:hint="eastAsia" w:ascii="仿宋_GB2312" w:hAnsi="仿宋_GB2312" w:eastAsia="仿宋_GB2312" w:cs="仿宋_GB2312"/>
          <w:bCs/>
          <w:color w:val="000000"/>
          <w:sz w:val="32"/>
          <w:szCs w:val="32"/>
        </w:rPr>
        <w:t>开展“春风行动”，联合县人</w:t>
      </w:r>
      <w:r>
        <w:rPr>
          <w:rFonts w:hint="eastAsia" w:ascii="仿宋_GB2312" w:hAnsi="仿宋_GB2312" w:eastAsia="仿宋_GB2312" w:cs="仿宋_GB2312"/>
          <w:bCs/>
          <w:color w:val="000000"/>
          <w:sz w:val="32"/>
          <w:szCs w:val="32"/>
          <w:lang w:eastAsia="zh-CN"/>
        </w:rPr>
        <w:t>力资源和社会保障局</w:t>
      </w:r>
      <w:r>
        <w:rPr>
          <w:rFonts w:hint="eastAsia"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lang w:eastAsia="zh-CN"/>
        </w:rPr>
        <w:t>县</w:t>
      </w:r>
      <w:r>
        <w:rPr>
          <w:rFonts w:hint="eastAsia" w:ascii="仿宋_GB2312" w:hAnsi="仿宋_GB2312" w:eastAsia="仿宋_GB2312" w:cs="仿宋_GB2312"/>
          <w:bCs/>
          <w:color w:val="000000"/>
          <w:sz w:val="32"/>
          <w:szCs w:val="32"/>
        </w:rPr>
        <w:t>妇联、团</w:t>
      </w:r>
      <w:r>
        <w:rPr>
          <w:rFonts w:hint="eastAsia" w:ascii="仿宋_GB2312" w:hAnsi="仿宋_GB2312" w:eastAsia="仿宋_GB2312" w:cs="仿宋_GB2312"/>
          <w:bCs/>
          <w:color w:val="000000"/>
          <w:sz w:val="32"/>
          <w:szCs w:val="32"/>
          <w:lang w:eastAsia="zh-CN"/>
        </w:rPr>
        <w:t>县</w:t>
      </w:r>
      <w:r>
        <w:rPr>
          <w:rFonts w:hint="eastAsia" w:ascii="仿宋_GB2312" w:hAnsi="仿宋_GB2312" w:eastAsia="仿宋_GB2312" w:cs="仿宋_GB2312"/>
          <w:bCs/>
          <w:color w:val="000000"/>
          <w:sz w:val="32"/>
          <w:szCs w:val="32"/>
        </w:rPr>
        <w:t>委等部门开展1-2次现场招聘会，拓宽就业门路</w:t>
      </w:r>
      <w:r>
        <w:rPr>
          <w:rFonts w:hint="eastAsia" w:ascii="仿宋_GB2312" w:hAnsi="仿宋_GB2312" w:eastAsia="仿宋_GB2312" w:cs="仿宋_GB2312"/>
          <w:bCs/>
          <w:color w:val="000000"/>
          <w:sz w:val="32"/>
          <w:szCs w:val="32"/>
          <w:lang w:eastAsia="zh-CN"/>
        </w:rPr>
        <w:t>。</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rPr>
        <w:t>2.</w:t>
      </w:r>
      <w:r>
        <w:rPr>
          <w:rFonts w:hint="eastAsia" w:ascii="仿宋_GB2312" w:hAnsi="仿宋_GB2312" w:eastAsia="仿宋_GB2312" w:cs="仿宋_GB2312"/>
          <w:sz w:val="32"/>
          <w:szCs w:val="32"/>
        </w:rPr>
        <w:t>夏季来临，天气异常炎热，给广大职工工作、生活带来诸多不便。为了给那些不畏高温酷暑仍然坚守在生产、脱贫攻坚一线辛勤工作的广大职工送去夏日清凉、送去关怀，根据州总工会要求，黑水县总工会计划于7月--8月开展“夏送清凉”活动，预计投入资金2万元。</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ascii="仿宋_GB2312" w:hAnsi="仿宋_GB2312" w:eastAsia="仿宋_GB2312" w:cs="仿宋_GB2312"/>
          <w:bCs/>
          <w:color w:val="000000"/>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认真摸排考入重点大学的困难职工家庭情况，积极争取“金秋助学”资金，加大对困难学生的救助，</w:t>
      </w:r>
      <w:r>
        <w:rPr>
          <w:rFonts w:hint="eastAsia" w:ascii="仿宋_GB2312" w:hAnsi="仿宋_GB2312" w:eastAsia="仿宋_GB2312" w:cs="仿宋_GB2312"/>
          <w:bCs/>
          <w:color w:val="000000"/>
          <w:sz w:val="32"/>
          <w:szCs w:val="32"/>
        </w:rPr>
        <w:t>预计投入1万元，为10名困难职工子女，解决上学难、读书难问题</w:t>
      </w:r>
      <w:r>
        <w:rPr>
          <w:rFonts w:hint="eastAsia" w:ascii="仿宋_GB2312" w:hAnsi="仿宋_GB2312" w:eastAsia="仿宋_GB2312" w:cs="仿宋_GB2312"/>
          <w:bCs/>
          <w:color w:val="000000"/>
          <w:sz w:val="32"/>
          <w:szCs w:val="32"/>
          <w:lang w:eastAsia="zh-CN"/>
        </w:rPr>
        <w:t>。</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4.以困难职工帮扶中心为依托，开展“冬送温暖”活动。</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rPr>
        <w:t>5.</w:t>
      </w:r>
      <w:r>
        <w:rPr>
          <w:rFonts w:hint="eastAsia" w:ascii="仿宋_GB2312" w:hAnsi="仿宋_GB2312" w:eastAsia="仿宋_GB2312" w:cs="仿宋_GB2312"/>
          <w:sz w:val="32"/>
          <w:szCs w:val="32"/>
        </w:rPr>
        <w:t>结合我县外出务工人员多的情况，围绕民生，积极探索如何更好服务农民工的路子，</w:t>
      </w:r>
      <w:r>
        <w:rPr>
          <w:rFonts w:hint="eastAsia" w:ascii="仿宋_GB2312" w:hAnsi="仿宋_GB2312" w:eastAsia="仿宋_GB2312" w:cs="仿宋_GB2312"/>
          <w:sz w:val="32"/>
          <w:szCs w:val="32"/>
          <w:lang w:val="en-US" w:eastAsia="zh-CN"/>
        </w:rPr>
        <w:t>预计投入2万元资金，对100名农民工开展慰问活动</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eastAsia" w:ascii="仿宋_GB2312" w:hAnsi="仿宋" w:eastAsia="仿宋_GB2312"/>
          <w:bCs/>
          <w:color w:val="auto"/>
          <w:sz w:val="32"/>
          <w:szCs w:val="32"/>
          <w:lang w:eastAsia="zh-CN"/>
        </w:rPr>
      </w:pPr>
      <w:r>
        <w:rPr>
          <w:rFonts w:hint="eastAsia" w:ascii="仿宋_GB2312" w:hAnsi="仿宋_GB2312" w:eastAsia="仿宋_GB2312" w:cs="仿宋_GB2312"/>
          <w:b w:val="0"/>
          <w:bCs/>
          <w:color w:val="auto"/>
          <w:sz w:val="32"/>
          <w:szCs w:val="32"/>
          <w:lang w:val="en-US" w:eastAsia="zh-CN"/>
        </w:rPr>
        <w:t>6</w:t>
      </w:r>
      <w:r>
        <w:rPr>
          <w:rFonts w:hint="eastAsia" w:ascii="仿宋_GB2312" w:hAnsi="仿宋_GB2312" w:eastAsia="仿宋_GB2312" w:cs="仿宋_GB2312"/>
          <w:b w:val="0"/>
          <w:bCs/>
          <w:color w:val="auto"/>
          <w:sz w:val="32"/>
          <w:szCs w:val="32"/>
        </w:rPr>
        <w:t>.做好</w:t>
      </w:r>
      <w:r>
        <w:rPr>
          <w:rFonts w:hint="eastAsia" w:ascii="仿宋_GB2312" w:hAnsi="仿宋_GB2312" w:eastAsia="仿宋_GB2312" w:cs="仿宋_GB2312"/>
          <w:b w:val="0"/>
          <w:bCs/>
          <w:color w:val="auto"/>
          <w:sz w:val="32"/>
          <w:szCs w:val="32"/>
          <w:lang w:eastAsia="zh-CN"/>
        </w:rPr>
        <w:t>新冠感染</w:t>
      </w:r>
      <w:r>
        <w:rPr>
          <w:rFonts w:hint="eastAsia" w:ascii="仿宋_GB2312" w:hAnsi="仿宋_GB2312" w:eastAsia="仿宋_GB2312" w:cs="仿宋_GB2312"/>
          <w:b w:val="0"/>
          <w:bCs/>
          <w:color w:val="auto"/>
          <w:sz w:val="32"/>
          <w:szCs w:val="32"/>
        </w:rPr>
        <w:t>防治工作。</w:t>
      </w:r>
      <w:r>
        <w:rPr>
          <w:rFonts w:hint="eastAsia" w:ascii="仿宋_GB2312" w:hAnsi="仿宋_GB2312" w:eastAsia="仿宋_GB2312" w:cs="仿宋_GB2312"/>
          <w:bCs/>
          <w:color w:val="auto"/>
          <w:sz w:val="32"/>
          <w:szCs w:val="32"/>
        </w:rPr>
        <w:t>增强</w:t>
      </w:r>
      <w:r>
        <w:rPr>
          <w:rFonts w:hint="eastAsia" w:ascii="仿宋_GB2312" w:hAnsi="仿宋_GB2312" w:eastAsia="仿宋_GB2312" w:cs="仿宋_GB2312"/>
          <w:bCs/>
          <w:color w:val="auto"/>
          <w:sz w:val="32"/>
          <w:szCs w:val="32"/>
          <w:lang w:eastAsia="zh-CN"/>
        </w:rPr>
        <w:t>新冠感染</w:t>
      </w:r>
      <w:r>
        <w:rPr>
          <w:rFonts w:hint="eastAsia" w:ascii="仿宋_GB2312" w:hAnsi="仿宋" w:eastAsia="仿宋_GB2312"/>
          <w:bCs/>
          <w:color w:val="auto"/>
          <w:sz w:val="32"/>
          <w:szCs w:val="32"/>
        </w:rPr>
        <w:t>防治工作重要性认识，</w:t>
      </w:r>
      <w:r>
        <w:rPr>
          <w:rFonts w:hint="eastAsia" w:ascii="仿宋_GB2312" w:hAnsi="仿宋" w:eastAsia="仿宋_GB2312"/>
          <w:bCs/>
          <w:color w:val="auto"/>
          <w:sz w:val="32"/>
          <w:szCs w:val="32"/>
          <w:lang w:eastAsia="zh-CN"/>
        </w:rPr>
        <w:t>疫情虽然已经好转，但依旧不能松懈，</w:t>
      </w:r>
      <w:r>
        <w:rPr>
          <w:rFonts w:hint="eastAsia" w:ascii="仿宋_GB2312" w:hAnsi="仿宋" w:eastAsia="仿宋_GB2312"/>
          <w:bCs/>
          <w:color w:val="auto"/>
          <w:sz w:val="32"/>
          <w:szCs w:val="32"/>
        </w:rPr>
        <w:t>工会干部积极投身疫情防控各方面工作，</w:t>
      </w:r>
      <w:r>
        <w:rPr>
          <w:rFonts w:hint="eastAsia" w:ascii="仿宋_GB2312" w:hAnsi="仿宋" w:eastAsia="仿宋_GB2312"/>
          <w:bCs/>
          <w:color w:val="auto"/>
          <w:sz w:val="32"/>
          <w:szCs w:val="32"/>
          <w:lang w:eastAsia="zh-CN"/>
        </w:rPr>
        <w:t>要</w:t>
      </w:r>
      <w:r>
        <w:rPr>
          <w:rFonts w:hint="eastAsia" w:ascii="仿宋_GB2312" w:hAnsi="仿宋" w:eastAsia="仿宋_GB2312"/>
          <w:bCs/>
          <w:color w:val="auto"/>
          <w:sz w:val="32"/>
          <w:szCs w:val="32"/>
        </w:rPr>
        <w:t>严格执行各项防控措施</w:t>
      </w:r>
      <w:r>
        <w:rPr>
          <w:rFonts w:hint="eastAsia" w:ascii="仿宋_GB2312" w:hAnsi="仿宋" w:eastAsia="仿宋_GB2312"/>
          <w:bCs/>
          <w:color w:val="auto"/>
          <w:sz w:val="32"/>
          <w:szCs w:val="32"/>
          <w:lang w:eastAsia="zh-CN"/>
        </w:rPr>
        <w:t>。</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eastAsia" w:ascii="仿宋_GB2312" w:hAnsi="仿宋" w:eastAsia="仿宋_GB2312"/>
          <w:b w:val="0"/>
          <w:bCs/>
          <w:color w:val="000000"/>
          <w:sz w:val="32"/>
          <w:szCs w:val="32"/>
          <w:lang w:eastAsia="zh-CN"/>
        </w:rPr>
      </w:pPr>
      <w:r>
        <w:rPr>
          <w:rFonts w:hint="eastAsia" w:ascii="仿宋_GB2312" w:hAnsi="仿宋" w:eastAsia="仿宋_GB2312"/>
          <w:b w:val="0"/>
          <w:bCs/>
          <w:color w:val="000000"/>
          <w:sz w:val="32"/>
          <w:szCs w:val="32"/>
          <w:lang w:val="en-US" w:eastAsia="zh-CN"/>
        </w:rPr>
        <w:t>7.</w:t>
      </w:r>
      <w:r>
        <w:rPr>
          <w:rFonts w:hint="eastAsia" w:ascii="仿宋_GB2312" w:hAnsi="仿宋" w:eastAsia="仿宋_GB2312"/>
          <w:b w:val="0"/>
          <w:bCs/>
          <w:color w:val="000000"/>
          <w:sz w:val="32"/>
          <w:szCs w:val="32"/>
        </w:rPr>
        <w:t>开展“十</w:t>
      </w:r>
      <w:r>
        <w:rPr>
          <w:rFonts w:hint="eastAsia" w:ascii="仿宋_GB2312" w:hAnsi="仿宋" w:eastAsia="仿宋_GB2312"/>
          <w:b w:val="0"/>
          <w:bCs/>
          <w:color w:val="000000"/>
          <w:sz w:val="32"/>
          <w:szCs w:val="32"/>
          <w:lang w:eastAsia="zh-CN"/>
        </w:rPr>
        <w:t>四</w:t>
      </w:r>
      <w:r>
        <w:rPr>
          <w:rFonts w:hint="eastAsia" w:ascii="仿宋_GB2312" w:hAnsi="仿宋" w:eastAsia="仿宋_GB2312"/>
          <w:b w:val="0"/>
          <w:bCs/>
          <w:color w:val="000000"/>
          <w:sz w:val="32"/>
          <w:szCs w:val="32"/>
        </w:rPr>
        <w:t>五”</w:t>
      </w:r>
      <w:r>
        <w:rPr>
          <w:rFonts w:hint="eastAsia" w:ascii="仿宋_GB2312" w:hAnsi="仿宋" w:eastAsia="仿宋_GB2312"/>
          <w:b w:val="0"/>
          <w:bCs/>
          <w:color w:val="000000"/>
          <w:sz w:val="32"/>
          <w:szCs w:val="32"/>
          <w:lang w:eastAsia="zh-CN"/>
        </w:rPr>
        <w:t>规划的</w:t>
      </w:r>
      <w:r>
        <w:rPr>
          <w:rFonts w:hint="eastAsia" w:ascii="仿宋_GB2312" w:hAnsi="仿宋" w:eastAsia="仿宋_GB2312"/>
          <w:b w:val="0"/>
          <w:bCs/>
          <w:color w:val="000000"/>
          <w:sz w:val="32"/>
          <w:szCs w:val="32"/>
        </w:rPr>
        <w:t>活动。</w:t>
      </w:r>
      <w:r>
        <w:rPr>
          <w:rFonts w:hint="eastAsia" w:ascii="仿宋_GB2312" w:hAnsi="仿宋" w:eastAsia="仿宋_GB2312"/>
          <w:b w:val="0"/>
          <w:bCs/>
          <w:color w:val="000000"/>
          <w:sz w:val="32"/>
          <w:szCs w:val="32"/>
          <w:lang w:eastAsia="zh-CN"/>
        </w:rPr>
        <w:t>“十四五”规划是全面贯彻落实习近平新时代中国特色社会主义思想和党的十九大精神的第一个五年规划，在“世界百年未有之大变局”新形势下把握好区域经济社会发展的战略导向，具有新时代、新起点里程碑的意义。</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eastAsia" w:ascii="仿宋_GB2312" w:hAnsi="仿宋" w:eastAsia="仿宋_GB2312" w:cs="仿宋_GB2312"/>
          <w:bCs/>
          <w:color w:val="000000"/>
          <w:sz w:val="32"/>
          <w:szCs w:val="32"/>
        </w:rPr>
      </w:pPr>
      <w:r>
        <w:rPr>
          <w:rFonts w:hint="eastAsia" w:ascii="仿宋_GB2312" w:hAnsi="仿宋" w:eastAsia="仿宋_GB2312"/>
          <w:b w:val="0"/>
          <w:bCs/>
          <w:color w:val="000000"/>
          <w:sz w:val="32"/>
          <w:szCs w:val="32"/>
          <w:lang w:val="en-US" w:eastAsia="zh-CN"/>
        </w:rPr>
        <w:t>8</w:t>
      </w:r>
      <w:r>
        <w:rPr>
          <w:rFonts w:hint="eastAsia" w:ascii="仿宋_GB2312" w:hAnsi="仿宋" w:eastAsia="仿宋_GB2312"/>
          <w:b w:val="0"/>
          <w:bCs/>
          <w:color w:val="000000"/>
          <w:sz w:val="32"/>
          <w:szCs w:val="32"/>
        </w:rPr>
        <w:t>.开展“中国梦.劳动美”活动。</w:t>
      </w:r>
      <w:r>
        <w:rPr>
          <w:rFonts w:hint="eastAsia" w:ascii="仿宋_GB2312" w:hAnsi="仿宋" w:eastAsia="仿宋_GB2312"/>
          <w:color w:val="000000"/>
          <w:sz w:val="32"/>
          <w:szCs w:val="32"/>
        </w:rPr>
        <w:t>积极组织动员广大职工参加全省“中国梦.劳动美”职工摄影大赛、“颂歌献给党.同圆中国梦”职工歌手大赛等活动，激发职工干事创业热情。</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_GB2312" w:hAnsi="仿宋" w:eastAsia="仿宋_GB2312" w:cs="仿宋_GB2312"/>
          <w:bCs/>
          <w:color w:val="000000"/>
          <w:sz w:val="32"/>
          <w:szCs w:val="32"/>
        </w:rPr>
      </w:pPr>
      <w:r>
        <w:rPr>
          <w:rFonts w:hint="eastAsia" w:ascii="仿宋_GB2312" w:hAnsi="仿宋" w:eastAsia="仿宋_GB2312" w:cs="仿宋_GB2312"/>
          <w:b w:val="0"/>
          <w:bCs w:val="0"/>
          <w:color w:val="000000"/>
          <w:sz w:val="32"/>
          <w:szCs w:val="32"/>
          <w:lang w:val="en-US" w:eastAsia="zh-CN"/>
        </w:rPr>
        <w:t>9</w:t>
      </w:r>
      <w:r>
        <w:rPr>
          <w:rFonts w:hint="eastAsia" w:ascii="仿宋_GB2312" w:hAnsi="仿宋" w:eastAsia="仿宋_GB2312" w:cs="仿宋_GB2312"/>
          <w:b w:val="0"/>
          <w:bCs w:val="0"/>
          <w:color w:val="000000"/>
          <w:sz w:val="32"/>
          <w:szCs w:val="32"/>
        </w:rPr>
        <w:t>.搞好深度帮扶。</w:t>
      </w:r>
      <w:r>
        <w:rPr>
          <w:rFonts w:hint="eastAsia" w:ascii="仿宋_GB2312" w:hAnsi="仿宋" w:eastAsia="仿宋_GB2312" w:cs="仿宋_GB2312"/>
          <w:bCs/>
          <w:color w:val="000000"/>
          <w:sz w:val="32"/>
          <w:szCs w:val="32"/>
        </w:rPr>
        <w:t>把广大职工对美好生活的向往作为奋斗目标，发挥工会组织帮扶工作拾遗补缺的优势抓好抓实深度帮扶工作，将改善民生作为着力点和落脚点，针对因大病致家庭经济极度困难的</w:t>
      </w:r>
      <w:r>
        <w:rPr>
          <w:rFonts w:hint="eastAsia" w:ascii="仿宋_GB2312" w:hAnsi="仿宋" w:eastAsia="仿宋_GB2312" w:cs="仿宋_GB2312"/>
          <w:bCs/>
          <w:color w:val="000000"/>
          <w:sz w:val="32"/>
          <w:szCs w:val="32"/>
          <w:lang w:eastAsia="zh-CN"/>
        </w:rPr>
        <w:t>，</w:t>
      </w:r>
      <w:r>
        <w:rPr>
          <w:rFonts w:hint="eastAsia" w:ascii="仿宋_GB2312" w:hAnsi="仿宋" w:eastAsia="仿宋_GB2312" w:cs="仿宋_GB2312"/>
          <w:bCs/>
          <w:color w:val="000000"/>
          <w:sz w:val="32"/>
          <w:szCs w:val="32"/>
        </w:rPr>
        <w:t>符合特困职工深度帮扶条件的在职职工，进行每人每年一次性医疗救助10000元，让他们充分感受到党委政府的温暖和工会组织的关怀。</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_GB2312" w:hAnsi="仿宋" w:eastAsia="仿宋_GB2312"/>
          <w:color w:val="000000"/>
          <w:sz w:val="32"/>
          <w:szCs w:val="32"/>
        </w:rPr>
      </w:pPr>
      <w:r>
        <w:rPr>
          <w:rFonts w:hint="eastAsia" w:ascii="仿宋_GB2312" w:hAnsi="仿宋" w:eastAsia="仿宋_GB2312"/>
          <w:b w:val="0"/>
          <w:bCs/>
          <w:color w:val="000000"/>
          <w:sz w:val="32"/>
          <w:szCs w:val="32"/>
          <w:lang w:val="en-US" w:eastAsia="zh-CN"/>
        </w:rPr>
        <w:t>10</w:t>
      </w:r>
      <w:r>
        <w:rPr>
          <w:rFonts w:hint="eastAsia" w:ascii="仿宋_GB2312" w:hAnsi="仿宋" w:eastAsia="仿宋_GB2312"/>
          <w:b w:val="0"/>
          <w:bCs/>
          <w:color w:val="000000"/>
          <w:sz w:val="32"/>
          <w:szCs w:val="32"/>
        </w:rPr>
        <w:t>.做好女职工关爱。</w:t>
      </w:r>
      <w:r>
        <w:rPr>
          <w:rFonts w:hint="eastAsia" w:ascii="仿宋_GB2312" w:hAnsi="仿宋" w:eastAsia="仿宋_GB2312"/>
          <w:color w:val="000000"/>
          <w:sz w:val="32"/>
          <w:szCs w:val="32"/>
        </w:rPr>
        <w:t>加大困难女职工救助力度，以单亲、患两癌和生活困难的女职工为重点对象，进行走访慰问，开展关爱行动，经济上给予帮扶、精神上给予鼓励。扩大“女职工大病互助保险”和“职工住院医疗互助保险”的覆盖范围，让更多身患疾病的职工得到帮助。</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_GB2312" w:hAnsi="仿宋" w:eastAsia="仿宋_GB2312"/>
          <w:color w:val="000000"/>
          <w:sz w:val="32"/>
          <w:szCs w:val="32"/>
        </w:rPr>
      </w:pPr>
      <w:r>
        <w:rPr>
          <w:rFonts w:hint="eastAsia" w:ascii="仿宋_GB2312" w:hAnsi="仿宋" w:eastAsia="仿宋_GB2312" w:cs="仿宋_GB2312"/>
          <w:b w:val="0"/>
          <w:bCs w:val="0"/>
          <w:color w:val="000000"/>
          <w:sz w:val="32"/>
          <w:szCs w:val="32"/>
          <w:lang w:val="en-US" w:eastAsia="zh-CN"/>
        </w:rPr>
        <w:t>11.</w:t>
      </w:r>
      <w:r>
        <w:rPr>
          <w:rFonts w:hint="eastAsia" w:ascii="仿宋_GB2312" w:hAnsi="仿宋" w:eastAsia="仿宋_GB2312" w:cs="仿宋_GB2312"/>
          <w:b w:val="0"/>
          <w:bCs w:val="0"/>
          <w:color w:val="000000"/>
          <w:sz w:val="32"/>
          <w:szCs w:val="32"/>
        </w:rPr>
        <w:t>加大“两个普遍”工作力度。</w:t>
      </w:r>
      <w:r>
        <w:rPr>
          <w:rFonts w:hint="eastAsia" w:ascii="仿宋_GB2312" w:hAnsi="仿宋" w:eastAsia="仿宋_GB2312"/>
          <w:color w:val="000000"/>
          <w:sz w:val="32"/>
          <w:szCs w:val="32"/>
        </w:rPr>
        <w:t>以工资集体协议提质增效为目标，在</w:t>
      </w:r>
      <w:r>
        <w:rPr>
          <w:rFonts w:hint="eastAsia" w:ascii="Times New Roman" w:hAnsi="Times New Roman" w:eastAsia="仿宋_GB2312" w:cs="Times New Roman"/>
          <w:color w:val="000000"/>
          <w:kern w:val="0"/>
          <w:sz w:val="32"/>
          <w:szCs w:val="32"/>
        </w:rPr>
        <w:t>7</w:t>
      </w:r>
      <w:r>
        <w:rPr>
          <w:rFonts w:hint="eastAsia" w:ascii="仿宋_GB2312" w:hAnsi="仿宋" w:eastAsia="仿宋_GB2312"/>
          <w:color w:val="000000"/>
          <w:sz w:val="32"/>
          <w:szCs w:val="32"/>
        </w:rPr>
        <w:t>月以前督促完成企业签订工资集体合同、劳动合同、女职工合同，督促企业合理确定报酬、开展环境治理、实施</w:t>
      </w:r>
      <w:r>
        <w:rPr>
          <w:rFonts w:hint="eastAsia" w:ascii="仿宋_GB2312" w:hAnsi="仿宋" w:eastAsia="仿宋_GB2312" w:cs="仿宋_GB2312"/>
          <w:bCs/>
          <w:color w:val="000000"/>
          <w:sz w:val="32"/>
          <w:szCs w:val="32"/>
        </w:rPr>
        <w:t>劳动保护、强化安全生产</w:t>
      </w:r>
      <w:r>
        <w:rPr>
          <w:rFonts w:hint="eastAsia" w:ascii="仿宋_GB2312" w:hAnsi="仿宋" w:eastAsia="仿宋_GB2312"/>
          <w:color w:val="000000"/>
          <w:sz w:val="32"/>
          <w:szCs w:val="32"/>
        </w:rPr>
        <w:t>，</w:t>
      </w:r>
      <w:r>
        <w:rPr>
          <w:rFonts w:hint="eastAsia" w:ascii="仿宋_GB2312" w:hAnsi="仿宋" w:eastAsia="仿宋_GB2312" w:cs="仿宋_GB2312"/>
          <w:bCs/>
          <w:color w:val="000000"/>
          <w:sz w:val="32"/>
          <w:szCs w:val="32"/>
        </w:rPr>
        <w:t>协调有关部门做好释疑解惑、疏导情绪、化解矛盾等工作，</w:t>
      </w:r>
      <w:r>
        <w:rPr>
          <w:rFonts w:hint="eastAsia" w:ascii="仿宋_GB2312" w:hAnsi="仿宋" w:eastAsia="仿宋_GB2312"/>
          <w:color w:val="000000"/>
          <w:sz w:val="32"/>
          <w:szCs w:val="32"/>
        </w:rPr>
        <w:t>努力构建和谐劳动关系。</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_GB2312" w:hAnsi="仿宋" w:eastAsia="仿宋_GB2312"/>
          <w:b w:val="0"/>
          <w:bCs/>
          <w:color w:val="000000"/>
          <w:sz w:val="32"/>
          <w:szCs w:val="32"/>
        </w:rPr>
      </w:pPr>
      <w:r>
        <w:rPr>
          <w:rFonts w:hint="eastAsia" w:ascii="Times New Roman" w:hAnsi="Times New Roman" w:eastAsia="仿宋_GB2312" w:cs="Times New Roman"/>
          <w:color w:val="000000"/>
          <w:kern w:val="0"/>
          <w:sz w:val="32"/>
          <w:szCs w:val="32"/>
          <w:lang w:val="en-US" w:eastAsia="zh-CN"/>
        </w:rPr>
        <w:t>12</w:t>
      </w:r>
      <w:r>
        <w:rPr>
          <w:rFonts w:hint="eastAsia" w:ascii="Times New Roman" w:hAnsi="Times New Roman" w:eastAsia="仿宋_GB2312" w:cs="Times New Roman"/>
          <w:color w:val="000000"/>
          <w:kern w:val="0"/>
          <w:sz w:val="32"/>
          <w:szCs w:val="32"/>
        </w:rPr>
        <w:t>.</w:t>
      </w:r>
      <w:r>
        <w:rPr>
          <w:rFonts w:hint="eastAsia" w:ascii="仿宋_GB2312" w:hAnsi="仿宋" w:eastAsia="仿宋_GB2312"/>
          <w:b w:val="0"/>
          <w:bCs/>
          <w:color w:val="000000"/>
          <w:sz w:val="32"/>
          <w:szCs w:val="32"/>
        </w:rPr>
        <w:t>加大维权工作法制化力度。认真贯彻落实《四川省依法治省纲要》，大力推行《工会劳动法律监督意见书》《工会劳动法律监督建议书》制度，健全完善协调劳动关系三方机制，构筑起职工权益不受损害的法律屏障。</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_GB2312" w:hAnsi="仿宋" w:eastAsia="仿宋_GB2312"/>
          <w:b w:val="0"/>
          <w:bCs/>
          <w:color w:val="000000"/>
          <w:sz w:val="32"/>
          <w:szCs w:val="32"/>
        </w:rPr>
      </w:pPr>
      <w:r>
        <w:rPr>
          <w:rFonts w:hint="eastAsia" w:ascii="Times New Roman" w:hAnsi="Times New Roman" w:eastAsia="仿宋_GB2312" w:cs="Times New Roman"/>
          <w:color w:val="000000"/>
          <w:kern w:val="0"/>
          <w:sz w:val="32"/>
          <w:szCs w:val="32"/>
          <w:lang w:val="en-US" w:eastAsia="zh-CN"/>
        </w:rPr>
        <w:t>13</w:t>
      </w:r>
      <w:r>
        <w:rPr>
          <w:rFonts w:hint="eastAsia" w:ascii="Times New Roman" w:hAnsi="Times New Roman" w:eastAsia="仿宋_GB2312" w:cs="Times New Roman"/>
          <w:color w:val="000000"/>
          <w:kern w:val="0"/>
          <w:sz w:val="32"/>
          <w:szCs w:val="32"/>
        </w:rPr>
        <w:t>.</w:t>
      </w:r>
      <w:r>
        <w:rPr>
          <w:rFonts w:hint="eastAsia" w:ascii="仿宋_GB2312" w:hAnsi="仿宋" w:eastAsia="仿宋_GB2312"/>
          <w:b w:val="0"/>
          <w:bCs/>
          <w:color w:val="000000"/>
          <w:sz w:val="32"/>
          <w:szCs w:val="32"/>
        </w:rPr>
        <w:t>加大职工法律援助力度。深入开展法律“七进”活动、“安全生产宣传月”活动、“职工维权”“农民工工资清欠”行动，</w:t>
      </w:r>
      <w:r>
        <w:rPr>
          <w:rFonts w:hint="eastAsia" w:ascii="仿宋_GB2312" w:hAnsi="仿宋" w:eastAsia="仿宋_GB2312" w:cs="仿宋_GB2312"/>
          <w:b w:val="0"/>
          <w:bCs/>
          <w:color w:val="000000"/>
          <w:sz w:val="32"/>
          <w:szCs w:val="32"/>
        </w:rPr>
        <w:t>加强普法宣传教育，做好法律援助服务，引导职工群众依法理性表达利益诉求，</w:t>
      </w:r>
      <w:r>
        <w:rPr>
          <w:rFonts w:hint="eastAsia" w:ascii="仿宋_GB2312" w:hAnsi="仿宋" w:eastAsia="仿宋_GB2312"/>
          <w:b w:val="0"/>
          <w:bCs/>
          <w:color w:val="000000"/>
          <w:sz w:val="32"/>
          <w:szCs w:val="32"/>
        </w:rPr>
        <w:t>切实维护职工合法权益。</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_GB2312" w:hAnsi="仿宋" w:eastAsia="仿宋_GB2312" w:cs="仿宋_GB2312"/>
          <w:b w:val="0"/>
          <w:bCs/>
          <w:color w:val="000000"/>
          <w:sz w:val="32"/>
          <w:szCs w:val="32"/>
        </w:rPr>
      </w:pPr>
      <w:r>
        <w:rPr>
          <w:rFonts w:hint="eastAsia" w:ascii="Times New Roman" w:hAnsi="Times New Roman" w:eastAsia="仿宋_GB2312" w:cs="Times New Roman"/>
          <w:color w:val="000000"/>
          <w:kern w:val="0"/>
          <w:sz w:val="32"/>
          <w:szCs w:val="32"/>
          <w:lang w:val="en-US" w:eastAsia="zh-CN"/>
        </w:rPr>
        <w:t>14</w:t>
      </w:r>
      <w:r>
        <w:rPr>
          <w:rFonts w:hint="eastAsia" w:ascii="Times New Roman" w:hAnsi="Times New Roman" w:eastAsia="仿宋_GB2312" w:cs="Times New Roman"/>
          <w:color w:val="000000"/>
          <w:kern w:val="0"/>
          <w:sz w:val="32"/>
          <w:szCs w:val="32"/>
        </w:rPr>
        <w:t>.</w:t>
      </w:r>
      <w:r>
        <w:rPr>
          <w:rFonts w:hint="eastAsia" w:ascii="仿宋_GB2312" w:hAnsi="仿宋" w:eastAsia="仿宋_GB2312" w:cs="仿宋_GB2312"/>
          <w:b w:val="0"/>
          <w:bCs/>
          <w:color w:val="000000"/>
          <w:sz w:val="32"/>
          <w:szCs w:val="32"/>
        </w:rPr>
        <w:t>弘扬核心价值观。结合工会思想教育、维权帮扶、人文关怀、心理疏导工作，大力加强职工理想信念和职业道德、家庭美德教育，切实用社会主义核心价值观凝聚共识、汇聚力量，形成强大正能量。</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_GB2312" w:hAnsi="仿宋" w:eastAsia="仿宋_GB2312" w:cs="仿宋_GB2312"/>
          <w:b w:val="0"/>
          <w:bCs/>
          <w:color w:val="000000"/>
          <w:sz w:val="32"/>
          <w:szCs w:val="32"/>
        </w:rPr>
      </w:pPr>
      <w:r>
        <w:rPr>
          <w:rFonts w:hint="eastAsia" w:ascii="Times New Roman" w:hAnsi="Times New Roman" w:eastAsia="仿宋_GB2312" w:cs="Times New Roman"/>
          <w:color w:val="000000"/>
          <w:kern w:val="0"/>
          <w:sz w:val="32"/>
          <w:szCs w:val="32"/>
          <w:lang w:val="en-US" w:eastAsia="zh-CN"/>
        </w:rPr>
        <w:t>15</w:t>
      </w:r>
      <w:r>
        <w:rPr>
          <w:rFonts w:hint="eastAsia" w:ascii="Times New Roman" w:hAnsi="Times New Roman" w:eastAsia="仿宋_GB2312" w:cs="Times New Roman"/>
          <w:color w:val="000000"/>
          <w:kern w:val="0"/>
          <w:sz w:val="32"/>
          <w:szCs w:val="32"/>
        </w:rPr>
        <w:t>.</w:t>
      </w:r>
      <w:r>
        <w:rPr>
          <w:rFonts w:hint="eastAsia" w:ascii="仿宋_GB2312" w:hAnsi="仿宋" w:eastAsia="仿宋_GB2312" w:cs="仿宋_GB2312"/>
          <w:b w:val="0"/>
          <w:bCs/>
          <w:color w:val="000000"/>
          <w:sz w:val="32"/>
          <w:szCs w:val="32"/>
        </w:rPr>
        <w:t>创造更多更好职工群众乐于接受的各种文体活动、知识竞赛活动等形式开展好宣传教育活动。</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eastAsia" w:ascii="仿宋_GB2312" w:hAnsi="仿宋" w:eastAsia="仿宋_GB2312"/>
          <w:b w:val="0"/>
          <w:bCs/>
          <w:color w:val="000000"/>
          <w:sz w:val="32"/>
          <w:szCs w:val="32"/>
        </w:rPr>
      </w:pPr>
      <w:r>
        <w:rPr>
          <w:rFonts w:hint="eastAsia" w:ascii="Times New Roman" w:hAnsi="Times New Roman" w:eastAsia="仿宋_GB2312" w:cs="Times New Roman"/>
          <w:color w:val="000000"/>
          <w:kern w:val="0"/>
          <w:sz w:val="32"/>
          <w:szCs w:val="32"/>
          <w:lang w:val="en-US" w:eastAsia="zh-CN"/>
        </w:rPr>
        <w:t>16</w:t>
      </w:r>
      <w:r>
        <w:rPr>
          <w:rFonts w:hint="eastAsia" w:ascii="Times New Roman" w:hAnsi="Times New Roman" w:eastAsia="仿宋_GB2312" w:cs="Times New Roman"/>
          <w:color w:val="000000"/>
          <w:kern w:val="0"/>
          <w:sz w:val="32"/>
          <w:szCs w:val="32"/>
        </w:rPr>
        <w:t>.</w:t>
      </w:r>
      <w:r>
        <w:rPr>
          <w:rFonts w:hint="eastAsia" w:ascii="仿宋_GB2312" w:hAnsi="仿宋" w:eastAsia="仿宋_GB2312"/>
          <w:b w:val="0"/>
          <w:bCs/>
          <w:color w:val="000000"/>
          <w:sz w:val="32"/>
          <w:szCs w:val="32"/>
        </w:rPr>
        <w:t>通过工会微信公众号、网络平台举办</w:t>
      </w:r>
      <w:r>
        <w:rPr>
          <w:rFonts w:hint="eastAsia" w:ascii="仿宋_GB2312" w:hAnsi="仿宋" w:eastAsia="仿宋_GB2312"/>
          <w:b w:val="0"/>
          <w:bCs/>
          <w:color w:val="000000"/>
          <w:sz w:val="32"/>
          <w:szCs w:val="32"/>
          <w:lang w:eastAsia="zh-CN"/>
        </w:rPr>
        <w:t>不拘形式</w:t>
      </w:r>
      <w:r>
        <w:rPr>
          <w:rFonts w:hint="eastAsia" w:ascii="仿宋_GB2312" w:hAnsi="仿宋" w:eastAsia="仿宋_GB2312"/>
          <w:b w:val="0"/>
          <w:bCs/>
          <w:color w:val="000000"/>
          <w:sz w:val="32"/>
          <w:szCs w:val="32"/>
        </w:rPr>
        <w:t>的宣传活动，借助新型媒体</w:t>
      </w:r>
      <w:r>
        <w:rPr>
          <w:rFonts w:hint="eastAsia" w:ascii="仿宋_GB2312" w:hAnsi="仿宋" w:eastAsia="仿宋_GB2312"/>
          <w:b w:val="0"/>
          <w:bCs/>
          <w:color w:val="000000"/>
          <w:sz w:val="32"/>
          <w:szCs w:val="32"/>
          <w:lang w:eastAsia="zh-CN"/>
        </w:rPr>
        <w:t>发挥</w:t>
      </w:r>
      <w:r>
        <w:rPr>
          <w:rFonts w:hint="eastAsia" w:ascii="仿宋_GB2312" w:hAnsi="仿宋" w:eastAsia="仿宋_GB2312"/>
          <w:b w:val="0"/>
          <w:bCs/>
          <w:color w:val="000000"/>
          <w:sz w:val="32"/>
          <w:szCs w:val="32"/>
        </w:rPr>
        <w:t>好县委县政府的桥梁纽带作用。</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right="0" w:rightChars="0" w:firstLine="3840" w:firstLineChars="1200"/>
        <w:jc w:val="left"/>
        <w:textAlignment w:val="auto"/>
        <w:rPr>
          <w:rFonts w:hint="eastAsia" w:ascii="仿宋_GB2312" w:hAnsi="仿宋" w:eastAsia="仿宋_GB2312"/>
          <w:color w:val="000000"/>
          <w:kern w:val="0"/>
          <w:sz w:val="32"/>
          <w:szCs w:val="32"/>
        </w:rPr>
      </w:pPr>
    </w:p>
    <w:p>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pPr>
        <w:widowControl/>
        <w:numPr>
          <w:ilvl w:val="0"/>
          <w:numId w:val="0"/>
        </w:numPr>
        <w:adjustRightInd w:val="0"/>
        <w:snapToGrid w:val="0"/>
        <w:spacing w:line="580" w:lineRule="exact"/>
        <w:ind w:firstLine="640" w:firstLineChars="200"/>
        <w:jc w:val="left"/>
        <w:rPr>
          <w:rFonts w:hint="eastAsia" w:ascii="仿宋" w:hAnsi="仿宋" w:eastAsia="仿宋" w:cs="仿宋"/>
          <w:color w:val="000000"/>
          <w:kern w:val="0"/>
          <w:sz w:val="32"/>
          <w:szCs w:val="32"/>
          <w:shd w:val="clear" w:color="auto" w:fill="FFFFFF"/>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color w:val="000000"/>
          <w:kern w:val="0"/>
          <w:sz w:val="32"/>
          <w:szCs w:val="32"/>
          <w:shd w:val="clear" w:color="auto" w:fill="FFFFFF"/>
          <w:lang w:val="zh-CN"/>
        </w:rPr>
        <w:t>县总工会单位总编制</w:t>
      </w:r>
      <w:r>
        <w:rPr>
          <w:rFonts w:hint="eastAsia" w:ascii="仿宋" w:hAnsi="仿宋" w:eastAsia="仿宋" w:cs="仿宋"/>
          <w:color w:val="000000"/>
          <w:kern w:val="0"/>
          <w:sz w:val="32"/>
          <w:szCs w:val="32"/>
          <w:shd w:val="clear" w:color="auto" w:fill="FFFFFF"/>
          <w:lang w:val="en-US" w:eastAsia="zh-CN"/>
        </w:rPr>
        <w:t>5</w:t>
      </w:r>
      <w:r>
        <w:rPr>
          <w:rFonts w:hint="eastAsia" w:ascii="仿宋" w:hAnsi="仿宋" w:eastAsia="仿宋" w:cs="仿宋"/>
          <w:color w:val="000000"/>
          <w:kern w:val="0"/>
          <w:sz w:val="32"/>
          <w:szCs w:val="32"/>
          <w:shd w:val="clear" w:color="auto" w:fill="FFFFFF"/>
          <w:lang w:val="zh-CN"/>
        </w:rPr>
        <w:t>名，其中：行政编制</w:t>
      </w:r>
      <w:r>
        <w:rPr>
          <w:rFonts w:hint="eastAsia" w:ascii="仿宋" w:hAnsi="仿宋" w:eastAsia="仿宋" w:cs="仿宋"/>
          <w:color w:val="000000"/>
          <w:kern w:val="0"/>
          <w:sz w:val="32"/>
          <w:szCs w:val="32"/>
          <w:shd w:val="clear" w:color="auto" w:fill="FFFFFF"/>
          <w:lang w:val="en-US" w:eastAsia="zh-CN"/>
        </w:rPr>
        <w:t>4</w:t>
      </w:r>
      <w:r>
        <w:rPr>
          <w:rFonts w:hint="eastAsia" w:ascii="仿宋" w:hAnsi="仿宋" w:eastAsia="仿宋" w:cs="仿宋"/>
          <w:color w:val="000000"/>
          <w:kern w:val="0"/>
          <w:sz w:val="32"/>
          <w:szCs w:val="32"/>
          <w:shd w:val="clear" w:color="auto" w:fill="FFFFFF"/>
          <w:lang w:val="zh-CN"/>
        </w:rPr>
        <w:t>名，工勤1名。在职人员总数</w:t>
      </w:r>
      <w:r>
        <w:rPr>
          <w:rFonts w:hint="eastAsia" w:ascii="仿宋" w:hAnsi="仿宋" w:eastAsia="仿宋" w:cs="仿宋"/>
          <w:color w:val="000000"/>
          <w:kern w:val="0"/>
          <w:sz w:val="32"/>
          <w:szCs w:val="32"/>
          <w:shd w:val="clear" w:color="auto" w:fill="FFFFFF"/>
          <w:lang w:val="en-US" w:eastAsia="zh-CN"/>
        </w:rPr>
        <w:t>6</w:t>
      </w:r>
      <w:r>
        <w:rPr>
          <w:rFonts w:hint="eastAsia" w:ascii="仿宋" w:hAnsi="仿宋" w:eastAsia="仿宋" w:cs="仿宋"/>
          <w:color w:val="000000"/>
          <w:kern w:val="0"/>
          <w:sz w:val="32"/>
          <w:szCs w:val="32"/>
          <w:shd w:val="clear" w:color="auto" w:fill="FFFFFF"/>
          <w:lang w:val="zh-CN"/>
        </w:rPr>
        <w:t>人，（其中：行政人员</w:t>
      </w:r>
      <w:r>
        <w:rPr>
          <w:rFonts w:hint="eastAsia" w:ascii="仿宋" w:hAnsi="仿宋" w:eastAsia="仿宋" w:cs="仿宋"/>
          <w:color w:val="000000"/>
          <w:kern w:val="0"/>
          <w:sz w:val="32"/>
          <w:szCs w:val="32"/>
          <w:shd w:val="clear" w:color="auto" w:fill="FFFFFF"/>
          <w:lang w:val="en-US" w:eastAsia="zh-CN"/>
        </w:rPr>
        <w:t>5</w:t>
      </w:r>
      <w:r>
        <w:rPr>
          <w:rFonts w:hint="eastAsia" w:ascii="仿宋" w:hAnsi="仿宋" w:eastAsia="仿宋" w:cs="仿宋"/>
          <w:color w:val="000000"/>
          <w:kern w:val="0"/>
          <w:sz w:val="32"/>
          <w:szCs w:val="32"/>
          <w:shd w:val="clear" w:color="auto" w:fill="FFFFFF"/>
          <w:lang w:val="zh-CN"/>
        </w:rPr>
        <w:t>人，行政工勤1人），退休人员</w:t>
      </w:r>
      <w:r>
        <w:rPr>
          <w:rFonts w:hint="eastAsia" w:ascii="仿宋" w:hAnsi="仿宋" w:eastAsia="仿宋" w:cs="仿宋"/>
          <w:color w:val="000000"/>
          <w:kern w:val="0"/>
          <w:sz w:val="32"/>
          <w:szCs w:val="32"/>
          <w:shd w:val="clear" w:color="auto" w:fill="FFFFFF"/>
          <w:lang w:val="en-US" w:eastAsia="zh-CN"/>
        </w:rPr>
        <w:t>1</w:t>
      </w:r>
      <w:r>
        <w:rPr>
          <w:rFonts w:hint="eastAsia" w:ascii="仿宋" w:hAnsi="仿宋" w:eastAsia="仿宋" w:cs="仿宋"/>
          <w:color w:val="000000"/>
          <w:kern w:val="0"/>
          <w:sz w:val="32"/>
          <w:szCs w:val="32"/>
          <w:shd w:val="clear" w:color="auto" w:fill="FFFFFF"/>
          <w:lang w:val="zh-CN"/>
        </w:rPr>
        <w:t>人，抚养人员</w:t>
      </w:r>
      <w:r>
        <w:rPr>
          <w:rFonts w:hint="eastAsia" w:ascii="仿宋" w:hAnsi="仿宋" w:eastAsia="仿宋" w:cs="仿宋"/>
          <w:color w:val="000000"/>
          <w:kern w:val="0"/>
          <w:sz w:val="32"/>
          <w:szCs w:val="32"/>
          <w:shd w:val="clear" w:color="auto" w:fill="FFFFFF"/>
          <w:lang w:val="en-US" w:eastAsia="zh-CN"/>
        </w:rPr>
        <w:t>1人。</w:t>
      </w:r>
    </w:p>
    <w:p>
      <w:pPr>
        <w:pStyle w:val="2"/>
        <w:numPr>
          <w:ilvl w:val="0"/>
          <w:numId w:val="0"/>
        </w:numPr>
        <w:ind w:leftChars="200"/>
        <w:rPr>
          <w:rFonts w:hint="eastAsia" w:eastAsia="宋体"/>
          <w:lang w:val="en-US" w:eastAsia="zh-CN"/>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widowControl/>
        <w:adjustRightInd w:val="0"/>
        <w:snapToGrid w:val="0"/>
        <w:spacing w:line="580" w:lineRule="exact"/>
        <w:ind w:firstLine="640" w:firstLineChars="200"/>
        <w:jc w:val="left"/>
        <w:rPr>
          <w:rFonts w:hint="eastAsia" w:ascii="仿宋" w:hAnsi="仿宋" w:eastAsia="仿宋" w:cs="仿宋"/>
          <w:color w:val="000000"/>
          <w:kern w:val="0"/>
          <w:sz w:val="32"/>
          <w:szCs w:val="32"/>
          <w:shd w:val="clear" w:color="auto" w:fill="FFFFFF"/>
          <w:lang w:val="en-US" w:eastAsia="zh-CN"/>
        </w:rPr>
      </w:pPr>
      <w:r>
        <w:rPr>
          <w:rFonts w:hint="eastAsia" w:ascii="仿宋" w:hAnsi="仿宋" w:eastAsia="仿宋" w:cs="仿宋"/>
          <w:color w:val="000000"/>
          <w:kern w:val="0"/>
          <w:sz w:val="32"/>
          <w:szCs w:val="32"/>
          <w:shd w:val="clear" w:color="auto" w:fill="FFFFFF"/>
          <w:lang w:val="en-US" w:eastAsia="zh-CN"/>
        </w:rPr>
        <w:t>2022年，我会财政预算拨款总收入374.31万元，其中：本年预算收入151.09万元，存量资金223.22万元。</w:t>
      </w:r>
    </w:p>
    <w:p>
      <w:pPr>
        <w:pStyle w:val="2"/>
        <w:rPr>
          <w:rFonts w:hint="eastAsia" w:ascii="仿宋" w:hAnsi="仿宋" w:eastAsia="仿宋" w:cs="仿宋"/>
          <w:sz w:val="32"/>
          <w:szCs w:val="32"/>
        </w:rPr>
      </w:pPr>
    </w:p>
    <w:p>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pStyle w:val="2"/>
        <w:numPr>
          <w:ilvl w:val="0"/>
          <w:numId w:val="0"/>
        </w:numPr>
        <w:ind w:left="640" w:left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color w:val="000000"/>
          <w:kern w:val="0"/>
          <w:sz w:val="32"/>
          <w:szCs w:val="32"/>
          <w:shd w:val="clear" w:color="auto" w:fill="FFFFFF"/>
          <w:lang w:val="en-US" w:eastAsia="zh-CN"/>
        </w:rPr>
        <w:t>2022年，我会财政预算拨款总支出374.31万元，其中：群众团体事务支出340.95万元，占总支出的91.09%，社会保障和就业支出17.03万元，占总支出的4.55%，卫生健康支出6.57万元，占总支出的1.76%，住房保障支出9.74万元，占总支出的2.60%。</w:t>
      </w:r>
    </w:p>
    <w:p>
      <w:pPr>
        <w:numPr>
          <w:ilvl w:val="0"/>
          <w:numId w:val="3"/>
        </w:num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部门整体预算绩效管理情况</w:t>
      </w:r>
    </w:p>
    <w:p>
      <w:pPr>
        <w:numPr>
          <w:ilvl w:val="0"/>
          <w:numId w:val="0"/>
        </w:num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widowControl/>
        <w:adjustRightInd w:val="0"/>
        <w:snapToGrid w:val="0"/>
        <w:spacing w:line="580" w:lineRule="exact"/>
        <w:ind w:firstLine="640" w:firstLineChars="200"/>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为确保部门工作的正常运转，完成各项工作任务，县总工会预算编制严格按照《中华人民共和国预算法》</w:t>
      </w:r>
      <w:bookmarkStart w:id="1" w:name="_GoBack"/>
      <w:bookmarkEnd w:id="1"/>
      <w:r>
        <w:rPr>
          <w:rFonts w:hint="eastAsia" w:ascii="仿宋" w:hAnsi="仿宋" w:eastAsia="仿宋" w:cs="仿宋"/>
          <w:color w:val="000000"/>
          <w:kern w:val="0"/>
          <w:sz w:val="32"/>
          <w:szCs w:val="32"/>
          <w:shd w:val="clear" w:color="auto" w:fill="FFFFFF"/>
          <w:lang w:val="zh-CN"/>
        </w:rPr>
        <w:t>编制，编制较为及时，准确，确保预算编制的全面性和科学性。按照县级财政部门的部署，结合总工会部门实际情况，及时编制了</w:t>
      </w:r>
      <w:r>
        <w:rPr>
          <w:rFonts w:hint="eastAsia" w:ascii="仿宋" w:hAnsi="仿宋" w:eastAsia="仿宋" w:cs="仿宋"/>
          <w:color w:val="000000"/>
          <w:kern w:val="0"/>
          <w:sz w:val="32"/>
          <w:szCs w:val="32"/>
          <w:shd w:val="clear" w:color="auto" w:fill="FFFFFF"/>
          <w:lang w:val="en-US" w:eastAsia="zh-CN"/>
        </w:rPr>
        <w:t>2022年</w:t>
      </w:r>
      <w:r>
        <w:rPr>
          <w:rFonts w:hint="eastAsia" w:ascii="仿宋" w:hAnsi="仿宋" w:eastAsia="仿宋" w:cs="仿宋"/>
          <w:color w:val="000000"/>
          <w:kern w:val="0"/>
          <w:sz w:val="32"/>
          <w:szCs w:val="32"/>
          <w:shd w:val="clear" w:color="auto" w:fill="FFFFFF"/>
          <w:lang w:val="zh-CN"/>
        </w:rPr>
        <w:t>部门预算，坚持公开透明，提高预算透明度，促进部门发展稳定为重点，以提高公共服务水平为目标，以绩效评价结果为导向，以制度、机制建设为保障的“务实、规范、高效”的预算管理机制，按照财务部门的要求及时报送部门的各类财务报表。</w:t>
      </w: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2022年新春慰问活动经费专项</w:t>
      </w:r>
      <w:r>
        <w:rPr>
          <w:rFonts w:hint="eastAsia" w:ascii="仿宋_GB2312" w:hAnsi="仿宋" w:eastAsia="仿宋_GB2312" w:cs="仿宋_GB2312"/>
          <w:sz w:val="32"/>
          <w:szCs w:val="32"/>
        </w:rPr>
        <w:t>预算项目程序严密、规划合理、结果符合</w:t>
      </w:r>
      <w:r>
        <w:rPr>
          <w:rFonts w:hint="eastAsia" w:ascii="仿宋_GB2312" w:hAnsi="仿宋" w:eastAsia="仿宋_GB2312" w:cs="仿宋_GB2312"/>
          <w:sz w:val="32"/>
          <w:szCs w:val="32"/>
          <w:lang w:eastAsia="zh-CN"/>
        </w:rPr>
        <w:t>慰问活动胡要求</w:t>
      </w:r>
      <w:r>
        <w:rPr>
          <w:rFonts w:hint="eastAsia" w:ascii="仿宋_GB2312" w:hAnsi="仿宋" w:eastAsia="仿宋_GB2312" w:cs="仿宋_GB2312"/>
          <w:sz w:val="32"/>
          <w:szCs w:val="32"/>
        </w:rPr>
        <w:t>、分配科学、分配及时、专项预算绩效目标</w:t>
      </w:r>
      <w:r>
        <w:rPr>
          <w:rFonts w:hint="eastAsia" w:ascii="仿宋_GB2312" w:hAnsi="仿宋" w:eastAsia="仿宋_GB2312" w:cs="仿宋_GB2312"/>
          <w:sz w:val="32"/>
          <w:szCs w:val="32"/>
          <w:lang w:eastAsia="zh-CN"/>
        </w:rPr>
        <w:t>按照慰问时间及时</w:t>
      </w:r>
      <w:r>
        <w:rPr>
          <w:rFonts w:hint="eastAsia" w:ascii="仿宋_GB2312" w:hAnsi="仿宋" w:eastAsia="仿宋_GB2312" w:cs="仿宋_GB2312"/>
          <w:sz w:val="32"/>
          <w:szCs w:val="32"/>
        </w:rPr>
        <w:t>完成、</w:t>
      </w:r>
      <w:r>
        <w:rPr>
          <w:rFonts w:hint="eastAsia" w:ascii="仿宋_GB2312" w:hAnsi="仿宋" w:eastAsia="仿宋_GB2312" w:cs="仿宋_GB2312"/>
          <w:sz w:val="32"/>
          <w:szCs w:val="32"/>
          <w:lang w:eastAsia="zh-CN"/>
        </w:rPr>
        <w:t>达到了慰问的预期</w:t>
      </w:r>
      <w:r>
        <w:rPr>
          <w:rFonts w:hint="eastAsia" w:ascii="仿宋_GB2312" w:hAnsi="仿宋" w:eastAsia="仿宋_GB2312" w:cs="仿宋_GB2312"/>
          <w:sz w:val="32"/>
          <w:szCs w:val="32"/>
        </w:rPr>
        <w:t>、</w:t>
      </w:r>
      <w:r>
        <w:rPr>
          <w:rFonts w:hint="eastAsia" w:ascii="仿宋_GB2312" w:hAnsi="仿宋" w:eastAsia="仿宋_GB2312" w:cs="仿宋_GB2312"/>
          <w:sz w:val="32"/>
          <w:szCs w:val="32"/>
          <w:lang w:eastAsia="zh-CN"/>
        </w:rPr>
        <w:t>无</w:t>
      </w:r>
      <w:r>
        <w:rPr>
          <w:rFonts w:hint="eastAsia" w:ascii="仿宋_GB2312" w:hAnsi="仿宋" w:eastAsia="仿宋_GB2312" w:cs="仿宋_GB2312"/>
          <w:sz w:val="32"/>
          <w:szCs w:val="32"/>
        </w:rPr>
        <w:t>违规记录</w:t>
      </w:r>
      <w:r>
        <w:rPr>
          <w:rFonts w:hint="eastAsia" w:ascii="仿宋_GB2312" w:hAnsi="仿宋" w:eastAsia="仿宋_GB2312" w:cs="仿宋_GB2312"/>
          <w:sz w:val="32"/>
          <w:szCs w:val="32"/>
          <w:lang w:eastAsia="zh-CN"/>
        </w:rPr>
        <w:t>（专项整体绩效自评见附件）</w:t>
      </w:r>
      <w:r>
        <w:rPr>
          <w:rFonts w:hint="eastAsia" w:ascii="仿宋_GB2312" w:hAnsi="仿宋" w:eastAsia="仿宋_GB2312" w:cs="仿宋_GB2312"/>
          <w:sz w:val="32"/>
          <w:szCs w:val="32"/>
        </w:rPr>
        <w:t>。</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widowControl/>
        <w:numPr>
          <w:ilvl w:val="0"/>
          <w:numId w:val="0"/>
        </w:numPr>
        <w:adjustRightInd w:val="0"/>
        <w:snapToGrid w:val="0"/>
        <w:spacing w:line="580" w:lineRule="exact"/>
        <w:ind w:firstLine="640" w:firstLineChars="200"/>
        <w:jc w:val="left"/>
        <w:rPr>
          <w:rFonts w:hint="eastAsia" w:ascii="仿宋_GB2312" w:cs="仿宋_GB2312"/>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从总体情况来看，本部门履职及履职效益情况良好。一是各项支出严格按照预算额度进行控制、节约经费，支出预算控制较好，在经费有限的情况下，实现了量入为出，保证重点，基本经费没有突破预算；二是“三公”经费厉行节约缩减开支，实现了“三公经费”的开支不超标、不超预算；三是圆满完成年初设定的绩效目标，保障了单位各项工作的开展，充分发挥了财政资金的经济效益和社会效益，部门整体支出使用效果达到预期。根据20</w:t>
      </w:r>
      <w:r>
        <w:rPr>
          <w:rFonts w:hint="eastAsia" w:ascii="仿宋" w:hAnsi="仿宋" w:eastAsia="仿宋" w:cs="仿宋"/>
          <w:color w:val="000000"/>
          <w:kern w:val="0"/>
          <w:sz w:val="32"/>
          <w:szCs w:val="32"/>
          <w:shd w:val="clear" w:color="auto" w:fill="FFFFFF"/>
          <w:lang w:val="en-US" w:eastAsia="zh-CN"/>
        </w:rPr>
        <w:t>22</w:t>
      </w:r>
      <w:r>
        <w:rPr>
          <w:rFonts w:hint="eastAsia" w:ascii="仿宋" w:hAnsi="仿宋" w:eastAsia="仿宋" w:cs="仿宋"/>
          <w:color w:val="000000"/>
          <w:kern w:val="0"/>
          <w:sz w:val="32"/>
          <w:szCs w:val="32"/>
          <w:shd w:val="clear" w:color="auto" w:fill="FFFFFF"/>
          <w:lang w:val="zh-CN"/>
        </w:rPr>
        <w:t>年度工作完成情况、部门整体绩效评价指标要求分析，并对整体绩效进行打分评价；整体绩效评价得分</w:t>
      </w:r>
      <w:r>
        <w:rPr>
          <w:rFonts w:hint="eastAsia" w:ascii="仿宋" w:hAnsi="仿宋" w:eastAsia="仿宋" w:cs="仿宋"/>
          <w:color w:val="000000"/>
          <w:kern w:val="0"/>
          <w:sz w:val="32"/>
          <w:szCs w:val="32"/>
          <w:shd w:val="clear" w:color="auto" w:fill="FFFFFF"/>
          <w:lang w:val="en-US" w:eastAsia="zh-CN"/>
        </w:rPr>
        <w:t>95分，</w:t>
      </w:r>
      <w:r>
        <w:rPr>
          <w:rFonts w:hint="eastAsia" w:ascii="仿宋" w:hAnsi="仿宋" w:eastAsia="仿宋" w:cs="仿宋"/>
          <w:color w:val="000000"/>
          <w:kern w:val="0"/>
          <w:sz w:val="32"/>
          <w:szCs w:val="32"/>
          <w:shd w:val="clear" w:color="auto" w:fill="FFFFFF"/>
          <w:lang w:val="zh-CN"/>
        </w:rPr>
        <w:t>整体支出绩效自评效</w:t>
      </w:r>
      <w:r>
        <w:rPr>
          <w:rFonts w:hint="eastAsia" w:ascii="仿宋_GB2312" w:cs="仿宋_GB2312"/>
          <w:color w:val="000000"/>
          <w:kern w:val="0"/>
          <w:sz w:val="32"/>
          <w:szCs w:val="32"/>
          <w:shd w:val="clear" w:color="auto" w:fill="FFFFFF"/>
          <w:lang w:val="zh-CN"/>
        </w:rPr>
        <w:t>果良好。</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widowControl/>
        <w:numPr>
          <w:ilvl w:val="0"/>
          <w:numId w:val="0"/>
        </w:numPr>
        <w:adjustRightInd w:val="0"/>
        <w:snapToGrid w:val="0"/>
        <w:spacing w:line="580" w:lineRule="exact"/>
        <w:ind w:firstLine="640" w:firstLineChars="200"/>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从自评情况来看，总工会部门支出绩效水平</w:t>
      </w:r>
      <w:r>
        <w:rPr>
          <w:rFonts w:hint="eastAsia" w:ascii="仿宋" w:hAnsi="仿宋" w:eastAsia="仿宋" w:cs="仿宋"/>
          <w:color w:val="000000"/>
          <w:kern w:val="0"/>
          <w:sz w:val="32"/>
          <w:szCs w:val="32"/>
          <w:shd w:val="clear" w:color="auto" w:fill="FFFFFF"/>
          <w:lang w:val="zh-CN" w:eastAsia="zh-CN"/>
        </w:rPr>
        <w:t>有所提</w:t>
      </w:r>
      <w:r>
        <w:rPr>
          <w:rFonts w:hint="eastAsia" w:ascii="仿宋" w:hAnsi="仿宋" w:eastAsia="仿宋" w:cs="仿宋"/>
          <w:color w:val="000000"/>
          <w:kern w:val="0"/>
          <w:sz w:val="32"/>
          <w:szCs w:val="32"/>
          <w:shd w:val="clear" w:color="auto" w:fill="FFFFFF"/>
          <w:lang w:val="zh-CN"/>
        </w:rPr>
        <w:t>高，整体上完成了年初设定的绩效目标，保障了总工会工作的正常运转，促进了黑水工运事业发展，充分发挥了财政资金的经济效益和社会效益。</w:t>
      </w:r>
    </w:p>
    <w:p>
      <w:pPr>
        <w:pStyle w:val="2"/>
      </w:pPr>
    </w:p>
    <w:p>
      <w:pPr>
        <w:numPr>
          <w:ilvl w:val="0"/>
          <w:numId w:val="4"/>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pPr>
        <w:widowControl/>
        <w:numPr>
          <w:ilvl w:val="0"/>
          <w:numId w:val="0"/>
        </w:numPr>
        <w:adjustRightInd w:val="0"/>
        <w:snapToGrid w:val="0"/>
        <w:spacing w:line="580" w:lineRule="exact"/>
        <w:ind w:firstLine="640" w:firstLineChars="200"/>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从绩效评价看，部门支出预算和绩效评价工作还存在部分项目无法用量化指标来进行考评。部门</w:t>
      </w:r>
      <w:r>
        <w:rPr>
          <w:rFonts w:hint="eastAsia" w:ascii="仿宋" w:hAnsi="仿宋" w:eastAsia="仿宋" w:cs="仿宋"/>
          <w:sz w:val="32"/>
          <w:szCs w:val="32"/>
          <w:lang w:val="en-US" w:eastAsia="zh-CN"/>
        </w:rPr>
        <w:t>预算编制中的目标管理还有待加强，内控制度有待进一步建立健全。</w:t>
      </w:r>
    </w:p>
    <w:p>
      <w:pPr>
        <w:pStyle w:val="2"/>
        <w:numPr>
          <w:ilvl w:val="0"/>
          <w:numId w:val="0"/>
        </w:numPr>
        <w:ind w:leftChars="200"/>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pPr>
        <w:widowControl/>
        <w:numPr>
          <w:ilvl w:val="0"/>
          <w:numId w:val="0"/>
        </w:numPr>
        <w:adjustRightInd w:val="0"/>
        <w:snapToGrid w:val="0"/>
        <w:spacing w:line="580" w:lineRule="exact"/>
        <w:ind w:firstLine="640" w:firstLineChars="200"/>
        <w:jc w:val="left"/>
        <w:rPr>
          <w:rFonts w:hint="eastAsia" w:ascii="仿宋_GB2312" w:cs="仿宋_GB2312"/>
          <w:color w:val="000000"/>
          <w:kern w:val="0"/>
          <w:shd w:val="clear" w:color="auto" w:fill="FFFFFF"/>
          <w:lang w:val="zh-CN"/>
        </w:rPr>
      </w:pPr>
      <w:r>
        <w:rPr>
          <w:rFonts w:hint="eastAsia" w:ascii="仿宋" w:hAnsi="仿宋" w:eastAsia="仿宋" w:cs="仿宋"/>
          <w:color w:val="000000"/>
          <w:kern w:val="0"/>
          <w:sz w:val="32"/>
          <w:szCs w:val="32"/>
          <w:shd w:val="clear" w:color="auto" w:fill="FFFFFF"/>
          <w:lang w:val="zh-CN"/>
        </w:rPr>
        <w:t>改进建议：进一步强化绩效评价工作，加强绩效评价制度和流程建设，完善绩效管理体系，强化财务管理制度及内部控制制度，创新管理手段，继续抓好“三公经费”控制管理，合理压缩“三公经费”支出，规范财务核算，有效降低行政成本，提高财政资金使用效率。</w:t>
      </w: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D35C12"/>
    <w:multiLevelType w:val="singleLevel"/>
    <w:tmpl w:val="8CD35C12"/>
    <w:lvl w:ilvl="0" w:tentative="0">
      <w:start w:val="2"/>
      <w:numFmt w:val="chineseCounting"/>
      <w:suff w:val="nothing"/>
      <w:lvlText w:val="（%1）"/>
      <w:lvlJc w:val="left"/>
      <w:rPr>
        <w:rFonts w:hint="eastAsia"/>
      </w:rPr>
    </w:lvl>
  </w:abstractNum>
  <w:abstractNum w:abstractNumId="1">
    <w:nsid w:val="BEED44D6"/>
    <w:multiLevelType w:val="singleLevel"/>
    <w:tmpl w:val="BEED44D6"/>
    <w:lvl w:ilvl="0" w:tentative="0">
      <w:start w:val="2"/>
      <w:numFmt w:val="chineseCounting"/>
      <w:suff w:val="nothing"/>
      <w:lvlText w:val="（%1）"/>
      <w:lvlJc w:val="left"/>
      <w:rPr>
        <w:rFonts w:hint="eastAsia"/>
      </w:rPr>
    </w:lvl>
  </w:abstractNum>
  <w:abstractNum w:abstractNumId="2">
    <w:nsid w:val="DAD37EAC"/>
    <w:multiLevelType w:val="singleLevel"/>
    <w:tmpl w:val="DAD37EAC"/>
    <w:lvl w:ilvl="0" w:tentative="0">
      <w:start w:val="2"/>
      <w:numFmt w:val="chineseCounting"/>
      <w:suff w:val="nothing"/>
      <w:lvlText w:val="（%1）"/>
      <w:lvlJc w:val="left"/>
      <w:rPr>
        <w:rFonts w:hint="eastAsia"/>
      </w:rPr>
    </w:lvl>
  </w:abstractNum>
  <w:abstractNum w:abstractNumId="3">
    <w:nsid w:val="6E53DDFC"/>
    <w:multiLevelType w:val="singleLevel"/>
    <w:tmpl w:val="6E53DDFC"/>
    <w:lvl w:ilvl="0" w:tentative="0">
      <w:start w:val="3"/>
      <w:numFmt w:val="chineseCounting"/>
      <w:suff w:val="nothing"/>
      <w:lvlText w:val="%1、"/>
      <w:lvlJc w:val="left"/>
      <w:rPr>
        <w:rFonts w:hint="eastAsi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NiYzk3YzJmZWIwYTg3MWQwNjQwMWFhNGZlZjI4YzIifQ=="/>
  </w:docVars>
  <w:rsids>
    <w:rsidRoot w:val="00491B22"/>
    <w:rsid w:val="00291808"/>
    <w:rsid w:val="00491B22"/>
    <w:rsid w:val="0052390C"/>
    <w:rsid w:val="007A1658"/>
    <w:rsid w:val="0317318F"/>
    <w:rsid w:val="07DE24CD"/>
    <w:rsid w:val="098C4B92"/>
    <w:rsid w:val="0BEA3B66"/>
    <w:rsid w:val="0D132D63"/>
    <w:rsid w:val="0D6C5618"/>
    <w:rsid w:val="0DA73361"/>
    <w:rsid w:val="0DAB2E51"/>
    <w:rsid w:val="15A97B6B"/>
    <w:rsid w:val="16F969DB"/>
    <w:rsid w:val="181A12FF"/>
    <w:rsid w:val="1D385D84"/>
    <w:rsid w:val="1D4D7A81"/>
    <w:rsid w:val="1EB4768C"/>
    <w:rsid w:val="1EDA17E8"/>
    <w:rsid w:val="1F2E5690"/>
    <w:rsid w:val="20953E44"/>
    <w:rsid w:val="24F108AD"/>
    <w:rsid w:val="25257535"/>
    <w:rsid w:val="261075A7"/>
    <w:rsid w:val="268C786C"/>
    <w:rsid w:val="27983FEE"/>
    <w:rsid w:val="27E234BC"/>
    <w:rsid w:val="2D2B1461"/>
    <w:rsid w:val="34EB1F43"/>
    <w:rsid w:val="36435EC2"/>
    <w:rsid w:val="368F7018"/>
    <w:rsid w:val="3B2E599A"/>
    <w:rsid w:val="3BC136BC"/>
    <w:rsid w:val="3D3A210D"/>
    <w:rsid w:val="3DB63E29"/>
    <w:rsid w:val="3F3F1C78"/>
    <w:rsid w:val="3FF83E07"/>
    <w:rsid w:val="43282273"/>
    <w:rsid w:val="499F2B63"/>
    <w:rsid w:val="4A4060F4"/>
    <w:rsid w:val="4A91694F"/>
    <w:rsid w:val="4A993A56"/>
    <w:rsid w:val="4B936091"/>
    <w:rsid w:val="4B983D0E"/>
    <w:rsid w:val="4BCB5E91"/>
    <w:rsid w:val="4FCB46B2"/>
    <w:rsid w:val="50C01D3C"/>
    <w:rsid w:val="53F00B8B"/>
    <w:rsid w:val="585C67EF"/>
    <w:rsid w:val="597C6A1D"/>
    <w:rsid w:val="59D86349"/>
    <w:rsid w:val="5AEB5C08"/>
    <w:rsid w:val="5BE014E5"/>
    <w:rsid w:val="60067FDB"/>
    <w:rsid w:val="60D032A5"/>
    <w:rsid w:val="6129748A"/>
    <w:rsid w:val="625422E5"/>
    <w:rsid w:val="63D70ECA"/>
    <w:rsid w:val="65711400"/>
    <w:rsid w:val="6C044D7B"/>
    <w:rsid w:val="6DB66549"/>
    <w:rsid w:val="6F0F4163"/>
    <w:rsid w:val="6FBE0304"/>
    <w:rsid w:val="70795447"/>
    <w:rsid w:val="707F0E75"/>
    <w:rsid w:val="70A266F9"/>
    <w:rsid w:val="714A76D4"/>
    <w:rsid w:val="719E357C"/>
    <w:rsid w:val="71E01DE7"/>
    <w:rsid w:val="73A17354"/>
    <w:rsid w:val="754D1541"/>
    <w:rsid w:val="76796366"/>
    <w:rsid w:val="77D00208"/>
    <w:rsid w:val="79C10DD1"/>
    <w:rsid w:val="7C9B7036"/>
    <w:rsid w:val="7CA0464C"/>
    <w:rsid w:val="7CCA1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widowControl w:val="0"/>
      <w:adjustRightInd/>
      <w:snapToGrid/>
      <w:spacing w:after="0"/>
      <w:ind w:left="400" w:leftChars="200" w:hanging="200" w:hangingChars="200"/>
      <w:jc w:val="both"/>
    </w:pPr>
    <w:rPr>
      <w:rFonts w:ascii="Calibri" w:hAnsi="Calibri" w:eastAsia="宋体" w:cs="宋体"/>
      <w:kern w:val="2"/>
      <w:sz w:val="21"/>
    </w:rPr>
  </w:style>
  <w:style w:type="paragraph" w:styleId="3">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Pages>
  <Words>53</Words>
  <Characters>307</Characters>
  <Lines>2</Lines>
  <Paragraphs>1</Paragraphs>
  <TotalTime>2</TotalTime>
  <ScaleCrop>false</ScaleCrop>
  <LinksUpToDate>false</LinksUpToDate>
  <CharactersWithSpaces>359</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2023-10-06T17:33:12Z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60E1B351D304427E8362D3EB24E64DDD_12</vt:lpwstr>
  </property>
</Properties>
</file>