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2024年工会经费项目支出绩效评价报告</w:t>
      </w:r>
    </w:p>
    <w:p>
      <w:pPr>
        <w:spacing w:line="580" w:lineRule="exact"/>
        <w:ind w:firstLine="640" w:firstLineChars="200"/>
        <w:rPr>
          <w:rFonts w:ascii="仿宋_GB2312" w:hAnsi="仿宋_GB2312" w:eastAsia="仿宋_GB2312" w:cs="仿宋_GB2312"/>
          <w:sz w:val="32"/>
          <w:szCs w:val="32"/>
        </w:rPr>
      </w:pP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pPr>
        <w:widowControl/>
        <w:adjustRightInd w:val="0"/>
        <w:snapToGrid w:val="0"/>
        <w:spacing w:line="578" w:lineRule="exact"/>
        <w:ind w:firstLine="602" w:firstLineChars="200"/>
        <w:contextualSpacing/>
        <w:jc w:val="left"/>
        <w:rPr>
          <w:rFonts w:ascii="仿宋" w:hAnsi="仿宋" w:eastAsia="仿宋" w:cs="仿宋"/>
          <w:b/>
          <w:sz w:val="30"/>
          <w:szCs w:val="30"/>
          <w:lang w:val="zh-CN"/>
        </w:rPr>
      </w:pPr>
      <w:r>
        <w:rPr>
          <w:rFonts w:hint="eastAsia" w:ascii="仿宋" w:hAnsi="仿宋" w:eastAsia="仿宋" w:cs="仿宋"/>
          <w:b/>
          <w:sz w:val="30"/>
          <w:szCs w:val="30"/>
          <w:lang w:val="zh-CN"/>
        </w:rPr>
        <w:t>（一）设立背景及基本情况。</w:t>
      </w:r>
    </w:p>
    <w:p>
      <w:pPr>
        <w:ind w:firstLine="600" w:firstLineChars="200"/>
        <w:rPr>
          <w:rFonts w:ascii="仿宋" w:hAnsi="仿宋" w:eastAsia="仿宋" w:cs="仿宋"/>
          <w:sz w:val="30"/>
          <w:szCs w:val="30"/>
        </w:rPr>
      </w:pPr>
      <w:r>
        <w:rPr>
          <w:rFonts w:hint="eastAsia" w:ascii="仿宋" w:hAnsi="仿宋" w:eastAsia="仿宋" w:cs="仿宋"/>
          <w:sz w:val="30"/>
          <w:szCs w:val="30"/>
        </w:rPr>
        <w:t>为有序开展我县工会工作，进一步发挥工会组织作用，丰富职工业余生活,保障职工权益,关心职工身心健康,落实工会的关怀政策，增强工会组织凝聚力,提高工会工作协助能力。</w:t>
      </w:r>
    </w:p>
    <w:p>
      <w:pPr>
        <w:pStyle w:val="6"/>
        <w:ind w:left="0" w:leftChars="0" w:firstLine="0" w:firstLineChars="0"/>
        <w:rPr>
          <w:rFonts w:ascii="仿宋" w:hAnsi="仿宋" w:eastAsia="仿宋" w:cs="仿宋"/>
          <w:sz w:val="30"/>
          <w:szCs w:val="30"/>
          <w:lang w:val="zh-CN"/>
        </w:rPr>
      </w:pPr>
    </w:p>
    <w:p>
      <w:pPr>
        <w:numPr>
          <w:ilvl w:val="0"/>
          <w:numId w:val="1"/>
        </w:numPr>
        <w:adjustRightInd w:val="0"/>
        <w:snapToGrid w:val="0"/>
        <w:spacing w:line="578" w:lineRule="exact"/>
        <w:ind w:firstLine="602" w:firstLineChars="200"/>
        <w:rPr>
          <w:rFonts w:ascii="仿宋" w:hAnsi="仿宋" w:eastAsia="仿宋" w:cs="仿宋"/>
          <w:sz w:val="30"/>
          <w:szCs w:val="30"/>
        </w:rPr>
      </w:pPr>
      <w:r>
        <w:rPr>
          <w:rFonts w:hint="eastAsia" w:ascii="仿宋" w:hAnsi="仿宋" w:eastAsia="仿宋" w:cs="仿宋"/>
          <w:b/>
          <w:sz w:val="30"/>
          <w:szCs w:val="30"/>
        </w:rPr>
        <w:t>实施目的及支持方向。</w:t>
      </w:r>
      <w:r>
        <w:rPr>
          <w:rFonts w:hint="eastAsia" w:ascii="仿宋" w:hAnsi="仿宋" w:eastAsia="仿宋" w:cs="仿宋"/>
          <w:sz w:val="30"/>
          <w:szCs w:val="30"/>
        </w:rPr>
        <w:t>根据《</w:t>
      </w:r>
      <w:r>
        <w:rPr>
          <w:rFonts w:hint="eastAsia" w:ascii="仿宋" w:hAnsi="仿宋" w:eastAsia="仿宋" w:cs="仿宋"/>
          <w:sz w:val="30"/>
          <w:szCs w:val="30"/>
          <w:lang w:eastAsia="zh-CN"/>
        </w:rPr>
        <w:t>中华人民共和国</w:t>
      </w:r>
      <w:r>
        <w:rPr>
          <w:rFonts w:hint="eastAsia" w:ascii="仿宋" w:hAnsi="仿宋" w:eastAsia="仿宋" w:cs="仿宋"/>
          <w:sz w:val="30"/>
          <w:szCs w:val="30"/>
        </w:rPr>
        <w:t>工会法》相关规定，2024年县总工会下拨</w:t>
      </w:r>
      <w:r>
        <w:rPr>
          <w:rFonts w:hint="eastAsia" w:ascii="仿宋" w:hAnsi="仿宋" w:eastAsia="仿宋" w:cs="仿宋"/>
          <w:sz w:val="30"/>
          <w:szCs w:val="30"/>
          <w:lang w:val="en-US" w:eastAsia="zh-CN"/>
        </w:rPr>
        <w:t>67</w:t>
      </w:r>
      <w:r>
        <w:rPr>
          <w:rFonts w:hint="eastAsia" w:ascii="仿宋" w:hAnsi="仿宋" w:eastAsia="仿宋" w:cs="仿宋"/>
          <w:sz w:val="30"/>
          <w:szCs w:val="30"/>
        </w:rPr>
        <w:t>个直属基层工会经费120万，本级留存80万（其中：上解上级工会40万元）；</w:t>
      </w:r>
    </w:p>
    <w:p>
      <w:pPr>
        <w:ind w:firstLine="602" w:firstLineChars="200"/>
        <w:rPr>
          <w:rFonts w:ascii="仿宋" w:hAnsi="仿宋" w:eastAsia="仿宋" w:cs="仿宋"/>
          <w:sz w:val="30"/>
          <w:szCs w:val="30"/>
        </w:rPr>
      </w:pPr>
      <w:r>
        <w:rPr>
          <w:rFonts w:hint="eastAsia" w:ascii="仿宋" w:hAnsi="仿宋" w:eastAsia="仿宋" w:cs="仿宋"/>
          <w:b/>
          <w:sz w:val="30"/>
          <w:szCs w:val="30"/>
        </w:rPr>
        <w:t>(三）预算安排及分配管理</w:t>
      </w:r>
      <w:r>
        <w:rPr>
          <w:rFonts w:hint="eastAsia" w:ascii="仿宋" w:hAnsi="仿宋" w:eastAsia="仿宋" w:cs="仿宋"/>
          <w:b/>
          <w:sz w:val="30"/>
          <w:szCs w:val="30"/>
          <w:lang w:val="zh-CN"/>
        </w:rPr>
        <w:t>。</w:t>
      </w:r>
      <w:r>
        <w:rPr>
          <w:rFonts w:hint="eastAsia" w:ascii="仿宋" w:hAnsi="仿宋" w:eastAsia="仿宋" w:cs="仿宋"/>
          <w:sz w:val="30"/>
          <w:szCs w:val="30"/>
        </w:rPr>
        <w:t>根据《</w:t>
      </w:r>
      <w:r>
        <w:rPr>
          <w:rFonts w:hint="eastAsia" w:ascii="仿宋" w:hAnsi="仿宋" w:eastAsia="仿宋" w:cs="仿宋"/>
          <w:sz w:val="30"/>
          <w:szCs w:val="30"/>
          <w:lang w:eastAsia="zh-CN"/>
        </w:rPr>
        <w:t>中华人民共和国</w:t>
      </w:r>
      <w:r>
        <w:rPr>
          <w:rFonts w:hint="eastAsia" w:ascii="仿宋" w:hAnsi="仿宋" w:eastAsia="仿宋" w:cs="仿宋"/>
          <w:sz w:val="30"/>
          <w:szCs w:val="30"/>
        </w:rPr>
        <w:t>工会法》相关规定，2024年县总工会下拨直属基层工会经费120万，本级留存80万（其中：上解上级工会40万元）；上述资金分配在2024年度已经按照资金使用要求执行完毕。</w:t>
      </w:r>
    </w:p>
    <w:p>
      <w:pPr>
        <w:pStyle w:val="7"/>
        <w:ind w:firstLine="600" w:firstLineChars="200"/>
        <w:rPr>
          <w:rFonts w:ascii="仿宋" w:hAnsi="仿宋" w:eastAsia="仿宋" w:cs="仿宋"/>
          <w:sz w:val="30"/>
          <w:szCs w:val="30"/>
        </w:rPr>
      </w:pPr>
      <w:r>
        <w:rPr>
          <w:rFonts w:hint="eastAsia" w:ascii="仿宋" w:hAnsi="仿宋" w:eastAsia="仿宋" w:cs="仿宋"/>
          <w:sz w:val="30"/>
          <w:szCs w:val="30"/>
          <w:lang w:eastAsia="zh-CN"/>
        </w:rPr>
        <w:t>（四）项目</w:t>
      </w:r>
      <w:r>
        <w:rPr>
          <w:rFonts w:hint="eastAsia" w:ascii="仿宋" w:hAnsi="仿宋" w:eastAsia="仿宋" w:cs="仿宋"/>
          <w:sz w:val="30"/>
          <w:szCs w:val="30"/>
        </w:rPr>
        <w:t>选点</w:t>
      </w:r>
      <w:r>
        <w:rPr>
          <w:rFonts w:hint="eastAsia" w:ascii="仿宋" w:hAnsi="仿宋" w:eastAsia="仿宋" w:cs="仿宋"/>
          <w:sz w:val="30"/>
          <w:szCs w:val="30"/>
          <w:lang w:eastAsia="zh-CN"/>
        </w:rPr>
        <w:t>：</w:t>
      </w:r>
      <w:r>
        <w:rPr>
          <w:rFonts w:hint="eastAsia" w:ascii="仿宋" w:hAnsi="仿宋" w:eastAsia="仿宋" w:cs="仿宋"/>
          <w:b/>
          <w:sz w:val="30"/>
          <w:szCs w:val="30"/>
          <w:lang w:val="zh-CN"/>
        </w:rPr>
        <w:t>黑水县总工会</w:t>
      </w:r>
    </w:p>
    <w:p>
      <w:pPr>
        <w:spacing w:line="580" w:lineRule="exact"/>
        <w:ind w:firstLine="600" w:firstLineChars="200"/>
        <w:rPr>
          <w:rFonts w:ascii="仿宋" w:hAnsi="仿宋" w:eastAsia="仿宋" w:cs="仿宋"/>
          <w:sz w:val="30"/>
          <w:szCs w:val="30"/>
        </w:rPr>
      </w:pPr>
      <w:r>
        <w:rPr>
          <w:rFonts w:hint="eastAsia" w:ascii="仿宋" w:hAnsi="仿宋" w:eastAsia="仿宋" w:cs="仿宋"/>
          <w:sz w:val="30"/>
          <w:szCs w:val="30"/>
        </w:rPr>
        <w:t>（五）评价指标：</w:t>
      </w:r>
      <w:r>
        <w:rPr>
          <w:rFonts w:hint="eastAsia" w:ascii="仿宋" w:hAnsi="仿宋" w:eastAsia="仿宋" w:cs="仿宋"/>
          <w:sz w:val="30"/>
          <w:szCs w:val="30"/>
          <w:lang w:val="zh-CN"/>
        </w:rPr>
        <w:t>根据项目预算绩效评价指标体系“通用指标”“专用指标”“个性指标”涉及二、三级指标进行逐项绩效分析</w:t>
      </w:r>
      <w:r>
        <w:rPr>
          <w:rFonts w:hint="eastAsia" w:ascii="仿宋" w:hAnsi="仿宋" w:eastAsia="仿宋" w:cs="仿宋"/>
          <w:sz w:val="30"/>
          <w:szCs w:val="30"/>
        </w:rPr>
        <w:t>。</w:t>
      </w:r>
    </w:p>
    <w:p>
      <w:pPr>
        <w:spacing w:line="578" w:lineRule="exact"/>
        <w:ind w:firstLine="600" w:firstLineChars="200"/>
        <w:rPr>
          <w:rFonts w:ascii="仿宋" w:hAnsi="仿宋" w:eastAsia="仿宋" w:cs="仿宋"/>
          <w:sz w:val="30"/>
          <w:szCs w:val="30"/>
        </w:rPr>
      </w:pPr>
      <w:r>
        <w:rPr>
          <w:rFonts w:hint="eastAsia" w:ascii="仿宋" w:hAnsi="仿宋" w:eastAsia="仿宋" w:cs="仿宋"/>
          <w:sz w:val="30"/>
          <w:szCs w:val="30"/>
        </w:rPr>
        <w:t>（六）评价方法：根据项目情况和评价重点，采用单位自评法进行评价。</w:t>
      </w:r>
    </w:p>
    <w:p>
      <w:pPr>
        <w:spacing w:line="578" w:lineRule="exact"/>
        <w:ind w:firstLine="903" w:firstLineChars="300"/>
        <w:rPr>
          <w:rFonts w:ascii="仿宋" w:hAnsi="仿宋" w:eastAsia="仿宋" w:cs="仿宋"/>
          <w:bCs/>
          <w:sz w:val="30"/>
          <w:szCs w:val="30"/>
        </w:rPr>
      </w:pPr>
      <w:r>
        <w:rPr>
          <w:rFonts w:hint="eastAsia" w:ascii="仿宋" w:hAnsi="仿宋" w:eastAsia="仿宋" w:cs="仿宋"/>
          <w:b/>
          <w:sz w:val="30"/>
          <w:szCs w:val="30"/>
          <w:lang w:val="zh-CN"/>
        </w:rPr>
        <w:t>评价组织。</w:t>
      </w:r>
      <w:r>
        <w:rPr>
          <w:rFonts w:hint="eastAsia" w:ascii="仿宋" w:hAnsi="仿宋" w:eastAsia="仿宋" w:cs="仿宋"/>
          <w:sz w:val="30"/>
          <w:szCs w:val="30"/>
        </w:rPr>
        <w:t>评价组人员由县总工会项目办工作人员及财务组成，财务分管领导牵头。以资料分析整理、会议研究讨论等形式，对项目绩效进行评价、总结。</w:t>
      </w:r>
    </w:p>
    <w:p>
      <w:pPr>
        <w:spacing w:line="580" w:lineRule="exact"/>
        <w:ind w:firstLine="640" w:firstLineChars="200"/>
        <w:rPr>
          <w:rFonts w:ascii="仿宋_GB2312" w:hAnsi="仿宋" w:eastAsia="仿宋_GB2312" w:cs="仿宋_GB2312"/>
          <w:sz w:val="32"/>
          <w:szCs w:val="32"/>
        </w:rPr>
      </w:pPr>
    </w:p>
    <w:p>
      <w:pPr>
        <w:spacing w:line="580" w:lineRule="exact"/>
        <w:ind w:firstLine="640" w:firstLineChars="200"/>
        <w:rPr>
          <w:rFonts w:ascii="仿宋_GB2312" w:hAnsi="仿宋" w:eastAsia="仿宋_GB2312" w:cs="仿宋_GB2312"/>
          <w:sz w:val="32"/>
          <w:szCs w:val="32"/>
        </w:rPr>
      </w:pPr>
    </w:p>
    <w:p>
      <w:pPr>
        <w:spacing w:line="580" w:lineRule="exact"/>
        <w:ind w:firstLine="640" w:firstLineChars="200"/>
        <w:rPr>
          <w:rFonts w:ascii="仿宋_GB2312" w:hAnsi="仿宋" w:eastAsia="仿宋_GB2312" w:cs="仿宋_GB2312"/>
          <w:sz w:val="32"/>
          <w:szCs w:val="32"/>
        </w:rPr>
      </w:pPr>
    </w:p>
    <w:p>
      <w:pPr>
        <w:spacing w:line="580" w:lineRule="exact"/>
        <w:ind w:firstLine="640" w:firstLineChars="200"/>
        <w:rPr>
          <w:rFonts w:ascii="仿宋_GB2312" w:hAnsi="仿宋" w:eastAsia="仿宋_GB2312" w:cs="仿宋_GB2312"/>
          <w:sz w:val="32"/>
          <w:szCs w:val="32"/>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499"/>
        <w:gridCol w:w="3045"/>
        <w:gridCol w:w="8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2130" w:type="dxa"/>
          </w:tcPr>
          <w:p>
            <w:pPr>
              <w:pStyle w:val="7"/>
              <w:ind w:firstLine="320"/>
              <w:rPr>
                <w:rFonts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年度</w:t>
            </w:r>
          </w:p>
        </w:tc>
        <w:tc>
          <w:tcPr>
            <w:tcW w:w="2499" w:type="dxa"/>
          </w:tcPr>
          <w:p>
            <w:pPr>
              <w:pStyle w:val="7"/>
              <w:ind w:firstLine="0" w:firstLineChars="0"/>
              <w:rPr>
                <w:rFonts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预算数（万元）</w:t>
            </w:r>
          </w:p>
        </w:tc>
        <w:tc>
          <w:tcPr>
            <w:tcW w:w="3045" w:type="dxa"/>
          </w:tcPr>
          <w:p>
            <w:pPr>
              <w:pStyle w:val="7"/>
              <w:ind w:firstLine="320"/>
              <w:rPr>
                <w:rFonts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决算数（万元）</w:t>
            </w:r>
          </w:p>
        </w:tc>
        <w:tc>
          <w:tcPr>
            <w:tcW w:w="848" w:type="dxa"/>
          </w:tcPr>
          <w:p>
            <w:pPr>
              <w:pStyle w:val="7"/>
              <w:ind w:firstLine="320"/>
              <w:rPr>
                <w:rFonts w:ascii="仿宋_GB2312" w:hAnsi="仿宋" w:eastAsia="仿宋_GB2312" w:cs="仿宋_GB2312"/>
                <w:sz w:val="32"/>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pStyle w:val="7"/>
              <w:ind w:firstLine="320"/>
              <w:rPr>
                <w:rFonts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2024</w:t>
            </w:r>
          </w:p>
        </w:tc>
        <w:tc>
          <w:tcPr>
            <w:tcW w:w="2499" w:type="dxa"/>
          </w:tcPr>
          <w:p>
            <w:pPr>
              <w:pStyle w:val="7"/>
              <w:ind w:firstLine="320"/>
              <w:rPr>
                <w:rFonts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200</w:t>
            </w:r>
          </w:p>
        </w:tc>
        <w:tc>
          <w:tcPr>
            <w:tcW w:w="3045" w:type="dxa"/>
          </w:tcPr>
          <w:p>
            <w:pPr>
              <w:pStyle w:val="7"/>
              <w:ind w:firstLine="320"/>
              <w:rPr>
                <w:rFonts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200</w:t>
            </w:r>
          </w:p>
        </w:tc>
        <w:tc>
          <w:tcPr>
            <w:tcW w:w="848" w:type="dxa"/>
          </w:tcPr>
          <w:p>
            <w:pPr>
              <w:pStyle w:val="7"/>
              <w:ind w:firstLine="320"/>
              <w:rPr>
                <w:rFonts w:ascii="仿宋_GB2312" w:hAnsi="仿宋" w:eastAsia="仿宋_GB2312" w:cs="仿宋_GB2312"/>
                <w:sz w:val="32"/>
                <w:szCs w:val="32"/>
                <w:lang w:eastAsia="zh-CN"/>
              </w:rPr>
            </w:pPr>
          </w:p>
        </w:tc>
      </w:tr>
    </w:tbl>
    <w:p>
      <w:pPr>
        <w:spacing w:line="580" w:lineRule="exact"/>
        <w:ind w:firstLine="640" w:firstLineChars="200"/>
        <w:rPr>
          <w:rFonts w:ascii="仿宋_GB2312" w:hAnsi="仿宋" w:eastAsia="仿宋_GB2312" w:cs="仿宋_GB2312"/>
          <w:sz w:val="32"/>
          <w:szCs w:val="32"/>
        </w:rPr>
      </w:pP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项目绩效评价总体结论（包括2024年度部门预算项目支出绩效自评表）</w:t>
      </w:r>
    </w:p>
    <w:p>
      <w:pPr>
        <w:pStyle w:val="3"/>
        <w:spacing w:line="600" w:lineRule="exact"/>
        <w:ind w:firstLine="640" w:firstLineChars="200"/>
        <w:rPr>
          <w:rFonts w:ascii="仿宋" w:hAnsi="仿宋" w:eastAsia="仿宋" w:cs="仿宋"/>
          <w:sz w:val="30"/>
          <w:szCs w:val="30"/>
        </w:rPr>
      </w:pPr>
      <w:r>
        <w:rPr>
          <w:rFonts w:hint="eastAsia" w:ascii="仿宋" w:hAnsi="仿宋" w:eastAsia="仿宋" w:cs="仿宋"/>
          <w:sz w:val="32"/>
          <w:szCs w:val="32"/>
        </w:rPr>
        <w:t>该项目根据</w:t>
      </w:r>
      <w:r>
        <w:rPr>
          <w:rFonts w:hint="eastAsia" w:ascii="仿宋" w:hAnsi="仿宋" w:eastAsia="仿宋" w:cs="仿宋"/>
          <w:sz w:val="30"/>
          <w:szCs w:val="30"/>
        </w:rPr>
        <w:t>《</w:t>
      </w:r>
      <w:r>
        <w:rPr>
          <w:rFonts w:hint="eastAsia" w:ascii="仿宋" w:hAnsi="仿宋" w:eastAsia="仿宋" w:cs="仿宋"/>
          <w:sz w:val="30"/>
          <w:szCs w:val="30"/>
          <w:lang w:eastAsia="zh-CN"/>
        </w:rPr>
        <w:t>中华人民共和国</w:t>
      </w:r>
      <w:r>
        <w:rPr>
          <w:rFonts w:hint="eastAsia" w:ascii="仿宋" w:hAnsi="仿宋" w:eastAsia="仿宋" w:cs="仿宋"/>
          <w:sz w:val="30"/>
          <w:szCs w:val="30"/>
        </w:rPr>
        <w:t>工会法》</w:t>
      </w:r>
      <w:r>
        <w:rPr>
          <w:rFonts w:hint="eastAsia" w:ascii="仿宋" w:hAnsi="仿宋" w:eastAsia="仿宋" w:cs="仿宋"/>
          <w:sz w:val="32"/>
          <w:szCs w:val="32"/>
        </w:rPr>
        <w:t>相关规定，2024年县总工会下拨直属基层工会经费120万，涉及基层工会</w:t>
      </w:r>
      <w:r>
        <w:rPr>
          <w:rFonts w:hint="eastAsia" w:ascii="仿宋" w:hAnsi="仿宋" w:eastAsia="仿宋" w:cs="仿宋"/>
          <w:sz w:val="32"/>
          <w:szCs w:val="32"/>
          <w:lang w:val="en-US" w:eastAsia="zh-CN"/>
        </w:rPr>
        <w:t>67</w:t>
      </w:r>
      <w:r>
        <w:rPr>
          <w:rFonts w:hint="eastAsia" w:ascii="仿宋" w:hAnsi="仿宋" w:eastAsia="仿宋" w:cs="仿宋"/>
          <w:sz w:val="32"/>
          <w:szCs w:val="32"/>
        </w:rPr>
        <w:t>个；本级留存80万（其中：上解上级工会40万元）；此项目资金由总工会按照行政单位财务制度和</w:t>
      </w:r>
      <w:r>
        <w:rPr>
          <w:rFonts w:hint="eastAsia" w:ascii="仿宋" w:hAnsi="仿宋" w:eastAsia="仿宋" w:cs="仿宋"/>
          <w:sz w:val="30"/>
          <w:szCs w:val="30"/>
        </w:rPr>
        <w:t>《</w:t>
      </w:r>
      <w:r>
        <w:rPr>
          <w:rFonts w:hint="eastAsia" w:ascii="仿宋" w:hAnsi="仿宋" w:eastAsia="仿宋" w:cs="仿宋"/>
          <w:sz w:val="30"/>
          <w:szCs w:val="30"/>
          <w:lang w:eastAsia="zh-CN"/>
        </w:rPr>
        <w:t>中华人民共和国</w:t>
      </w:r>
      <w:r>
        <w:rPr>
          <w:rFonts w:hint="eastAsia" w:ascii="仿宋" w:hAnsi="仿宋" w:eastAsia="仿宋" w:cs="仿宋"/>
          <w:sz w:val="30"/>
          <w:szCs w:val="30"/>
        </w:rPr>
        <w:t>工会法》</w:t>
      </w:r>
      <w:r>
        <w:rPr>
          <w:rFonts w:hint="eastAsia" w:ascii="仿宋" w:hAnsi="仿宋" w:eastAsia="仿宋" w:cs="仿宋"/>
          <w:sz w:val="32"/>
          <w:szCs w:val="32"/>
        </w:rPr>
        <w:t>的相关规定监督管理。</w:t>
      </w:r>
    </w:p>
    <w:p>
      <w:pPr>
        <w:spacing w:line="580" w:lineRule="exact"/>
        <w:ind w:firstLine="640" w:firstLineChars="200"/>
        <w:rPr>
          <w:rFonts w:ascii="仿宋_GB2312" w:hAnsi="仿宋" w:eastAsia="仿宋_GB2312" w:cs="仿宋_GB2312"/>
          <w:sz w:val="32"/>
          <w:szCs w:val="32"/>
        </w:rPr>
      </w:pPr>
    </w:p>
    <w:p>
      <w:pPr>
        <w:spacing w:line="580" w:lineRule="exact"/>
        <w:ind w:firstLine="640" w:firstLineChars="200"/>
        <w:rPr>
          <w:rFonts w:ascii="仿宋_GB2312" w:hAnsi="仿宋" w:eastAsia="仿宋_GB2312" w:cs="仿宋_GB2312"/>
          <w:sz w:val="32"/>
          <w:szCs w:val="32"/>
        </w:rPr>
      </w:pPr>
    </w:p>
    <w:p>
      <w:pPr>
        <w:spacing w:line="580" w:lineRule="exact"/>
        <w:ind w:firstLine="640" w:firstLineChars="200"/>
        <w:rPr>
          <w:rFonts w:ascii="仿宋_GB2312" w:hAnsi="仿宋" w:eastAsia="仿宋_GB2312" w:cs="仿宋_GB2312"/>
          <w:sz w:val="32"/>
          <w:szCs w:val="32"/>
        </w:rPr>
      </w:pPr>
    </w:p>
    <w:p>
      <w:pPr>
        <w:spacing w:line="580" w:lineRule="exact"/>
        <w:ind w:firstLine="640" w:firstLineChars="200"/>
        <w:rPr>
          <w:rFonts w:ascii="仿宋_GB2312" w:hAnsi="仿宋" w:eastAsia="仿宋_GB2312" w:cs="仿宋_GB2312"/>
          <w:sz w:val="32"/>
          <w:szCs w:val="32"/>
        </w:rPr>
      </w:pPr>
    </w:p>
    <w:p>
      <w:pPr>
        <w:spacing w:line="580" w:lineRule="exact"/>
        <w:ind w:firstLine="640" w:firstLineChars="200"/>
        <w:rPr>
          <w:rFonts w:ascii="仿宋_GB2312" w:hAnsi="仿宋" w:eastAsia="仿宋_GB2312" w:cs="仿宋_GB2312"/>
          <w:sz w:val="32"/>
          <w:szCs w:val="32"/>
        </w:rPr>
      </w:pPr>
    </w:p>
    <w:p>
      <w:pPr>
        <w:spacing w:line="580" w:lineRule="exact"/>
        <w:ind w:firstLine="640" w:firstLineChars="200"/>
        <w:rPr>
          <w:rFonts w:ascii="仿宋_GB2312" w:hAnsi="仿宋" w:eastAsia="仿宋_GB2312" w:cs="仿宋_GB2312"/>
          <w:sz w:val="32"/>
          <w:szCs w:val="32"/>
        </w:rPr>
      </w:pPr>
    </w:p>
    <w:p>
      <w:pPr>
        <w:spacing w:line="580" w:lineRule="exact"/>
        <w:ind w:firstLine="640" w:firstLineChars="200"/>
        <w:rPr>
          <w:rFonts w:ascii="仿宋_GB2312" w:hAnsi="仿宋" w:eastAsia="仿宋_GB2312" w:cs="仿宋_GB2312"/>
          <w:sz w:val="32"/>
          <w:szCs w:val="32"/>
        </w:rPr>
      </w:pPr>
    </w:p>
    <w:tbl>
      <w:tblPr>
        <w:tblStyle w:val="8"/>
        <w:tblW w:w="10110" w:type="dxa"/>
        <w:tblInd w:w="93" w:type="dxa"/>
        <w:tblLayout w:type="autofit"/>
        <w:tblCellMar>
          <w:top w:w="0" w:type="dxa"/>
          <w:left w:w="108" w:type="dxa"/>
          <w:bottom w:w="0" w:type="dxa"/>
          <w:right w:w="108" w:type="dxa"/>
        </w:tblCellMar>
      </w:tblPr>
      <w:tblGrid>
        <w:gridCol w:w="585"/>
        <w:gridCol w:w="1071"/>
        <w:gridCol w:w="1070"/>
        <w:gridCol w:w="1074"/>
        <w:gridCol w:w="818"/>
        <w:gridCol w:w="895"/>
        <w:gridCol w:w="1068"/>
        <w:gridCol w:w="861"/>
        <w:gridCol w:w="775"/>
        <w:gridCol w:w="818"/>
        <w:gridCol w:w="1075"/>
      </w:tblGrid>
      <w:tr>
        <w:tblPrEx>
          <w:tblCellMar>
            <w:top w:w="0" w:type="dxa"/>
            <w:left w:w="108" w:type="dxa"/>
            <w:bottom w:w="0" w:type="dxa"/>
            <w:right w:w="108" w:type="dxa"/>
          </w:tblCellMar>
        </w:tblPrEx>
        <w:trPr>
          <w:trHeight w:val="904" w:hRule="atLeast"/>
        </w:trPr>
        <w:tc>
          <w:tcPr>
            <w:tcW w:w="1011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黑体" w:hAnsi="宋体" w:eastAsia="黑体" w:cs="黑体"/>
                <w:b/>
                <w:bCs/>
                <w:color w:val="000000"/>
                <w:sz w:val="30"/>
                <w:szCs w:val="30"/>
              </w:rPr>
            </w:pPr>
            <w:r>
              <w:rPr>
                <w:rFonts w:hint="eastAsia" w:ascii="黑体" w:hAnsi="宋体" w:eastAsia="黑体" w:cs="黑体"/>
                <w:b/>
                <w:bCs/>
                <w:color w:val="000000"/>
                <w:kern w:val="0"/>
                <w:sz w:val="30"/>
                <w:szCs w:val="30"/>
              </w:rPr>
              <w:t>部门预算项目支出绩效自评表（2024年度）</w:t>
            </w:r>
          </w:p>
        </w:tc>
      </w:tr>
      <w:tr>
        <w:tblPrEx>
          <w:tblCellMar>
            <w:top w:w="0" w:type="dxa"/>
            <w:left w:w="108" w:type="dxa"/>
            <w:bottom w:w="0" w:type="dxa"/>
            <w:right w:w="108" w:type="dxa"/>
          </w:tblCellMar>
        </w:tblPrEx>
        <w:trPr>
          <w:trHeight w:val="286" w:hRule="atLeast"/>
        </w:trPr>
        <w:tc>
          <w:tcPr>
            <w:tcW w:w="16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 w:val="18"/>
                <w:szCs w:val="18"/>
              </w:rPr>
            </w:pPr>
            <w:r>
              <w:rPr>
                <w:rFonts w:ascii="宋体" w:hAnsi="宋体" w:cs="宋体"/>
                <w:color w:val="000000"/>
                <w:kern w:val="0"/>
                <w:sz w:val="18"/>
                <w:szCs w:val="18"/>
              </w:rPr>
              <w:t>项目名称</w:t>
            </w:r>
          </w:p>
        </w:tc>
        <w:tc>
          <w:tcPr>
            <w:tcW w:w="844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 w:val="18"/>
                <w:szCs w:val="18"/>
              </w:rPr>
            </w:pPr>
            <w:r>
              <w:rPr>
                <w:rFonts w:ascii="宋体" w:hAnsi="宋体" w:cs="宋体"/>
                <w:color w:val="000000"/>
                <w:kern w:val="0"/>
                <w:sz w:val="18"/>
                <w:szCs w:val="18"/>
              </w:rPr>
              <w:t>51322823T000007767427-工会经费</w:t>
            </w:r>
          </w:p>
        </w:tc>
      </w:tr>
      <w:tr>
        <w:tblPrEx>
          <w:tblCellMar>
            <w:top w:w="0" w:type="dxa"/>
            <w:left w:w="108" w:type="dxa"/>
            <w:bottom w:w="0" w:type="dxa"/>
            <w:right w:w="108" w:type="dxa"/>
          </w:tblCellMar>
        </w:tblPrEx>
        <w:trPr>
          <w:trHeight w:val="512" w:hRule="atLeast"/>
        </w:trPr>
        <w:tc>
          <w:tcPr>
            <w:tcW w:w="16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 w:val="18"/>
                <w:szCs w:val="18"/>
              </w:rPr>
            </w:pPr>
            <w:r>
              <w:rPr>
                <w:rFonts w:ascii="宋体" w:hAnsi="宋体" w:cs="宋体"/>
                <w:color w:val="000000"/>
                <w:kern w:val="0"/>
                <w:sz w:val="18"/>
                <w:szCs w:val="18"/>
              </w:rPr>
              <w:t>主管部门</w:t>
            </w:r>
          </w:p>
        </w:tc>
        <w:tc>
          <w:tcPr>
            <w:tcW w:w="49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 w:val="18"/>
                <w:szCs w:val="18"/>
              </w:rPr>
            </w:pPr>
            <w:r>
              <w:rPr>
                <w:rFonts w:ascii="宋体" w:hAnsi="宋体" w:cs="宋体"/>
                <w:color w:val="000000"/>
                <w:kern w:val="0"/>
                <w:sz w:val="18"/>
                <w:szCs w:val="18"/>
              </w:rPr>
              <w:t>黑水县总工会</w:t>
            </w:r>
          </w:p>
        </w:tc>
        <w:tc>
          <w:tcPr>
            <w:tcW w:w="795" w:type="dxa"/>
            <w:tcBorders>
              <w:top w:val="nil"/>
              <w:left w:val="nil"/>
              <w:bottom w:val="nil"/>
              <w:right w:val="nil"/>
            </w:tcBorders>
            <w:shd w:val="clear" w:color="auto" w:fill="auto"/>
            <w:vAlign w:val="center"/>
          </w:tcPr>
          <w:p>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实施单位 （盖章）</w:t>
            </w:r>
          </w:p>
        </w:tc>
        <w:tc>
          <w:tcPr>
            <w:tcW w:w="26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黑水县总工会</w:t>
            </w:r>
          </w:p>
        </w:tc>
      </w:tr>
      <w:tr>
        <w:tblPrEx>
          <w:tblCellMar>
            <w:top w:w="0" w:type="dxa"/>
            <w:left w:w="108" w:type="dxa"/>
            <w:bottom w:w="0" w:type="dxa"/>
            <w:right w:w="108" w:type="dxa"/>
          </w:tblCellMar>
        </w:tblPrEx>
        <w:trPr>
          <w:trHeight w:val="286" w:hRule="atLeast"/>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 w:val="18"/>
                <w:szCs w:val="18"/>
              </w:rPr>
            </w:pPr>
            <w:r>
              <w:rPr>
                <w:rFonts w:ascii="宋体" w:hAnsi="宋体" w:cs="宋体"/>
                <w:color w:val="000000"/>
                <w:kern w:val="0"/>
                <w:sz w:val="18"/>
                <w:szCs w:val="18"/>
              </w:rPr>
              <w:t>项目基本情况</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 w:val="18"/>
                <w:szCs w:val="18"/>
              </w:rPr>
            </w:pPr>
            <w:r>
              <w:rPr>
                <w:rFonts w:ascii="宋体" w:hAnsi="宋体" w:cs="宋体"/>
                <w:color w:val="000000"/>
                <w:kern w:val="0"/>
                <w:sz w:val="18"/>
                <w:szCs w:val="18"/>
              </w:rPr>
              <w:t>1.项目年度目标完成情况</w:t>
            </w:r>
          </w:p>
        </w:tc>
        <w:tc>
          <w:tcPr>
            <w:tcW w:w="49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项目年度目标</w:t>
            </w:r>
          </w:p>
        </w:tc>
        <w:tc>
          <w:tcPr>
            <w:tcW w:w="34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年度目标完成情况</w:t>
            </w:r>
          </w:p>
        </w:tc>
      </w:tr>
      <w:tr>
        <w:tblPrEx>
          <w:tblCellMar>
            <w:top w:w="0" w:type="dxa"/>
            <w:left w:w="108" w:type="dxa"/>
            <w:bottom w:w="0" w:type="dxa"/>
            <w:right w:w="108" w:type="dxa"/>
          </w:tblCellMar>
        </w:tblPrEx>
        <w:trPr>
          <w:trHeight w:val="708" w:hRule="atLeast"/>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宋体"/>
                <w:color w:val="000000"/>
                <w:sz w:val="18"/>
                <w:szCs w:val="18"/>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宋体"/>
                <w:color w:val="000000"/>
                <w:sz w:val="18"/>
                <w:szCs w:val="18"/>
              </w:rPr>
            </w:pPr>
          </w:p>
        </w:tc>
        <w:tc>
          <w:tcPr>
            <w:tcW w:w="49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 w:val="18"/>
                <w:szCs w:val="18"/>
              </w:rPr>
            </w:pPr>
            <w:r>
              <w:rPr>
                <w:rFonts w:ascii="宋体" w:hAnsi="宋体" w:cs="宋体"/>
                <w:color w:val="000000"/>
                <w:kern w:val="0"/>
                <w:sz w:val="18"/>
                <w:szCs w:val="18"/>
              </w:rPr>
              <w:t>严格执行相关政策，</w:t>
            </w:r>
            <w:r>
              <w:rPr>
                <w:rFonts w:hint="eastAsia" w:ascii="宋体" w:hAnsi="宋体" w:cs="宋体"/>
                <w:color w:val="000000"/>
                <w:kern w:val="0"/>
                <w:sz w:val="18"/>
                <w:szCs w:val="18"/>
                <w:lang w:eastAsia="zh-CN"/>
              </w:rPr>
              <w:t>保障资金及时到位并下拨</w:t>
            </w:r>
            <w:r>
              <w:rPr>
                <w:rFonts w:ascii="宋体" w:hAnsi="宋体" w:cs="宋体"/>
                <w:color w:val="000000"/>
                <w:kern w:val="0"/>
                <w:sz w:val="18"/>
                <w:szCs w:val="18"/>
              </w:rPr>
              <w:t xml:space="preserve">，预算编制科学合理，减少结余资金。    </w:t>
            </w:r>
          </w:p>
        </w:tc>
        <w:tc>
          <w:tcPr>
            <w:tcW w:w="34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年度保障及时拨付基层工会和及时上缴上级工会和总工会机关事务正常运行。</w:t>
            </w:r>
          </w:p>
        </w:tc>
      </w:tr>
      <w:tr>
        <w:tblPrEx>
          <w:tblCellMar>
            <w:top w:w="0" w:type="dxa"/>
            <w:left w:w="108" w:type="dxa"/>
            <w:bottom w:w="0" w:type="dxa"/>
            <w:right w:w="108" w:type="dxa"/>
          </w:tblCellMar>
        </w:tblPrEx>
        <w:trPr>
          <w:trHeight w:val="693" w:hRule="atLeast"/>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 w:val="18"/>
                <w:szCs w:val="18"/>
              </w:rPr>
            </w:pPr>
            <w:r>
              <w:rPr>
                <w:rFonts w:ascii="宋体" w:hAnsi="宋体" w:cs="宋体"/>
                <w:color w:val="000000"/>
                <w:kern w:val="0"/>
                <w:sz w:val="18"/>
                <w:szCs w:val="18"/>
              </w:rPr>
              <w:t>2.项目实施内容及过程概述</w:t>
            </w:r>
          </w:p>
        </w:tc>
        <w:tc>
          <w:tcPr>
            <w:tcW w:w="844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宋体" w:hAnsi="宋体" w:cs="宋体"/>
                <w:color w:val="000000"/>
                <w:sz w:val="18"/>
                <w:szCs w:val="18"/>
              </w:rPr>
            </w:pPr>
            <w:r>
              <w:rPr>
                <w:rFonts w:ascii="宋体" w:hAnsi="宋体" w:cs="宋体"/>
                <w:color w:val="000000"/>
                <w:kern w:val="0"/>
                <w:sz w:val="18"/>
                <w:szCs w:val="18"/>
              </w:rPr>
              <w:t>1.年初做预算；2预算下达后，按时足额支付。</w:t>
            </w:r>
          </w:p>
        </w:tc>
      </w:tr>
      <w:tr>
        <w:tblPrEx>
          <w:tblCellMar>
            <w:top w:w="0" w:type="dxa"/>
            <w:left w:w="108" w:type="dxa"/>
            <w:bottom w:w="0" w:type="dxa"/>
            <w:right w:w="108" w:type="dxa"/>
          </w:tblCellMar>
        </w:tblPrEx>
        <w:trPr>
          <w:trHeight w:val="361" w:hRule="atLeast"/>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预算执行情况（10分）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年度预算数（万元）</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调整后预算数</w:t>
            </w:r>
          </w:p>
        </w:tc>
        <w:tc>
          <w:tcPr>
            <w:tcW w:w="28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预算执行数</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预算执行率</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权重</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得分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原因</w:t>
            </w:r>
          </w:p>
        </w:tc>
      </w:tr>
      <w:tr>
        <w:tblPrEx>
          <w:tblCellMar>
            <w:top w:w="0" w:type="dxa"/>
            <w:left w:w="108" w:type="dxa"/>
            <w:bottom w:w="0" w:type="dxa"/>
            <w:right w:w="108" w:type="dxa"/>
          </w:tblCellMar>
        </w:tblPrEx>
        <w:trPr>
          <w:trHeight w:val="346" w:hRule="atLeast"/>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总额</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200.00</w:t>
            </w:r>
          </w:p>
        </w:tc>
        <w:tc>
          <w:tcPr>
            <w:tcW w:w="28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200.00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100.00%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10</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黑体" w:hAnsi="黑体" w:eastAsia="黑体" w:cs="黑体"/>
                <w:i/>
                <w:iCs/>
                <w:color w:val="000000"/>
                <w:sz w:val="18"/>
                <w:szCs w:val="18"/>
              </w:rPr>
            </w:pPr>
            <w:r>
              <w:rPr>
                <w:rFonts w:hint="eastAsia" w:ascii="黑体" w:hAnsi="黑体" w:eastAsia="黑体" w:cs="黑体"/>
                <w:i/>
                <w:iCs/>
                <w:color w:val="000000"/>
                <w:kern w:val="0"/>
                <w:sz w:val="18"/>
                <w:szCs w:val="18"/>
              </w:rPr>
              <w:t>1.预算执行率=预算执行数/调整后预算数，预算执行率未达到90%的需说明原因（100字以内）;2.年中发生预算调整的（追加或调减）,应单独说明理由；3.其他资金包括：社会投入资金、银行贷款.</w:t>
            </w:r>
          </w:p>
        </w:tc>
      </w:tr>
      <w:tr>
        <w:tblPrEx>
          <w:tblCellMar>
            <w:top w:w="0" w:type="dxa"/>
            <w:left w:w="108" w:type="dxa"/>
            <w:bottom w:w="0" w:type="dxa"/>
            <w:right w:w="108" w:type="dxa"/>
          </w:tblCellMar>
        </w:tblPrEx>
        <w:trPr>
          <w:trHeight w:val="391" w:hRule="atLeast"/>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其中：财政资金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200.00</w:t>
            </w:r>
          </w:p>
        </w:tc>
        <w:tc>
          <w:tcPr>
            <w:tcW w:w="28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200.00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100.00%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黑体" w:hAnsi="黑体" w:eastAsia="黑体" w:cs="黑体"/>
                <w:i/>
                <w:iCs/>
                <w:color w:val="000000"/>
                <w:sz w:val="18"/>
                <w:szCs w:val="18"/>
              </w:rPr>
            </w:pPr>
          </w:p>
        </w:tc>
      </w:tr>
      <w:tr>
        <w:tblPrEx>
          <w:tblCellMar>
            <w:top w:w="0" w:type="dxa"/>
            <w:left w:w="108" w:type="dxa"/>
            <w:bottom w:w="0" w:type="dxa"/>
            <w:right w:w="108" w:type="dxa"/>
          </w:tblCellMar>
        </w:tblPrEx>
        <w:trPr>
          <w:trHeight w:val="407" w:hRule="atLeast"/>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财政专户管理资金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28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黑体" w:hAnsi="黑体" w:eastAsia="黑体" w:cs="黑体"/>
                <w:i/>
                <w:iCs/>
                <w:color w:val="000000"/>
                <w:sz w:val="18"/>
                <w:szCs w:val="18"/>
              </w:rPr>
            </w:pPr>
          </w:p>
        </w:tc>
      </w:tr>
      <w:tr>
        <w:tblPrEx>
          <w:tblCellMar>
            <w:top w:w="0" w:type="dxa"/>
            <w:left w:w="108" w:type="dxa"/>
            <w:bottom w:w="0" w:type="dxa"/>
            <w:right w:w="108" w:type="dxa"/>
          </w:tblCellMar>
        </w:tblPrEx>
        <w:trPr>
          <w:trHeight w:val="361" w:hRule="atLeast"/>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单位资金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28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黑体" w:hAnsi="黑体" w:eastAsia="黑体" w:cs="黑体"/>
                <w:i/>
                <w:iCs/>
                <w:color w:val="000000"/>
                <w:sz w:val="18"/>
                <w:szCs w:val="18"/>
              </w:rPr>
            </w:pPr>
          </w:p>
        </w:tc>
      </w:tr>
      <w:tr>
        <w:tblPrEx>
          <w:tblCellMar>
            <w:top w:w="0" w:type="dxa"/>
            <w:left w:w="108" w:type="dxa"/>
            <w:bottom w:w="0" w:type="dxa"/>
            <w:right w:w="108" w:type="dxa"/>
          </w:tblCellMar>
        </w:tblPrEx>
        <w:trPr>
          <w:trHeight w:val="339" w:hRule="atLeast"/>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其他资金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微软雅黑" w:hAnsi="微软雅黑" w:eastAsia="微软雅黑" w:cs="微软雅黑"/>
                <w:i/>
                <w:iCs/>
                <w:color w:val="000000"/>
                <w:sz w:val="16"/>
                <w:szCs w:val="16"/>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微软雅黑" w:hAnsi="微软雅黑" w:eastAsia="微软雅黑" w:cs="微软雅黑"/>
                <w:i/>
                <w:iCs/>
                <w:color w:val="000000"/>
                <w:sz w:val="16"/>
                <w:szCs w:val="16"/>
              </w:rPr>
            </w:pPr>
          </w:p>
        </w:tc>
        <w:tc>
          <w:tcPr>
            <w:tcW w:w="28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微软雅黑" w:hAnsi="微软雅黑" w:eastAsia="微软雅黑" w:cs="微软雅黑"/>
                <w:i/>
                <w:iCs/>
                <w:color w:val="000000"/>
                <w:sz w:val="16"/>
                <w:szCs w:val="16"/>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微软雅黑" w:hAnsi="微软雅黑" w:eastAsia="微软雅黑" w:cs="微软雅黑"/>
                <w:i/>
                <w:iCs/>
                <w:color w:val="000000"/>
                <w:sz w:val="16"/>
                <w:szCs w:val="16"/>
              </w:rPr>
            </w:pP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黑体" w:hAnsi="黑体" w:eastAsia="黑体" w:cs="黑体"/>
                <w:i/>
                <w:iCs/>
                <w:color w:val="000000"/>
                <w:sz w:val="18"/>
                <w:szCs w:val="18"/>
              </w:rPr>
            </w:pPr>
          </w:p>
        </w:tc>
      </w:tr>
      <w:tr>
        <w:tblPrEx>
          <w:tblCellMar>
            <w:top w:w="0" w:type="dxa"/>
            <w:left w:w="108" w:type="dxa"/>
            <w:bottom w:w="0" w:type="dxa"/>
            <w:right w:w="108" w:type="dxa"/>
          </w:tblCellMar>
        </w:tblPrEx>
        <w:trPr>
          <w:trHeight w:val="452" w:hRule="atLeast"/>
        </w:trPr>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绩效指标（90分）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一级指标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三级指标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指标性质</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指标值</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度量单位</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完成值</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权重</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得分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未完成原因分析</w:t>
            </w:r>
          </w:p>
        </w:tc>
      </w:tr>
      <w:tr>
        <w:tblPrEx>
          <w:tblCellMar>
            <w:top w:w="0" w:type="dxa"/>
            <w:left w:w="108" w:type="dxa"/>
            <w:bottom w:w="0" w:type="dxa"/>
            <w:right w:w="108" w:type="dxa"/>
          </w:tblCellMar>
        </w:tblPrEx>
        <w:trPr>
          <w:trHeight w:val="339" w:hRule="atLeast"/>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18"/>
                <w:szCs w:val="18"/>
              </w:rPr>
            </w:pPr>
          </w:p>
        </w:tc>
        <w:tc>
          <w:tcPr>
            <w:tcW w:w="1080" w:type="dxa"/>
            <w:vMerge w:val="restart"/>
            <w:tcBorders>
              <w:top w:val="single" w:color="000000" w:sz="4" w:space="0"/>
              <w:left w:val="single" w:color="000000" w:sz="4" w:space="0"/>
              <w:bottom w:val="nil"/>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产出指标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6"/>
                <w:szCs w:val="16"/>
              </w:rPr>
            </w:pPr>
            <w:r>
              <w:rPr>
                <w:rFonts w:ascii="宋体" w:hAnsi="宋体" w:cs="宋体"/>
                <w:color w:val="000000"/>
                <w:kern w:val="0"/>
                <w:sz w:val="16"/>
                <w:szCs w:val="16"/>
              </w:rPr>
              <w:t>完成年度支出工会经费支出200万元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200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万元/年</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rPr>
              <w:t>200</w:t>
            </w:r>
          </w:p>
        </w:tc>
        <w:tc>
          <w:tcPr>
            <w:tcW w:w="780" w:type="dxa"/>
            <w:tcBorders>
              <w:top w:val="single" w:color="000000" w:sz="4" w:space="0"/>
              <w:left w:val="single" w:color="000000" w:sz="4" w:space="0"/>
              <w:bottom w:val="single" w:color="000000" w:sz="4" w:space="0"/>
              <w:right w:val="nil"/>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2"/>
                <w:szCs w:val="22"/>
              </w:rPr>
            </w:pPr>
            <w:r>
              <w:rPr>
                <w:rFonts w:hint="eastAsia" w:ascii="宋体" w:hAnsi="宋体" w:cs="宋体"/>
                <w:color w:val="000000"/>
                <w:kern w:val="0"/>
                <w:sz w:val="22"/>
                <w:szCs w:val="22"/>
              </w:rPr>
              <w:t>18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微软雅黑" w:hAnsi="微软雅黑" w:eastAsia="微软雅黑" w:cs="微软雅黑"/>
                <w:i/>
                <w:iCs/>
                <w:color w:val="000000"/>
                <w:sz w:val="16"/>
                <w:szCs w:val="16"/>
              </w:rPr>
            </w:pPr>
          </w:p>
        </w:tc>
      </w:tr>
      <w:tr>
        <w:tblPrEx>
          <w:tblCellMar>
            <w:top w:w="0" w:type="dxa"/>
            <w:left w:w="108" w:type="dxa"/>
            <w:bottom w:w="0" w:type="dxa"/>
            <w:right w:w="108" w:type="dxa"/>
          </w:tblCellMar>
        </w:tblPrEx>
        <w:trPr>
          <w:trHeight w:val="286" w:hRule="atLeast"/>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18"/>
                <w:szCs w:val="18"/>
              </w:rPr>
            </w:pPr>
          </w:p>
        </w:tc>
        <w:tc>
          <w:tcPr>
            <w:tcW w:w="108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时效指标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年度工会经费运转保障率100%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rPr>
              <w:t>2024年12月31日前</w:t>
            </w:r>
          </w:p>
        </w:tc>
        <w:tc>
          <w:tcPr>
            <w:tcW w:w="780" w:type="dxa"/>
            <w:tcBorders>
              <w:top w:val="single" w:color="000000" w:sz="4" w:space="0"/>
              <w:left w:val="single" w:color="000000" w:sz="4" w:space="0"/>
              <w:bottom w:val="single" w:color="000000" w:sz="4" w:space="0"/>
              <w:right w:val="nil"/>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2"/>
                <w:szCs w:val="22"/>
              </w:rPr>
            </w:pPr>
            <w:r>
              <w:rPr>
                <w:rFonts w:hint="eastAsia" w:ascii="宋体" w:hAnsi="宋体" w:cs="宋体"/>
                <w:color w:val="000000"/>
                <w:kern w:val="0"/>
                <w:sz w:val="22"/>
                <w:szCs w:val="22"/>
              </w:rPr>
              <w:t>18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宋体"/>
                <w:color w:val="000000"/>
                <w:sz w:val="18"/>
                <w:szCs w:val="18"/>
              </w:rPr>
            </w:pPr>
          </w:p>
        </w:tc>
      </w:tr>
      <w:tr>
        <w:tblPrEx>
          <w:tblCellMar>
            <w:top w:w="0" w:type="dxa"/>
            <w:left w:w="108" w:type="dxa"/>
            <w:bottom w:w="0" w:type="dxa"/>
            <w:right w:w="108" w:type="dxa"/>
          </w:tblCellMar>
        </w:tblPrEx>
        <w:trPr>
          <w:trHeight w:val="286" w:hRule="atLeast"/>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18"/>
                <w:szCs w:val="18"/>
              </w:rPr>
            </w:pPr>
          </w:p>
        </w:tc>
        <w:tc>
          <w:tcPr>
            <w:tcW w:w="1080" w:type="dxa"/>
            <w:vMerge w:val="continue"/>
            <w:tcBorders>
              <w:top w:val="single" w:color="000000" w:sz="4" w:space="0"/>
              <w:left w:val="single" w:color="000000" w:sz="4" w:space="0"/>
              <w:bottom w:val="nil"/>
              <w:right w:val="single" w:color="000000" w:sz="4" w:space="0"/>
            </w:tcBorders>
            <w:shd w:val="clear" w:color="auto" w:fill="auto"/>
            <w:vAlign w:val="center"/>
          </w:tcPr>
          <w:p>
            <w:pPr>
              <w:jc w:val="center"/>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质量指标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年度按时完成工会经费支付</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万元/年</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2</w:t>
            </w:r>
            <w:r>
              <w:rPr>
                <w:rFonts w:hint="eastAsia" w:ascii="宋体" w:hAnsi="宋体" w:cs="宋体"/>
                <w:color w:val="000000"/>
                <w:kern w:val="0"/>
                <w:sz w:val="18"/>
                <w:szCs w:val="18"/>
              </w:rPr>
              <w:t>00</w:t>
            </w:r>
          </w:p>
        </w:tc>
        <w:tc>
          <w:tcPr>
            <w:tcW w:w="780" w:type="dxa"/>
            <w:tcBorders>
              <w:top w:val="single" w:color="000000" w:sz="4" w:space="0"/>
              <w:left w:val="single" w:color="000000" w:sz="4" w:space="0"/>
              <w:bottom w:val="single" w:color="000000" w:sz="4" w:space="0"/>
              <w:right w:val="nil"/>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2"/>
                <w:szCs w:val="22"/>
              </w:rPr>
            </w:pPr>
            <w:r>
              <w:rPr>
                <w:rFonts w:hint="eastAsia" w:ascii="宋体" w:hAnsi="宋体" w:cs="宋体"/>
                <w:color w:val="000000"/>
                <w:kern w:val="0"/>
                <w:sz w:val="22"/>
                <w:szCs w:val="22"/>
              </w:rPr>
              <w:t>18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宋体"/>
                <w:color w:val="000000"/>
                <w:sz w:val="18"/>
                <w:szCs w:val="18"/>
              </w:rPr>
            </w:pPr>
          </w:p>
        </w:tc>
      </w:tr>
      <w:tr>
        <w:tblPrEx>
          <w:tblCellMar>
            <w:top w:w="0" w:type="dxa"/>
            <w:left w:w="108" w:type="dxa"/>
            <w:bottom w:w="0" w:type="dxa"/>
            <w:right w:w="108" w:type="dxa"/>
          </w:tblCellMar>
        </w:tblPrEx>
        <w:trPr>
          <w:trHeight w:val="286" w:hRule="atLeast"/>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职工的幸福感得到提升</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95%</w:t>
            </w:r>
          </w:p>
        </w:tc>
        <w:tc>
          <w:tcPr>
            <w:tcW w:w="780" w:type="dxa"/>
            <w:tcBorders>
              <w:top w:val="single" w:color="000000" w:sz="4" w:space="0"/>
              <w:left w:val="single" w:color="000000" w:sz="4" w:space="0"/>
              <w:bottom w:val="single" w:color="000000" w:sz="4" w:space="0"/>
              <w:right w:val="nil"/>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cs="宋体"/>
                <w:color w:val="000000"/>
                <w:sz w:val="22"/>
                <w:szCs w:val="22"/>
              </w:rPr>
            </w:pPr>
            <w:r>
              <w:rPr>
                <w:rFonts w:hint="eastAsia" w:ascii="宋体" w:hAnsi="宋体" w:cs="宋体"/>
                <w:color w:val="000000"/>
                <w:kern w:val="0"/>
                <w:sz w:val="22"/>
                <w:szCs w:val="22"/>
              </w:rPr>
              <w:t>18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宋体"/>
                <w:color w:val="000000"/>
                <w:sz w:val="18"/>
                <w:szCs w:val="18"/>
              </w:rPr>
            </w:pPr>
          </w:p>
        </w:tc>
      </w:tr>
      <w:tr>
        <w:tblPrEx>
          <w:tblCellMar>
            <w:top w:w="0" w:type="dxa"/>
            <w:left w:w="108" w:type="dxa"/>
            <w:bottom w:w="0" w:type="dxa"/>
            <w:right w:w="108" w:type="dxa"/>
          </w:tblCellMar>
        </w:tblPrEx>
        <w:trPr>
          <w:trHeight w:val="660" w:hRule="atLeast"/>
        </w:trPr>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cs="宋体"/>
                <w:color w:val="00000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服务对象满意度指标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服务对象满意度</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95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rPr>
              <w:t>95%</w:t>
            </w:r>
          </w:p>
        </w:tc>
        <w:tc>
          <w:tcPr>
            <w:tcW w:w="780" w:type="dxa"/>
            <w:tcBorders>
              <w:top w:val="single" w:color="000000" w:sz="4" w:space="0"/>
              <w:left w:val="single" w:color="000000" w:sz="4" w:space="0"/>
              <w:bottom w:val="single" w:color="000000" w:sz="4" w:space="0"/>
              <w:right w:val="nil"/>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18</w:t>
            </w:r>
          </w:p>
        </w:tc>
        <w:tc>
          <w:tcPr>
            <w:tcW w:w="825" w:type="dxa"/>
            <w:tcBorders>
              <w:top w:val="single" w:color="000000" w:sz="4" w:space="0"/>
              <w:left w:val="single" w:color="000000" w:sz="4" w:space="0"/>
              <w:bottom w:val="single" w:color="000000" w:sz="4" w:space="0"/>
              <w:right w:val="nil"/>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1</w:t>
            </w:r>
            <w:r>
              <w:rPr>
                <w:rFonts w:hint="eastAsia" w:ascii="宋体" w:hAnsi="宋体" w:cs="宋体"/>
                <w:color w:val="000000"/>
                <w:kern w:val="0"/>
                <w:sz w:val="18"/>
                <w:szCs w:val="18"/>
              </w:rPr>
              <w:t>6</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宋体"/>
                <w:color w:val="000000"/>
                <w:sz w:val="18"/>
                <w:szCs w:val="18"/>
              </w:rPr>
            </w:pPr>
          </w:p>
        </w:tc>
      </w:tr>
      <w:tr>
        <w:tblPrEx>
          <w:tblCellMar>
            <w:top w:w="0" w:type="dxa"/>
            <w:left w:w="108" w:type="dxa"/>
            <w:bottom w:w="0" w:type="dxa"/>
            <w:right w:w="108" w:type="dxa"/>
          </w:tblCellMar>
        </w:tblPrEx>
        <w:trPr>
          <w:trHeight w:val="286" w:hRule="atLeast"/>
        </w:trPr>
        <w:tc>
          <w:tcPr>
            <w:tcW w:w="742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合计</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100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hint="eastAsia" w:ascii="宋体" w:hAnsi="宋体" w:cs="宋体"/>
                <w:color w:val="000000"/>
                <w:kern w:val="0"/>
                <w:sz w:val="18"/>
                <w:szCs w:val="18"/>
              </w:rPr>
              <w:t>98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cs="宋体"/>
                <w:color w:val="000000"/>
                <w:sz w:val="18"/>
                <w:szCs w:val="18"/>
              </w:rPr>
            </w:pPr>
          </w:p>
        </w:tc>
      </w:tr>
      <w:tr>
        <w:tblPrEx>
          <w:tblCellMar>
            <w:top w:w="0" w:type="dxa"/>
            <w:left w:w="108" w:type="dxa"/>
            <w:bottom w:w="0" w:type="dxa"/>
            <w:right w:w="108" w:type="dxa"/>
          </w:tblCellMar>
        </w:tblPrEx>
        <w:trPr>
          <w:trHeight w:val="60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评价结论</w:t>
            </w:r>
          </w:p>
        </w:tc>
        <w:tc>
          <w:tcPr>
            <w:tcW w:w="95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rPr>
              <w:t>结合2024年黑水县总工会自评情况，自评总分98分。</w:t>
            </w:r>
          </w:p>
        </w:tc>
      </w:tr>
      <w:tr>
        <w:tblPrEx>
          <w:tblCellMar>
            <w:top w:w="0" w:type="dxa"/>
            <w:left w:w="108" w:type="dxa"/>
            <w:bottom w:w="0" w:type="dxa"/>
            <w:right w:w="108" w:type="dxa"/>
          </w:tblCellMar>
        </w:tblPrEx>
        <w:trPr>
          <w:trHeight w:val="572"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存在问题</w:t>
            </w:r>
          </w:p>
        </w:tc>
        <w:tc>
          <w:tcPr>
            <w:tcW w:w="95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rPr>
              <w:t>绩效管理情况不够完善。</w:t>
            </w:r>
          </w:p>
        </w:tc>
      </w:tr>
      <w:tr>
        <w:tblPrEx>
          <w:tblCellMar>
            <w:top w:w="0" w:type="dxa"/>
            <w:left w:w="108" w:type="dxa"/>
            <w:bottom w:w="0" w:type="dxa"/>
            <w:right w:w="108" w:type="dxa"/>
          </w:tblCellMar>
        </w:tblPrEx>
        <w:trPr>
          <w:trHeight w:val="63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 w:val="18"/>
                <w:szCs w:val="18"/>
              </w:rPr>
            </w:pPr>
            <w:r>
              <w:rPr>
                <w:rFonts w:ascii="宋体" w:hAnsi="宋体" w:cs="宋体"/>
                <w:color w:val="000000"/>
                <w:kern w:val="0"/>
                <w:sz w:val="18"/>
                <w:szCs w:val="18"/>
              </w:rPr>
              <w:t>改进措施</w:t>
            </w:r>
          </w:p>
        </w:tc>
        <w:tc>
          <w:tcPr>
            <w:tcW w:w="95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rPr>
              <w:t>优化完善实施方案和绩效目标，加强运行监控，提升预算绩效管理水平。</w:t>
            </w:r>
          </w:p>
        </w:tc>
      </w:tr>
      <w:tr>
        <w:tblPrEx>
          <w:tblCellMar>
            <w:top w:w="0" w:type="dxa"/>
            <w:left w:w="108" w:type="dxa"/>
            <w:bottom w:w="0" w:type="dxa"/>
            <w:right w:w="108" w:type="dxa"/>
          </w:tblCellMar>
        </w:tblPrEx>
        <w:trPr>
          <w:trHeight w:val="286" w:hRule="atLeast"/>
        </w:trPr>
        <w:tc>
          <w:tcPr>
            <w:tcW w:w="46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项目负责人：张海燕</w:t>
            </w:r>
          </w:p>
        </w:tc>
        <w:tc>
          <w:tcPr>
            <w:tcW w:w="546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rPr>
              <w:t>财务负责人：王伟</w:t>
            </w:r>
          </w:p>
        </w:tc>
      </w:tr>
    </w:tbl>
    <w:p>
      <w:pPr>
        <w:spacing w:line="580" w:lineRule="exact"/>
        <w:ind w:firstLine="640" w:firstLineChars="200"/>
        <w:rPr>
          <w:rFonts w:ascii="仿宋_GB2312" w:hAnsi="仿宋" w:eastAsia="仿宋_GB2312" w:cs="仿宋_GB2312"/>
          <w:sz w:val="32"/>
          <w:szCs w:val="32"/>
        </w:rPr>
      </w:pP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pPr>
        <w:widowControl/>
        <w:suppressAutoHyphens/>
        <w:ind w:firstLine="640" w:firstLineChars="200"/>
        <w:jc w:val="left"/>
        <w:rPr>
          <w:rFonts w:ascii="仿宋_GB2312" w:hAnsi="仿宋" w:eastAsia="仿宋_GB2312" w:cs="仿宋_GB2312"/>
          <w:sz w:val="32"/>
          <w:szCs w:val="32"/>
        </w:rPr>
      </w:pPr>
      <w:r>
        <w:rPr>
          <w:rFonts w:hint="eastAsia" w:eastAsia="仿宋_GB2312"/>
          <w:sz w:val="32"/>
          <w:szCs w:val="32"/>
        </w:rPr>
        <w:t>（</w:t>
      </w:r>
      <w:r>
        <w:rPr>
          <w:rFonts w:hint="eastAsia" w:ascii="仿宋_GB2312" w:hAnsi="仿宋_GB2312" w:eastAsia="仿宋_GB2312" w:cs="仿宋_GB2312"/>
          <w:kern w:val="0"/>
          <w:sz w:val="32"/>
          <w:szCs w:val="32"/>
          <w:shd w:val="clear" w:color="auto" w:fill="FFFFFF"/>
        </w:rPr>
        <w:t>1</w:t>
      </w:r>
      <w:r>
        <w:rPr>
          <w:rFonts w:hint="eastAsia" w:eastAsia="仿宋_GB2312"/>
          <w:sz w:val="32"/>
          <w:szCs w:val="32"/>
        </w:rPr>
        <w:t>）决策程序。</w:t>
      </w:r>
      <w:r>
        <w:rPr>
          <w:rFonts w:hint="eastAsia" w:eastAsia="仿宋_GB2312"/>
          <w:b/>
          <w:bCs/>
          <w:sz w:val="32"/>
          <w:szCs w:val="32"/>
        </w:rPr>
        <w:t>一是</w:t>
      </w:r>
      <w:r>
        <w:rPr>
          <w:rFonts w:hint="eastAsia" w:eastAsia="仿宋_GB2312"/>
          <w:sz w:val="32"/>
          <w:szCs w:val="32"/>
        </w:rPr>
        <w:t>项目设立上，</w:t>
      </w:r>
      <w:r>
        <w:rPr>
          <w:rFonts w:hint="eastAsia" w:ascii="仿宋" w:hAnsi="仿宋" w:eastAsia="仿宋" w:cs="仿宋"/>
          <w:color w:val="000000"/>
          <w:sz w:val="32"/>
          <w:szCs w:val="32"/>
        </w:rPr>
        <w:t>根据黑总工（2024）19号文件要求和年初下拨基层工会经费预算表立项</w:t>
      </w:r>
      <w:r>
        <w:rPr>
          <w:rFonts w:hint="eastAsia" w:eastAsia="仿宋_GB2312"/>
          <w:sz w:val="32"/>
          <w:szCs w:val="32"/>
        </w:rPr>
        <w:t>。</w:t>
      </w:r>
      <w:r>
        <w:rPr>
          <w:rFonts w:hint="eastAsia" w:eastAsia="仿宋_GB2312"/>
          <w:b/>
          <w:bCs/>
          <w:sz w:val="32"/>
          <w:szCs w:val="32"/>
        </w:rPr>
        <w:t>二是</w:t>
      </w:r>
      <w:r>
        <w:rPr>
          <w:rFonts w:hint="eastAsia" w:eastAsia="仿宋_GB2312"/>
          <w:sz w:val="32"/>
          <w:szCs w:val="32"/>
        </w:rPr>
        <w:t>项目实施上严格</w:t>
      </w:r>
      <w:r>
        <w:rPr>
          <w:rFonts w:hint="eastAsia"/>
          <w:sz w:val="32"/>
          <w:szCs w:val="32"/>
        </w:rPr>
        <w:t>按照工会经费资金用途使用，</w:t>
      </w:r>
      <w:r>
        <w:rPr>
          <w:rFonts w:hint="eastAsia" w:eastAsia="仿宋_GB2312"/>
          <w:sz w:val="32"/>
          <w:szCs w:val="32"/>
        </w:rPr>
        <w:t>符合资金管理基本规范和决策程序要求。三是项目</w:t>
      </w:r>
      <w:r>
        <w:rPr>
          <w:rFonts w:hint="eastAsia" w:ascii="仿宋_GB2312" w:hAnsi="仿宋" w:eastAsia="仿宋_GB2312" w:cs="仿宋_GB2312"/>
          <w:sz w:val="32"/>
          <w:szCs w:val="32"/>
        </w:rPr>
        <w:t>绩效目标设置具备明确性和合理性。</w:t>
      </w:r>
    </w:p>
    <w:p>
      <w:pPr>
        <w:suppressAutoHyphens/>
        <w:spacing w:line="570" w:lineRule="exact"/>
        <w:ind w:firstLine="640"/>
        <w:rPr>
          <w:rFonts w:eastAsia="仿宋_GB2312"/>
          <w:sz w:val="32"/>
          <w:szCs w:val="32"/>
        </w:rPr>
      </w:pPr>
      <w:r>
        <w:rPr>
          <w:rFonts w:hint="eastAsia" w:eastAsia="仿宋_GB2312"/>
          <w:sz w:val="32"/>
          <w:szCs w:val="32"/>
        </w:rPr>
        <w:t>（</w:t>
      </w:r>
      <w:r>
        <w:rPr>
          <w:rFonts w:hint="eastAsia" w:ascii="仿宋_GB2312" w:hAnsi="仿宋_GB2312" w:eastAsia="仿宋_GB2312" w:cs="仿宋_GB2312"/>
          <w:kern w:val="0"/>
          <w:sz w:val="32"/>
          <w:szCs w:val="32"/>
          <w:shd w:val="clear" w:color="auto" w:fill="FFFFFF"/>
        </w:rPr>
        <w:t>2</w:t>
      </w:r>
      <w:r>
        <w:rPr>
          <w:rFonts w:hint="eastAsia" w:eastAsia="仿宋_GB2312"/>
          <w:sz w:val="32"/>
          <w:szCs w:val="32"/>
        </w:rPr>
        <w:t>）规划论证。</w:t>
      </w:r>
    </w:p>
    <w:p>
      <w:pPr>
        <w:suppressAutoHyphens/>
        <w:spacing w:line="570" w:lineRule="exact"/>
        <w:ind w:firstLine="640"/>
        <w:rPr>
          <w:rFonts w:eastAsia="仿宋_GB2312"/>
          <w:sz w:val="32"/>
          <w:szCs w:val="32"/>
        </w:rPr>
      </w:pPr>
      <w:r>
        <w:rPr>
          <w:rFonts w:hint="eastAsia" w:eastAsia="仿宋_GB2312"/>
          <w:b/>
          <w:bCs/>
          <w:sz w:val="32"/>
          <w:szCs w:val="32"/>
        </w:rPr>
        <w:t>一是</w:t>
      </w:r>
      <w:r>
        <w:rPr>
          <w:rFonts w:hint="eastAsia" w:eastAsia="仿宋_GB2312"/>
          <w:sz w:val="32"/>
          <w:szCs w:val="32"/>
        </w:rPr>
        <w:t>项目实施前期，按照相关程序</w:t>
      </w:r>
      <w:r>
        <w:rPr>
          <w:rFonts w:eastAsia="仿宋_GB2312"/>
          <w:sz w:val="32"/>
          <w:szCs w:val="32"/>
        </w:rPr>
        <w:t>进行</w:t>
      </w:r>
      <w:r>
        <w:rPr>
          <w:rFonts w:hint="eastAsia" w:eastAsia="仿宋_GB2312"/>
          <w:sz w:val="32"/>
          <w:szCs w:val="32"/>
        </w:rPr>
        <w:t>项目规划论证</w:t>
      </w:r>
      <w:r>
        <w:rPr>
          <w:rFonts w:eastAsia="仿宋_GB2312"/>
          <w:sz w:val="32"/>
          <w:szCs w:val="32"/>
        </w:rPr>
        <w:t>，</w:t>
      </w:r>
      <w:r>
        <w:rPr>
          <w:rFonts w:hint="eastAsia" w:eastAsia="仿宋_GB2312"/>
          <w:sz w:val="32"/>
          <w:szCs w:val="32"/>
        </w:rPr>
        <w:t>符合</w:t>
      </w:r>
      <w:r>
        <w:rPr>
          <w:rFonts w:hint="eastAsia"/>
          <w:sz w:val="32"/>
          <w:szCs w:val="32"/>
        </w:rPr>
        <w:t>州、县</w:t>
      </w:r>
      <w:r>
        <w:rPr>
          <w:rFonts w:hint="eastAsia" w:eastAsia="仿宋_GB2312"/>
          <w:sz w:val="32"/>
          <w:szCs w:val="32"/>
        </w:rPr>
        <w:t>要求。</w:t>
      </w:r>
    </w:p>
    <w:p>
      <w:pPr>
        <w:suppressAutoHyphens/>
        <w:spacing w:line="570" w:lineRule="exact"/>
        <w:ind w:firstLine="640"/>
        <w:rPr>
          <w:rFonts w:ascii="仿宋" w:hAnsi="仿宋" w:eastAsia="仿宋"/>
          <w:b/>
          <w:bCs/>
          <w:sz w:val="32"/>
          <w:szCs w:val="32"/>
        </w:rPr>
      </w:pPr>
      <w:r>
        <w:rPr>
          <w:rFonts w:hint="eastAsia" w:eastAsia="仿宋_GB2312"/>
          <w:b/>
          <w:bCs/>
          <w:sz w:val="32"/>
          <w:szCs w:val="32"/>
        </w:rPr>
        <w:t>二是</w:t>
      </w:r>
      <w:r>
        <w:rPr>
          <w:rFonts w:hint="eastAsia" w:eastAsia="仿宋_GB2312"/>
          <w:sz w:val="32"/>
          <w:szCs w:val="32"/>
        </w:rPr>
        <w:t>项目绩效目标设置方面，共设置一级指标</w:t>
      </w:r>
      <w:r>
        <w:rPr>
          <w:rFonts w:hint="eastAsia" w:ascii="仿宋_GB2312" w:hAnsi="仿宋_GB2312" w:eastAsia="仿宋_GB2312" w:cs="仿宋_GB2312"/>
          <w:kern w:val="0"/>
          <w:sz w:val="32"/>
          <w:szCs w:val="32"/>
          <w:shd w:val="clear" w:color="auto" w:fill="FFFFFF"/>
        </w:rPr>
        <w:t>3</w:t>
      </w:r>
      <w:r>
        <w:rPr>
          <w:rFonts w:hint="eastAsia" w:eastAsia="仿宋_GB2312"/>
          <w:sz w:val="32"/>
          <w:szCs w:val="32"/>
        </w:rPr>
        <w:t>项：产出指标、效益指标和满意度指标；二级指标</w:t>
      </w:r>
      <w:r>
        <w:rPr>
          <w:rFonts w:hint="eastAsia" w:ascii="仿宋_GB2312" w:hAnsi="仿宋_GB2312" w:eastAsia="仿宋_GB2312" w:cs="仿宋_GB2312"/>
          <w:kern w:val="0"/>
          <w:sz w:val="32"/>
          <w:szCs w:val="32"/>
          <w:shd w:val="clear" w:color="auto" w:fill="FFFFFF"/>
        </w:rPr>
        <w:t>6</w:t>
      </w:r>
      <w:r>
        <w:rPr>
          <w:rFonts w:hint="eastAsia" w:eastAsia="仿宋_GB2312"/>
          <w:sz w:val="32"/>
          <w:szCs w:val="32"/>
        </w:rPr>
        <w:t>项：数量指标、质量指标、时效指标、成本指标、可持续影响指标、服务对象满意度指标；三级指标</w:t>
      </w:r>
      <w:r>
        <w:rPr>
          <w:rFonts w:hint="eastAsia" w:ascii="仿宋_GB2312" w:hAnsi="仿宋_GB2312" w:eastAsia="仿宋_GB2312" w:cs="仿宋_GB2312"/>
          <w:kern w:val="0"/>
          <w:sz w:val="32"/>
          <w:szCs w:val="32"/>
          <w:shd w:val="clear" w:color="auto" w:fill="FFFFFF"/>
        </w:rPr>
        <w:t>6</w:t>
      </w:r>
      <w:r>
        <w:rPr>
          <w:rFonts w:hint="eastAsia" w:eastAsia="仿宋_GB2312"/>
          <w:sz w:val="32"/>
          <w:szCs w:val="32"/>
        </w:rPr>
        <w:t>项：</w:t>
      </w:r>
      <w:r>
        <w:rPr>
          <w:rFonts w:hint="eastAsia" w:ascii="仿宋" w:hAnsi="仿宋" w:eastAsia="仿宋"/>
          <w:sz w:val="32"/>
          <w:szCs w:val="32"/>
        </w:rPr>
        <w:t>下拨</w:t>
      </w:r>
      <w:r>
        <w:rPr>
          <w:rFonts w:hint="eastAsia" w:ascii="仿宋" w:hAnsi="仿宋" w:eastAsia="仿宋"/>
          <w:sz w:val="32"/>
          <w:szCs w:val="32"/>
          <w:lang w:val="en-US" w:eastAsia="zh-CN"/>
        </w:rPr>
        <w:t>67</w:t>
      </w:r>
      <w:r>
        <w:rPr>
          <w:rFonts w:hint="eastAsia" w:ascii="仿宋" w:hAnsi="仿宋" w:eastAsia="仿宋"/>
          <w:sz w:val="32"/>
          <w:szCs w:val="32"/>
        </w:rPr>
        <w:t>个基层工会工作经费、按照财政拨款进行分配、资金支付完成率（</w:t>
      </w:r>
      <w:r>
        <w:rPr>
          <w:rFonts w:hint="eastAsia" w:ascii="仿宋" w:hAnsi="仿宋" w:eastAsia="仿宋"/>
          <w:sz w:val="32"/>
          <w:szCs w:val="32"/>
          <w:lang w:val="en-US" w:eastAsia="zh-CN"/>
        </w:rPr>
        <w:t>100</w:t>
      </w:r>
      <w:r>
        <w:rPr>
          <w:rFonts w:hint="eastAsia" w:ascii="仿宋" w:hAnsi="仿宋" w:eastAsia="仿宋" w:cs="仿宋_GB2312"/>
          <w:kern w:val="0"/>
          <w:sz w:val="32"/>
          <w:szCs w:val="32"/>
          <w:shd w:val="clear" w:color="auto" w:fill="FFFFFF"/>
        </w:rPr>
        <w:t>%</w:t>
      </w:r>
      <w:r>
        <w:rPr>
          <w:rFonts w:hint="eastAsia" w:ascii="仿宋" w:hAnsi="仿宋" w:eastAsia="仿宋"/>
          <w:sz w:val="32"/>
          <w:szCs w:val="32"/>
        </w:rPr>
        <w:t>）、持续发挥社会效益、服务机关事务满意度（</w:t>
      </w:r>
      <w:r>
        <w:rPr>
          <w:rFonts w:hint="eastAsia" w:ascii="仿宋" w:hAnsi="仿宋" w:eastAsia="仿宋"/>
          <w:sz w:val="32"/>
          <w:szCs w:val="32"/>
          <w:lang w:val="en-US" w:eastAsia="zh-CN"/>
        </w:rPr>
        <w:t>95</w:t>
      </w:r>
      <w:r>
        <w:rPr>
          <w:rFonts w:hint="eastAsia" w:ascii="仿宋" w:hAnsi="仿宋" w:eastAsia="仿宋" w:cs="仿宋_GB2312"/>
          <w:kern w:val="0"/>
          <w:sz w:val="32"/>
          <w:szCs w:val="32"/>
          <w:shd w:val="clear" w:color="auto" w:fill="FFFFFF"/>
        </w:rPr>
        <w:t>%），该</w:t>
      </w:r>
      <w:r>
        <w:rPr>
          <w:rFonts w:hint="eastAsia" w:ascii="仿宋" w:hAnsi="仿宋" w:eastAsia="仿宋"/>
          <w:sz w:val="32"/>
          <w:szCs w:val="32"/>
        </w:rPr>
        <w:t>项目绩效目标设置科学合理。</w:t>
      </w:r>
    </w:p>
    <w:p>
      <w:pPr>
        <w:suppressAutoHyphens/>
        <w:spacing w:line="570" w:lineRule="exact"/>
        <w:ind w:firstLine="320" w:firstLineChars="100"/>
        <w:rPr>
          <w:rFonts w:eastAsia="仿宋_GB2312"/>
          <w:sz w:val="32"/>
          <w:szCs w:val="32"/>
        </w:rPr>
      </w:pPr>
      <w:r>
        <w:rPr>
          <w:rFonts w:hint="eastAsia" w:ascii="仿宋_GB2312" w:hAnsi="仿宋_GB2312" w:eastAsia="仿宋_GB2312" w:cs="仿宋_GB2312"/>
          <w:kern w:val="0"/>
          <w:sz w:val="32"/>
          <w:szCs w:val="32"/>
          <w:shd w:val="clear" w:color="auto" w:fill="FFFFFF"/>
        </w:rPr>
        <w:t>（3）资</w:t>
      </w:r>
      <w:r>
        <w:rPr>
          <w:rFonts w:hint="eastAsia" w:eastAsia="仿宋_GB2312"/>
          <w:sz w:val="32"/>
          <w:szCs w:val="32"/>
        </w:rPr>
        <w:t>金投向。</w:t>
      </w:r>
    </w:p>
    <w:p>
      <w:pPr>
        <w:suppressAutoHyphens/>
        <w:spacing w:line="570" w:lineRule="exact"/>
        <w:ind w:firstLine="640" w:firstLineChars="200"/>
        <w:rPr>
          <w:rFonts w:eastAsia="仿宋_GB2312"/>
          <w:sz w:val="32"/>
          <w:szCs w:val="32"/>
        </w:rPr>
      </w:pPr>
      <w:r>
        <w:rPr>
          <w:rFonts w:hint="eastAsia" w:eastAsia="仿宋_GB2312"/>
          <w:sz w:val="32"/>
          <w:szCs w:val="32"/>
        </w:rPr>
        <w:t>严格按照</w:t>
      </w:r>
      <w:r>
        <w:rPr>
          <w:rFonts w:hint="eastAsia"/>
          <w:sz w:val="32"/>
          <w:szCs w:val="32"/>
        </w:rPr>
        <w:t>政工会经费使用</w:t>
      </w:r>
      <w:r>
        <w:rPr>
          <w:rFonts w:hint="eastAsia" w:ascii="仿宋_GB2312" w:hAnsi="仿宋_GB2312" w:eastAsia="仿宋_GB2312" w:cs="仿宋_GB2312"/>
          <w:kern w:val="0"/>
          <w:sz w:val="32"/>
          <w:szCs w:val="32"/>
          <w:shd w:val="clear" w:color="auto" w:fill="FFFFFF"/>
        </w:rPr>
        <w:t>要求</w:t>
      </w:r>
      <w:r>
        <w:rPr>
          <w:rFonts w:hint="eastAsia" w:ascii="仿宋_GB2312" w:hAnsi="仿宋_GB2312" w:eastAsia="仿宋_GB2312" w:cs="仿宋_GB2312"/>
          <w:kern w:val="0"/>
          <w:sz w:val="32"/>
          <w:szCs w:val="32"/>
          <w:shd w:val="clear" w:color="auto" w:fill="FFFFFF"/>
          <w:lang w:val="zh-CN"/>
        </w:rPr>
        <w:t>，</w:t>
      </w:r>
      <w:r>
        <w:rPr>
          <w:rFonts w:hint="eastAsia" w:ascii="仿宋_GB2312" w:hAnsi="仿宋_GB2312" w:eastAsia="仿宋_GB2312" w:cs="仿宋_GB2312"/>
          <w:kern w:val="0"/>
          <w:sz w:val="32"/>
          <w:szCs w:val="32"/>
          <w:shd w:val="clear" w:color="auto" w:fill="FFFFFF"/>
        </w:rPr>
        <w:t>在把握资金投向、明确项目任务基础上，科学分配资金，严格管理，坚持专项使用。</w:t>
      </w:r>
    </w:p>
    <w:p>
      <w:pPr>
        <w:spacing w:line="580" w:lineRule="exact"/>
        <w:ind w:firstLine="640" w:firstLineChars="200"/>
        <w:rPr>
          <w:rFonts w:ascii="仿宋_GB2312" w:hAnsi="仿宋" w:eastAsia="仿宋_GB2312" w:cs="仿宋_GB2312"/>
          <w:sz w:val="32"/>
          <w:szCs w:val="32"/>
        </w:rPr>
      </w:pP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pPr>
        <w:suppressAutoHyphens/>
        <w:spacing w:line="570" w:lineRule="exact"/>
        <w:ind w:firstLine="640"/>
        <w:rPr>
          <w:rFonts w:eastAsia="仿宋_GB2312"/>
          <w:sz w:val="32"/>
          <w:szCs w:val="32"/>
        </w:rPr>
      </w:pPr>
      <w:r>
        <w:rPr>
          <w:rFonts w:hint="eastAsia" w:eastAsia="仿宋_GB2312"/>
          <w:sz w:val="32"/>
          <w:szCs w:val="32"/>
        </w:rPr>
        <w:t>（</w:t>
      </w:r>
      <w:r>
        <w:rPr>
          <w:rFonts w:hint="eastAsia" w:ascii="仿宋_GB2312" w:hAnsi="仿宋_GB2312" w:eastAsia="仿宋_GB2312" w:cs="仿宋_GB2312"/>
          <w:kern w:val="0"/>
          <w:sz w:val="32"/>
          <w:szCs w:val="32"/>
          <w:shd w:val="clear" w:color="auto" w:fill="FFFFFF"/>
        </w:rPr>
        <w:t>1</w:t>
      </w:r>
      <w:r>
        <w:rPr>
          <w:rFonts w:hint="eastAsia" w:eastAsia="仿宋_GB2312"/>
          <w:sz w:val="32"/>
          <w:szCs w:val="32"/>
        </w:rPr>
        <w:t>）制度办法</w:t>
      </w:r>
    </w:p>
    <w:p>
      <w:pPr>
        <w:suppressAutoHyphens/>
        <w:spacing w:line="570" w:lineRule="exact"/>
        <w:ind w:firstLine="640"/>
        <w:rPr>
          <w:rFonts w:ascii="仿宋_GB2312" w:hAnsi="仿宋_GB2312" w:eastAsia="仿宋_GB2312" w:cs="仿宋_GB2312"/>
          <w:kern w:val="0"/>
          <w:sz w:val="32"/>
          <w:szCs w:val="32"/>
          <w:shd w:val="clear" w:color="auto" w:fill="FFFFFF"/>
        </w:rPr>
      </w:pPr>
      <w:r>
        <w:rPr>
          <w:rFonts w:hint="eastAsia" w:eastAsia="仿宋_GB2312"/>
          <w:sz w:val="32"/>
          <w:szCs w:val="32"/>
        </w:rPr>
        <w:t>严格按照</w:t>
      </w:r>
      <w:r>
        <w:rPr>
          <w:rFonts w:hint="eastAsia"/>
          <w:sz w:val="32"/>
          <w:szCs w:val="32"/>
        </w:rPr>
        <w:t>部门</w:t>
      </w:r>
      <w:r>
        <w:rPr>
          <w:rFonts w:hint="eastAsia" w:ascii="仿宋_GB2312" w:hAnsi="仿宋_GB2312" w:cs="仿宋_GB2312"/>
          <w:kern w:val="0"/>
          <w:sz w:val="32"/>
          <w:szCs w:val="32"/>
          <w:shd w:val="clear" w:color="auto" w:fill="FFFFFF"/>
        </w:rPr>
        <w:t>工会经费资金</w:t>
      </w:r>
      <w:r>
        <w:rPr>
          <w:rFonts w:hint="eastAsia" w:ascii="仿宋_GB2312" w:hAnsi="仿宋_GB2312" w:eastAsia="仿宋_GB2312" w:cs="仿宋_GB2312"/>
          <w:kern w:val="0"/>
          <w:sz w:val="32"/>
          <w:szCs w:val="32"/>
          <w:shd w:val="clear" w:color="auto" w:fill="FFFFFF"/>
        </w:rPr>
        <w:t>专项资金管理办法</w:t>
      </w:r>
      <w:r>
        <w:rPr>
          <w:rFonts w:hint="eastAsia" w:eastAsia="仿宋_GB2312"/>
          <w:sz w:val="32"/>
          <w:szCs w:val="32"/>
        </w:rPr>
        <w:t>要求实施推进，</w:t>
      </w:r>
      <w:r>
        <w:rPr>
          <w:rFonts w:hint="eastAsia" w:ascii="仿宋_GB2312" w:hAnsi="仿宋_GB2312" w:eastAsia="仿宋_GB2312" w:cs="仿宋_GB2312"/>
          <w:kern w:val="0"/>
          <w:sz w:val="32"/>
          <w:szCs w:val="32"/>
          <w:shd w:val="clear" w:color="auto" w:fill="FFFFFF"/>
        </w:rPr>
        <w:t>不存在管理制度缺失、管理办法过期情况。</w:t>
      </w:r>
    </w:p>
    <w:p>
      <w:pPr>
        <w:suppressAutoHyphens/>
        <w:spacing w:line="570" w:lineRule="exact"/>
        <w:ind w:firstLine="640"/>
        <w:rPr>
          <w:rFonts w:eastAsia="仿宋_GB2312"/>
          <w:sz w:val="32"/>
          <w:szCs w:val="32"/>
          <w:lang w:val="zh-CN"/>
        </w:rPr>
      </w:pPr>
      <w:r>
        <w:rPr>
          <w:rFonts w:hint="eastAsia" w:eastAsia="仿宋_GB2312"/>
          <w:sz w:val="32"/>
          <w:szCs w:val="32"/>
          <w:lang w:val="zh-CN"/>
        </w:rPr>
        <w:t>（</w:t>
      </w:r>
      <w:r>
        <w:rPr>
          <w:rFonts w:hint="eastAsia" w:ascii="仿宋_GB2312" w:hAnsi="仿宋_GB2312" w:eastAsia="仿宋_GB2312" w:cs="仿宋_GB2312"/>
          <w:kern w:val="0"/>
          <w:sz w:val="32"/>
          <w:szCs w:val="32"/>
          <w:shd w:val="clear" w:color="auto" w:fill="FFFFFF"/>
          <w:lang w:val="zh-CN"/>
        </w:rPr>
        <w:t>2</w:t>
      </w:r>
      <w:r>
        <w:rPr>
          <w:rFonts w:hint="eastAsia" w:eastAsia="仿宋_GB2312"/>
          <w:sz w:val="32"/>
          <w:szCs w:val="32"/>
          <w:lang w:val="zh-CN"/>
        </w:rPr>
        <w:t>）</w:t>
      </w:r>
      <w:r>
        <w:rPr>
          <w:rFonts w:hint="eastAsia" w:eastAsia="仿宋_GB2312"/>
          <w:sz w:val="32"/>
          <w:szCs w:val="32"/>
        </w:rPr>
        <w:t>分配管理</w:t>
      </w:r>
    </w:p>
    <w:p>
      <w:pPr>
        <w:suppressAutoHyphens/>
        <w:spacing w:line="570" w:lineRule="exact"/>
        <w:ind w:firstLine="640"/>
        <w:rPr>
          <w:rFonts w:eastAsia="仿宋_GB2312"/>
          <w:sz w:val="32"/>
          <w:szCs w:val="32"/>
        </w:rPr>
      </w:pPr>
      <w:r>
        <w:rPr>
          <w:rFonts w:hint="eastAsia" w:eastAsia="仿宋_GB2312"/>
          <w:sz w:val="32"/>
          <w:szCs w:val="32"/>
        </w:rPr>
        <w:t>在分配管理上，</w:t>
      </w:r>
      <w:r>
        <w:rPr>
          <w:rFonts w:hint="eastAsia" w:ascii="仿宋" w:hAnsi="仿宋" w:eastAsia="仿宋" w:cs="仿宋"/>
          <w:sz w:val="32"/>
          <w:szCs w:val="32"/>
        </w:rPr>
        <w:t>根据</w:t>
      </w:r>
      <w:r>
        <w:rPr>
          <w:rFonts w:hint="eastAsia" w:ascii="仿宋" w:hAnsi="仿宋" w:eastAsia="仿宋" w:cs="仿宋"/>
          <w:sz w:val="32"/>
          <w:szCs w:val="32"/>
          <w:lang w:eastAsia="zh-CN"/>
        </w:rPr>
        <w:t>《中华人民共和国工会法》</w:t>
      </w:r>
      <w:bookmarkStart w:id="0" w:name="_GoBack"/>
      <w:bookmarkEnd w:id="0"/>
      <w:r>
        <w:rPr>
          <w:rFonts w:hint="eastAsia" w:ascii="仿宋" w:hAnsi="仿宋" w:eastAsia="仿宋" w:cs="仿宋"/>
          <w:sz w:val="30"/>
          <w:szCs w:val="30"/>
        </w:rPr>
        <w:t>相关规定，2024年县总工会下拨直属基层工会经费120万，本级留存80万（其中：上解上级工会40万元）；上述资金分配在2024年度已经按照资金使用要求执行完毕</w:t>
      </w:r>
      <w:r>
        <w:rPr>
          <w:rFonts w:hint="eastAsia" w:eastAsia="仿宋_GB2312"/>
          <w:sz w:val="32"/>
          <w:szCs w:val="32"/>
        </w:rPr>
        <w:t>。决策程序符合管理要求，及时高效。</w:t>
      </w:r>
    </w:p>
    <w:p>
      <w:pPr>
        <w:suppressAutoHyphens/>
        <w:spacing w:line="570" w:lineRule="exact"/>
        <w:ind w:firstLine="640"/>
        <w:rPr>
          <w:rFonts w:eastAsia="仿宋_GB2312"/>
          <w:sz w:val="32"/>
          <w:szCs w:val="32"/>
        </w:rPr>
      </w:pPr>
      <w:r>
        <w:rPr>
          <w:rFonts w:hint="eastAsia" w:eastAsia="仿宋_GB2312"/>
          <w:sz w:val="32"/>
          <w:szCs w:val="32"/>
        </w:rPr>
        <w:t>（</w:t>
      </w:r>
      <w:r>
        <w:rPr>
          <w:rFonts w:hint="eastAsia" w:ascii="仿宋_GB2312" w:hAnsi="仿宋_GB2312" w:eastAsia="仿宋_GB2312" w:cs="仿宋_GB2312"/>
          <w:kern w:val="0"/>
          <w:sz w:val="32"/>
          <w:szCs w:val="32"/>
          <w:shd w:val="clear" w:color="auto" w:fill="FFFFFF"/>
        </w:rPr>
        <w:t>3</w:t>
      </w:r>
      <w:r>
        <w:rPr>
          <w:rFonts w:hint="eastAsia" w:eastAsia="仿宋_GB2312"/>
          <w:sz w:val="32"/>
          <w:szCs w:val="32"/>
        </w:rPr>
        <w:t>）绩效监管</w:t>
      </w:r>
    </w:p>
    <w:p>
      <w:pPr>
        <w:suppressAutoHyphens/>
        <w:spacing w:line="570" w:lineRule="exact"/>
        <w:ind w:firstLine="640"/>
        <w:rPr>
          <w:rFonts w:eastAsia="仿宋_GB2312"/>
          <w:sz w:val="32"/>
          <w:szCs w:val="32"/>
        </w:rPr>
      </w:pPr>
      <w:r>
        <w:rPr>
          <w:rFonts w:hint="eastAsia" w:ascii="仿宋_GB2312" w:hAnsi="宋体"/>
          <w:sz w:val="32"/>
          <w:szCs w:val="32"/>
        </w:rPr>
        <w:t>根据工会经费使用</w:t>
      </w:r>
      <w:r>
        <w:rPr>
          <w:rFonts w:hint="eastAsia" w:eastAsia="仿宋_GB2312"/>
          <w:sz w:val="32"/>
          <w:szCs w:val="32"/>
        </w:rPr>
        <w:t>要求全面完成绩效目标（含事前评估）、绩效评价等预算绩效管理工作，</w:t>
      </w:r>
      <w:r>
        <w:rPr>
          <w:rFonts w:hint="eastAsia"/>
          <w:sz w:val="32"/>
          <w:szCs w:val="32"/>
        </w:rPr>
        <w:t>州县</w:t>
      </w:r>
      <w:r>
        <w:rPr>
          <w:rFonts w:hint="eastAsia" w:eastAsia="仿宋_GB2312"/>
          <w:sz w:val="32"/>
          <w:szCs w:val="32"/>
        </w:rPr>
        <w:t>部门对我县该项目预算绩效管理要求及时开展了评价、监督指导等工作。</w:t>
      </w:r>
    </w:p>
    <w:p>
      <w:pPr>
        <w:spacing w:line="580" w:lineRule="exact"/>
        <w:ind w:firstLine="640" w:firstLineChars="200"/>
        <w:rPr>
          <w:rFonts w:ascii="仿宋_GB2312" w:hAnsi="仿宋" w:eastAsia="仿宋_GB2312" w:cs="仿宋_GB2312"/>
          <w:sz w:val="32"/>
          <w:szCs w:val="32"/>
        </w:rPr>
      </w:pP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项目目标完成情况（数量、质量、时效、成本），项目效益情况（经济效益、项目社会效益、生态效益、可持续效益、公平性、资金使用效率、受益群体满意度等）。</w:t>
      </w:r>
    </w:p>
    <w:p>
      <w:pPr>
        <w:suppressAutoHyphens/>
        <w:spacing w:line="570" w:lineRule="exact"/>
        <w:ind w:firstLine="640" w:firstLineChars="200"/>
        <w:rPr>
          <w:rFonts w:eastAsia="仿宋_GB2312"/>
          <w:sz w:val="32"/>
          <w:szCs w:val="32"/>
        </w:rPr>
      </w:pPr>
      <w:r>
        <w:rPr>
          <w:rFonts w:hint="eastAsia"/>
          <w:sz w:val="32"/>
          <w:szCs w:val="32"/>
        </w:rPr>
        <w:t>(1)</w:t>
      </w:r>
      <w:r>
        <w:rPr>
          <w:rFonts w:hint="eastAsia" w:eastAsia="仿宋_GB2312"/>
          <w:sz w:val="32"/>
          <w:szCs w:val="32"/>
        </w:rPr>
        <w:t>在预算</w:t>
      </w:r>
      <w:r>
        <w:rPr>
          <w:rFonts w:hint="eastAsia" w:eastAsia="仿宋_GB2312"/>
          <w:sz w:val="32"/>
          <w:szCs w:val="32"/>
          <w:lang w:val="zh-CN"/>
        </w:rPr>
        <w:t>执行</w:t>
      </w:r>
      <w:r>
        <w:rPr>
          <w:rFonts w:hint="eastAsia" w:eastAsia="仿宋_GB2312"/>
          <w:sz w:val="32"/>
          <w:szCs w:val="32"/>
        </w:rPr>
        <w:t>上，</w:t>
      </w:r>
      <w:r>
        <w:rPr>
          <w:rFonts w:hint="eastAsia" w:ascii="仿宋_GB2312" w:hAnsi="宋体"/>
          <w:sz w:val="32"/>
          <w:szCs w:val="32"/>
        </w:rPr>
        <w:t>工会经费</w:t>
      </w:r>
      <w:r>
        <w:rPr>
          <w:rFonts w:hint="eastAsia" w:ascii="仿宋_GB2312" w:hAnsi="宋体" w:eastAsia="仿宋_GB2312"/>
          <w:sz w:val="32"/>
          <w:szCs w:val="32"/>
        </w:rPr>
        <w:t>专项资金</w:t>
      </w:r>
      <w:r>
        <w:rPr>
          <w:rFonts w:hint="eastAsia" w:eastAsia="仿宋_GB2312"/>
          <w:sz w:val="32"/>
          <w:szCs w:val="32"/>
        </w:rPr>
        <w:t>年初预算安排</w:t>
      </w:r>
      <w:r>
        <w:rPr>
          <w:rFonts w:hint="eastAsia" w:ascii="仿宋_GB2312" w:hAnsi="仿宋_GB2312" w:eastAsia="仿宋_GB2312" w:cs="仿宋_GB2312"/>
          <w:b w:val="0"/>
          <w:bCs w:val="0"/>
          <w:sz w:val="32"/>
          <w:szCs w:val="32"/>
        </w:rPr>
        <w:t>200</w:t>
      </w:r>
      <w:r>
        <w:rPr>
          <w:rFonts w:hint="eastAsia" w:ascii="仿宋_GB2312" w:hAnsi="仿宋_GB2312" w:eastAsia="仿宋_GB2312" w:cs="仿宋_GB2312"/>
          <w:kern w:val="0"/>
          <w:sz w:val="32"/>
          <w:szCs w:val="32"/>
          <w:shd w:val="clear" w:color="auto" w:fill="FFFFFF"/>
        </w:rPr>
        <w:t>万元，资金到位100%</w:t>
      </w:r>
      <w:r>
        <w:rPr>
          <w:rFonts w:hint="eastAsia" w:eastAsia="仿宋_GB2312"/>
          <w:sz w:val="32"/>
          <w:szCs w:val="32"/>
        </w:rPr>
        <w:t>。</w:t>
      </w:r>
    </w:p>
    <w:p>
      <w:pPr>
        <w:suppressAutoHyphens/>
        <w:spacing w:line="570" w:lineRule="exact"/>
        <w:ind w:firstLine="640" w:firstLineChars="200"/>
        <w:rPr>
          <w:rFonts w:eastAsia="仿宋_GB2312"/>
          <w:sz w:val="32"/>
          <w:szCs w:val="32"/>
        </w:rPr>
      </w:pPr>
      <w:r>
        <w:rPr>
          <w:rFonts w:hint="eastAsia" w:eastAsia="仿宋_GB2312"/>
          <w:sz w:val="32"/>
          <w:szCs w:val="32"/>
        </w:rPr>
        <w:t>在资金使用上，</w:t>
      </w:r>
      <w:r>
        <w:rPr>
          <w:rFonts w:eastAsia="仿宋_GB2312"/>
          <w:sz w:val="32"/>
          <w:szCs w:val="32"/>
        </w:rPr>
        <w:t>严格按照资金管理</w:t>
      </w:r>
      <w:r>
        <w:rPr>
          <w:rFonts w:hint="eastAsia" w:eastAsia="仿宋_GB2312"/>
          <w:sz w:val="32"/>
          <w:szCs w:val="32"/>
        </w:rPr>
        <w:t>程序进行资金支付</w:t>
      </w:r>
      <w:r>
        <w:rPr>
          <w:rFonts w:eastAsia="仿宋_GB2312"/>
          <w:sz w:val="32"/>
          <w:szCs w:val="32"/>
        </w:rPr>
        <w:t>，目前已完成资金支付</w:t>
      </w:r>
      <w:r>
        <w:rPr>
          <w:rFonts w:hint="eastAsia" w:ascii="仿宋_GB2312" w:hAnsi="仿宋_GB2312" w:cs="仿宋_GB2312"/>
          <w:kern w:val="0"/>
          <w:sz w:val="32"/>
          <w:szCs w:val="32"/>
          <w:shd w:val="clear" w:color="auto" w:fill="FFFFFF"/>
        </w:rPr>
        <w:t>200</w:t>
      </w:r>
      <w:r>
        <w:rPr>
          <w:rFonts w:eastAsia="仿宋_GB2312"/>
          <w:sz w:val="32"/>
          <w:szCs w:val="32"/>
        </w:rPr>
        <w:t>万元。</w:t>
      </w:r>
    </w:p>
    <w:p>
      <w:pPr>
        <w:suppressAutoHyphens/>
        <w:spacing w:line="570" w:lineRule="exact"/>
        <w:ind w:firstLine="320" w:firstLineChars="100"/>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（2）目标完成。</w:t>
      </w:r>
      <w:r>
        <w:rPr>
          <w:rFonts w:hint="eastAsia" w:ascii="仿宋_GB2312" w:hAnsi="宋体"/>
          <w:sz w:val="32"/>
          <w:szCs w:val="32"/>
        </w:rPr>
        <w:t>工会经费</w:t>
      </w:r>
      <w:r>
        <w:rPr>
          <w:rFonts w:hint="eastAsia" w:ascii="仿宋_GB2312" w:hAnsi="宋体" w:eastAsia="仿宋_GB2312"/>
          <w:sz w:val="32"/>
          <w:szCs w:val="32"/>
        </w:rPr>
        <w:t>专项资金</w:t>
      </w:r>
      <w:r>
        <w:rPr>
          <w:rFonts w:hint="eastAsia" w:ascii="仿宋_GB2312" w:hAnsi="宋体"/>
          <w:sz w:val="32"/>
          <w:szCs w:val="32"/>
        </w:rPr>
        <w:t>项目</w:t>
      </w:r>
      <w:r>
        <w:rPr>
          <w:rFonts w:hint="eastAsia" w:eastAsia="仿宋_GB2312"/>
          <w:sz w:val="32"/>
          <w:szCs w:val="32"/>
        </w:rPr>
        <w:t>有序推进，</w:t>
      </w:r>
      <w:r>
        <w:rPr>
          <w:rFonts w:eastAsia="仿宋_GB2312"/>
          <w:sz w:val="32"/>
          <w:szCs w:val="32"/>
        </w:rPr>
        <w:t>现已完成年度目标。</w:t>
      </w:r>
    </w:p>
    <w:p>
      <w:pPr>
        <w:pStyle w:val="7"/>
        <w:ind w:firstLine="320"/>
        <w:rPr>
          <w:rFonts w:ascii="仿宋_GB2312" w:hAnsi="仿宋_GB2312" w:eastAsia="仿宋_GB2312" w:cs="仿宋_GB2312"/>
          <w:sz w:val="32"/>
          <w:szCs w:val="32"/>
          <w:shd w:val="clear" w:color="auto" w:fill="FFFFFF"/>
          <w:lang w:eastAsia="zh-CN"/>
        </w:rPr>
      </w:pPr>
      <w:r>
        <w:rPr>
          <w:rFonts w:hint="eastAsia" w:ascii="仿宋_GB2312" w:hAnsi="仿宋_GB2312" w:eastAsia="仿宋_GB2312" w:cs="仿宋_GB2312"/>
          <w:sz w:val="32"/>
          <w:szCs w:val="32"/>
          <w:shd w:val="clear" w:color="auto" w:fill="FFFFFF"/>
          <w:lang w:eastAsia="zh-CN"/>
        </w:rPr>
        <w:t>（3）完成时效。按照预算执行完毕。</w:t>
      </w:r>
    </w:p>
    <w:p>
      <w:pPr>
        <w:pStyle w:val="7"/>
        <w:ind w:firstLine="320"/>
        <w:rPr>
          <w:rFonts w:ascii="仿宋" w:hAnsi="仿宋" w:eastAsia="仿宋" w:cs="仿宋"/>
          <w:b/>
          <w:sz w:val="30"/>
          <w:szCs w:val="30"/>
          <w:lang w:val="zh-CN" w:eastAsia="zh-CN"/>
        </w:rPr>
      </w:pPr>
      <w:r>
        <w:rPr>
          <w:rFonts w:hint="eastAsia" w:ascii="仿宋_GB2312" w:hAnsi="仿宋_GB2312" w:eastAsia="仿宋_GB2312" w:cs="仿宋_GB2312"/>
          <w:sz w:val="32"/>
          <w:szCs w:val="32"/>
          <w:shd w:val="clear" w:color="auto" w:fill="FFFFFF"/>
          <w:lang w:eastAsia="zh-CN"/>
        </w:rPr>
        <w:t>（4）</w:t>
      </w:r>
      <w:r>
        <w:rPr>
          <w:rFonts w:hint="eastAsia" w:ascii="Times New Roman" w:hAnsi="Times New Roman" w:eastAsia="仿宋_GB2312"/>
          <w:sz w:val="32"/>
          <w:szCs w:val="32"/>
          <w:lang w:eastAsia="zh-CN"/>
        </w:rPr>
        <w:t xml:space="preserve"> </w:t>
      </w:r>
      <w:r>
        <w:rPr>
          <w:rFonts w:hint="eastAsia" w:ascii="仿宋" w:hAnsi="仿宋" w:eastAsia="仿宋" w:cs="仿宋"/>
          <w:bCs/>
          <w:sz w:val="30"/>
          <w:szCs w:val="30"/>
          <w:lang w:val="zh-CN" w:eastAsia="zh-CN"/>
        </w:rPr>
        <w:t>项目绩效目标设置</w:t>
      </w:r>
    </w:p>
    <w:p>
      <w:pPr>
        <w:widowControl/>
        <w:suppressAutoHyphens/>
        <w:adjustRightInd w:val="0"/>
        <w:snapToGrid w:val="0"/>
        <w:spacing w:line="570" w:lineRule="exact"/>
        <w:ind w:firstLine="602" w:firstLineChars="200"/>
        <w:contextualSpacing/>
        <w:jc w:val="left"/>
        <w:rPr>
          <w:rFonts w:ascii="仿宋_GB2312" w:hAnsi="仿宋_GB2312" w:eastAsia="仿宋_GB2312" w:cs="仿宋_GB2312"/>
          <w:kern w:val="0"/>
          <w:sz w:val="32"/>
          <w:szCs w:val="32"/>
          <w:shd w:val="clear" w:color="auto" w:fill="FFFFFF"/>
          <w:lang w:val="zh-CN"/>
        </w:rPr>
      </w:pPr>
      <w:r>
        <w:rPr>
          <w:rFonts w:hint="eastAsia" w:ascii="仿宋" w:hAnsi="仿宋" w:eastAsia="仿宋" w:cs="仿宋"/>
          <w:b/>
          <w:sz w:val="30"/>
          <w:szCs w:val="30"/>
        </w:rPr>
        <w:t xml:space="preserve">    </w:t>
      </w:r>
      <w:r>
        <w:rPr>
          <w:rFonts w:hint="eastAsia" w:ascii="仿宋_GB2312" w:hAnsi="仿宋_GB2312" w:eastAsia="仿宋_GB2312" w:cs="仿宋_GB2312"/>
          <w:kern w:val="0"/>
          <w:sz w:val="32"/>
          <w:szCs w:val="32"/>
          <w:shd w:val="clear" w:color="auto" w:fill="FFFFFF"/>
        </w:rPr>
        <w:t>根据项目实际，共设置三大类指标，分别为</w:t>
      </w:r>
      <w:r>
        <w:rPr>
          <w:rFonts w:hint="eastAsia" w:ascii="仿宋_GB2312" w:hAnsi="仿宋_GB2312" w:eastAsia="仿宋_GB2312" w:cs="仿宋_GB2312"/>
          <w:kern w:val="0"/>
          <w:sz w:val="32"/>
          <w:szCs w:val="32"/>
          <w:shd w:val="clear" w:color="auto" w:fill="FFFFFF"/>
          <w:lang w:val="zh-CN"/>
        </w:rPr>
        <w:t>产出指标、效益指标、满意度指标。</w:t>
      </w:r>
    </w:p>
    <w:p>
      <w:pPr>
        <w:widowControl/>
        <w:suppressAutoHyphens/>
        <w:adjustRightInd w:val="0"/>
        <w:snapToGrid w:val="0"/>
        <w:spacing w:line="570"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1.产出指标</w:t>
      </w:r>
    </w:p>
    <w:p>
      <w:pPr>
        <w:widowControl/>
        <w:suppressAutoHyphens/>
        <w:adjustRightInd w:val="0"/>
        <w:snapToGrid w:val="0"/>
        <w:spacing w:line="570" w:lineRule="exact"/>
        <w:ind w:firstLine="640" w:firstLineChars="200"/>
        <w:contextualSpacing/>
        <w:jc w:val="left"/>
        <w:rPr>
          <w:rFonts w:ascii="仿宋_GB2312" w:hAnsi="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（1）数量指标</w:t>
      </w:r>
      <w:r>
        <w:rPr>
          <w:rFonts w:hint="eastAsia" w:ascii="仿宋_GB2312" w:hAnsi="仿宋_GB2312" w:eastAsia="仿宋_GB2312" w:cs="仿宋_GB2312"/>
          <w:kern w:val="0"/>
          <w:sz w:val="32"/>
          <w:szCs w:val="32"/>
          <w:shd w:val="clear" w:color="auto" w:fill="FFFFFF"/>
        </w:rPr>
        <w:tab/>
      </w:r>
      <w:r>
        <w:rPr>
          <w:rFonts w:hint="eastAsia" w:ascii="仿宋_GB2312" w:hAnsi="仿宋_GB2312" w:cs="仿宋_GB2312"/>
          <w:kern w:val="0"/>
          <w:sz w:val="32"/>
          <w:szCs w:val="32"/>
          <w:shd w:val="clear" w:color="auto" w:fill="FFFFFF"/>
        </w:rPr>
        <w:t>下拨基层</w:t>
      </w:r>
      <w:r>
        <w:rPr>
          <w:rFonts w:hint="eastAsia" w:ascii="仿宋_GB2312" w:hAnsi="仿宋_GB2312" w:cs="仿宋_GB2312"/>
          <w:kern w:val="0"/>
          <w:sz w:val="32"/>
          <w:szCs w:val="32"/>
          <w:shd w:val="clear" w:color="auto" w:fill="FFFFFF"/>
          <w:lang w:val="en-US" w:eastAsia="zh-CN"/>
        </w:rPr>
        <w:t>67</w:t>
      </w:r>
      <w:r>
        <w:rPr>
          <w:rFonts w:hint="eastAsia" w:ascii="仿宋_GB2312" w:hAnsi="仿宋_GB2312" w:cs="仿宋_GB2312"/>
          <w:kern w:val="0"/>
          <w:sz w:val="32"/>
          <w:szCs w:val="32"/>
          <w:shd w:val="clear" w:color="auto" w:fill="FFFFFF"/>
        </w:rPr>
        <w:t>个基层工会单位</w:t>
      </w:r>
      <w:r>
        <w:rPr>
          <w:rFonts w:hint="eastAsia" w:ascii="仿宋_GB2312" w:hAnsi="仿宋_GB2312" w:cs="仿宋_GB2312"/>
          <w:kern w:val="0"/>
          <w:sz w:val="32"/>
          <w:szCs w:val="32"/>
          <w:shd w:val="clear" w:color="auto" w:fill="FFFFFF"/>
          <w:lang w:val="en-US" w:eastAsia="zh-CN"/>
        </w:rPr>
        <w:t>67</w:t>
      </w:r>
      <w:r>
        <w:rPr>
          <w:rFonts w:hint="eastAsia" w:ascii="仿宋_GB2312" w:hAnsi="仿宋_GB2312" w:cs="仿宋_GB2312"/>
          <w:kern w:val="0"/>
          <w:sz w:val="32"/>
          <w:szCs w:val="32"/>
          <w:shd w:val="clear" w:color="auto" w:fill="FFFFFF"/>
        </w:rPr>
        <w:t>个</w:t>
      </w:r>
      <w:r>
        <w:rPr>
          <w:rFonts w:hint="eastAsia" w:ascii="仿宋_GB2312" w:hAnsi="仿宋_GB2312" w:eastAsia="仿宋_GB2312" w:cs="仿宋_GB2312"/>
          <w:kern w:val="0"/>
          <w:sz w:val="32"/>
          <w:szCs w:val="32"/>
          <w:shd w:val="clear" w:color="auto" w:fill="FFFFFF"/>
        </w:rPr>
        <w:t xml:space="preserve">       </w:t>
      </w:r>
    </w:p>
    <w:p>
      <w:pPr>
        <w:pStyle w:val="6"/>
        <w:ind w:left="1060" w:hanging="640"/>
        <w:rPr>
          <w:rFonts w:ascii="仿宋" w:hAnsi="仿宋" w:eastAsia="仿宋" w:cs="仿宋"/>
          <w:kern w:val="0"/>
          <w:sz w:val="32"/>
          <w:szCs w:val="32"/>
          <w:shd w:val="clear" w:color="auto" w:fill="FFFFFF"/>
        </w:rPr>
      </w:pPr>
      <w:r>
        <w:rPr>
          <w:rFonts w:hint="eastAsia" w:ascii="仿宋_GB2312" w:hAnsi="仿宋_GB2312" w:cs="仿宋_GB2312"/>
          <w:kern w:val="0"/>
          <w:sz w:val="32"/>
          <w:szCs w:val="32"/>
          <w:shd w:val="clear" w:color="auto" w:fill="FFFFFF"/>
        </w:rPr>
        <w:t xml:space="preserve">     </w:t>
      </w:r>
      <w:r>
        <w:rPr>
          <w:rFonts w:hint="eastAsia" w:ascii="仿宋_GB2312" w:hAnsi="仿宋_GB2312" w:eastAsia="仿宋_GB2312" w:cs="仿宋_GB2312"/>
          <w:kern w:val="0"/>
          <w:sz w:val="32"/>
          <w:szCs w:val="32"/>
          <w:shd w:val="clear" w:color="auto" w:fill="FFFFFF"/>
        </w:rPr>
        <w:t>数量指标</w:t>
      </w:r>
      <w:r>
        <w:rPr>
          <w:rFonts w:hint="eastAsia" w:ascii="仿宋_GB2312" w:hAnsi="仿宋_GB2312" w:cs="仿宋_GB2312"/>
          <w:kern w:val="0"/>
          <w:sz w:val="32"/>
          <w:szCs w:val="32"/>
          <w:shd w:val="clear" w:color="auto" w:fill="FFFFFF"/>
        </w:rPr>
        <w:t xml:space="preserve">  下拨基层</w:t>
      </w:r>
      <w:r>
        <w:rPr>
          <w:rFonts w:hint="eastAsia" w:ascii="仿宋_GB2312" w:hAnsi="仿宋_GB2312" w:cs="仿宋_GB2312"/>
          <w:kern w:val="0"/>
          <w:sz w:val="32"/>
          <w:szCs w:val="32"/>
          <w:shd w:val="clear" w:color="auto" w:fill="FFFFFF"/>
          <w:lang w:val="en-US" w:eastAsia="zh-CN"/>
        </w:rPr>
        <w:t>67</w:t>
      </w:r>
      <w:r>
        <w:rPr>
          <w:rFonts w:hint="eastAsia" w:ascii="仿宋_GB2312" w:hAnsi="仿宋_GB2312" w:cs="仿宋_GB2312"/>
          <w:kern w:val="0"/>
          <w:sz w:val="32"/>
          <w:szCs w:val="32"/>
          <w:shd w:val="clear" w:color="auto" w:fill="FFFFFF"/>
        </w:rPr>
        <w:t>个基层工会单位工会经费 120万元</w:t>
      </w:r>
    </w:p>
    <w:p>
      <w:pPr>
        <w:pStyle w:val="6"/>
        <w:ind w:left="1060" w:hanging="640"/>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（2）</w:t>
      </w:r>
      <w:r>
        <w:rPr>
          <w:rFonts w:hint="eastAsia" w:ascii="仿宋_GB2312" w:hAnsi="仿宋_GB2312" w:cs="仿宋_GB2312"/>
          <w:kern w:val="0"/>
          <w:sz w:val="32"/>
          <w:szCs w:val="32"/>
          <w:shd w:val="clear" w:color="auto" w:fill="FFFFFF"/>
        </w:rPr>
        <w:t>效益</w:t>
      </w:r>
      <w:r>
        <w:rPr>
          <w:rFonts w:hint="eastAsia" w:ascii="仿宋_GB2312" w:hAnsi="仿宋_GB2312" w:eastAsia="仿宋_GB2312" w:cs="仿宋_GB2312"/>
          <w:kern w:val="0"/>
          <w:sz w:val="32"/>
          <w:szCs w:val="32"/>
          <w:shd w:val="clear" w:color="auto" w:fill="FFFFFF"/>
        </w:rPr>
        <w:t>指标</w:t>
      </w:r>
      <w:r>
        <w:rPr>
          <w:rFonts w:hint="eastAsia" w:ascii="仿宋_GB2312" w:hAnsi="仿宋_GB2312" w:eastAsia="仿宋_GB2312" w:cs="仿宋_GB2312"/>
          <w:kern w:val="0"/>
          <w:sz w:val="32"/>
          <w:szCs w:val="32"/>
          <w:shd w:val="clear" w:color="auto" w:fill="FFFFFF"/>
        </w:rPr>
        <w:tab/>
      </w:r>
      <w:r>
        <w:rPr>
          <w:rFonts w:hint="eastAsia" w:ascii="仿宋_GB2312" w:hAnsi="仿宋_GB2312" w:eastAsia="仿宋_GB2312" w:cs="仿宋_GB2312"/>
          <w:kern w:val="0"/>
          <w:sz w:val="32"/>
          <w:szCs w:val="32"/>
          <w:shd w:val="clear" w:color="auto" w:fill="FFFFFF"/>
        </w:rPr>
        <w:t>保障基层正常运行</w:t>
      </w:r>
      <w:r>
        <w:rPr>
          <w:rFonts w:hint="eastAsia" w:ascii="仿宋_GB2312" w:hAnsi="仿宋_GB2312" w:cs="仿宋_GB2312"/>
          <w:kern w:val="0"/>
          <w:sz w:val="32"/>
          <w:szCs w:val="32"/>
          <w:shd w:val="clear" w:color="auto" w:fill="FFFFFF"/>
        </w:rPr>
        <w:t xml:space="preserve">   其他</w:t>
      </w:r>
    </w:p>
    <w:p>
      <w:pPr>
        <w:widowControl/>
        <w:suppressAutoHyphens/>
        <w:adjustRightInd w:val="0"/>
        <w:snapToGrid w:val="0"/>
        <w:spacing w:line="570" w:lineRule="exact"/>
        <w:ind w:firstLine="640" w:firstLineChars="200"/>
        <w:contextualSpacing/>
        <w:jc w:val="left"/>
      </w:pPr>
      <w:r>
        <w:rPr>
          <w:rFonts w:hint="eastAsia" w:ascii="仿宋_GB2312" w:hAnsi="仿宋_GB2312" w:eastAsia="仿宋_GB2312" w:cs="仿宋_GB2312"/>
          <w:kern w:val="0"/>
          <w:sz w:val="32"/>
          <w:szCs w:val="32"/>
          <w:shd w:val="clear" w:color="auto" w:fill="FFFFFF"/>
        </w:rPr>
        <w:t>（3）时效指标</w:t>
      </w:r>
      <w:r>
        <w:rPr>
          <w:rFonts w:hint="eastAsia" w:ascii="仿宋_GB2312" w:hAnsi="仿宋_GB2312" w:eastAsia="仿宋_GB2312" w:cs="仿宋_GB2312"/>
          <w:kern w:val="0"/>
          <w:sz w:val="32"/>
          <w:szCs w:val="32"/>
          <w:shd w:val="clear" w:color="auto" w:fill="FFFFFF"/>
        </w:rPr>
        <w:tab/>
      </w:r>
      <w:r>
        <w:rPr>
          <w:rFonts w:hint="eastAsia" w:ascii="仿宋_GB2312" w:hAnsi="仿宋_GB2312" w:eastAsia="仿宋_GB2312" w:cs="仿宋_GB2312"/>
          <w:kern w:val="0"/>
          <w:sz w:val="32"/>
          <w:szCs w:val="32"/>
          <w:shd w:val="clear" w:color="auto" w:fill="FFFFFF"/>
        </w:rPr>
        <w:t>项目</w:t>
      </w:r>
      <w:r>
        <w:rPr>
          <w:rFonts w:hint="eastAsia" w:ascii="仿宋_GB2312" w:hAnsi="仿宋_GB2312" w:cs="仿宋_GB2312"/>
          <w:kern w:val="0"/>
          <w:sz w:val="32"/>
          <w:szCs w:val="32"/>
          <w:shd w:val="clear" w:color="auto" w:fill="FFFFFF"/>
        </w:rPr>
        <w:t xml:space="preserve">支付完成率     </w:t>
      </w:r>
      <w:r>
        <w:rPr>
          <w:rFonts w:hint="eastAsia" w:ascii="仿宋_GB2312" w:hAnsi="仿宋_GB2312" w:eastAsia="仿宋_GB2312" w:cs="仿宋_GB2312"/>
          <w:kern w:val="0"/>
          <w:sz w:val="32"/>
          <w:szCs w:val="32"/>
          <w:shd w:val="clear" w:color="auto" w:fill="FFFFFF"/>
        </w:rPr>
        <w:t>≥ 95</w:t>
      </w:r>
      <w:r>
        <w:rPr>
          <w:rFonts w:hint="eastAsia" w:ascii="仿宋_GB2312" w:hAnsi="仿宋_GB2312" w:cs="仿宋_GB2312"/>
          <w:kern w:val="0"/>
          <w:sz w:val="32"/>
          <w:szCs w:val="32"/>
          <w:shd w:val="clear" w:color="auto" w:fill="FFFFFF"/>
        </w:rPr>
        <w:t>%</w:t>
      </w:r>
    </w:p>
    <w:p>
      <w:pPr>
        <w:widowControl/>
        <w:suppressAutoHyphens/>
        <w:adjustRightInd w:val="0"/>
        <w:snapToGrid w:val="0"/>
        <w:spacing w:line="570" w:lineRule="exact"/>
        <w:ind w:firstLine="640" w:firstLineChars="200"/>
        <w:contextualSpacing/>
        <w:jc w:val="left"/>
        <w:rPr>
          <w:rFonts w:eastAsia="仿宋_GB2312"/>
          <w:color w:val="C00000"/>
          <w:sz w:val="32"/>
          <w:szCs w:val="32"/>
        </w:rPr>
      </w:pPr>
      <w:r>
        <w:rPr>
          <w:rFonts w:hint="eastAsia" w:ascii="仿宋_GB2312" w:hAnsi="仿宋_GB2312" w:eastAsia="仿宋_GB2312" w:cs="仿宋_GB2312"/>
          <w:kern w:val="0"/>
          <w:sz w:val="32"/>
          <w:szCs w:val="32"/>
          <w:shd w:val="clear" w:color="auto" w:fill="FFFFFF"/>
        </w:rPr>
        <w:t>2.</w:t>
      </w:r>
      <w:r>
        <w:rPr>
          <w:rFonts w:hint="eastAsia" w:ascii="仿宋_GB2312" w:hAnsi="仿宋_GB2312" w:eastAsia="仿宋_GB2312" w:cs="仿宋_GB2312"/>
          <w:kern w:val="0"/>
          <w:sz w:val="32"/>
          <w:szCs w:val="32"/>
          <w:shd w:val="clear" w:color="auto" w:fill="FFFFFF"/>
          <w:lang w:val="zh-CN"/>
        </w:rPr>
        <w:t>效益指标</w:t>
      </w:r>
      <w:r>
        <w:rPr>
          <w:rFonts w:hint="eastAsia" w:eastAsia="仿宋_GB2312"/>
          <w:color w:val="C00000"/>
          <w:sz w:val="32"/>
          <w:szCs w:val="32"/>
        </w:rPr>
        <w:tab/>
      </w:r>
    </w:p>
    <w:p>
      <w:pPr>
        <w:widowControl/>
        <w:suppressAutoHyphens/>
        <w:adjustRightInd w:val="0"/>
        <w:snapToGrid w:val="0"/>
        <w:spacing w:line="570" w:lineRule="exact"/>
        <w:ind w:firstLine="640" w:firstLineChars="200"/>
        <w:contextualSpacing/>
        <w:jc w:val="left"/>
        <w:rPr>
          <w:rFonts w:ascii="仿宋_GB2312" w:hAnsi="仿宋_GB2312" w:eastAsia="仿宋_GB2312" w:cs="仿宋_GB2312"/>
          <w:w w:val="80"/>
          <w:kern w:val="0"/>
          <w:sz w:val="32"/>
          <w:szCs w:val="32"/>
          <w:shd w:val="clear" w:color="auto" w:fill="FFFFFF"/>
        </w:rPr>
      </w:pPr>
      <w:r>
        <w:rPr>
          <w:rFonts w:hint="eastAsia" w:ascii="仿宋_GB2312" w:hAnsi="仿宋_GB2312" w:cs="仿宋_GB2312"/>
          <w:kern w:val="0"/>
          <w:sz w:val="32"/>
          <w:szCs w:val="32"/>
          <w:shd w:val="clear" w:color="auto" w:fill="FFFFFF"/>
        </w:rPr>
        <w:t>效益</w:t>
      </w:r>
      <w:r>
        <w:rPr>
          <w:rFonts w:hint="eastAsia" w:ascii="仿宋_GB2312" w:hAnsi="仿宋_GB2312" w:eastAsia="仿宋_GB2312" w:cs="仿宋_GB2312"/>
          <w:kern w:val="0"/>
          <w:sz w:val="32"/>
          <w:szCs w:val="32"/>
          <w:shd w:val="clear" w:color="auto" w:fill="FFFFFF"/>
        </w:rPr>
        <w:t>指标</w:t>
      </w:r>
      <w:r>
        <w:rPr>
          <w:rFonts w:hint="eastAsia" w:ascii="仿宋_GB2312" w:hAnsi="仿宋_GB2312" w:cs="仿宋_GB2312"/>
          <w:kern w:val="0"/>
          <w:sz w:val="32"/>
          <w:szCs w:val="32"/>
          <w:shd w:val="clear" w:color="auto" w:fill="FFFFFF"/>
        </w:rPr>
        <w:t xml:space="preserve">     </w:t>
      </w:r>
      <w:r>
        <w:rPr>
          <w:rFonts w:hint="eastAsia" w:ascii="仿宋_GB2312" w:hAnsi="仿宋_GB2312" w:eastAsia="仿宋_GB2312" w:cs="仿宋_GB2312"/>
          <w:kern w:val="0"/>
          <w:sz w:val="32"/>
          <w:szCs w:val="32"/>
          <w:shd w:val="clear" w:color="auto" w:fill="FFFFFF"/>
        </w:rPr>
        <w:t>提升</w:t>
      </w:r>
      <w:r>
        <w:rPr>
          <w:rFonts w:hint="eastAsia" w:ascii="仿宋_GB2312" w:hAnsi="仿宋_GB2312" w:cs="仿宋_GB2312"/>
          <w:kern w:val="0"/>
          <w:sz w:val="32"/>
          <w:szCs w:val="32"/>
          <w:shd w:val="clear" w:color="auto" w:fill="FFFFFF"/>
        </w:rPr>
        <w:t xml:space="preserve">机关事务运行     </w:t>
      </w:r>
      <w:r>
        <w:rPr>
          <w:rFonts w:hint="eastAsia" w:ascii="仿宋_GB2312" w:hAnsi="仿宋_GB2312" w:eastAsia="仿宋_GB2312" w:cs="仿宋_GB2312"/>
          <w:w w:val="80"/>
          <w:kern w:val="0"/>
          <w:sz w:val="32"/>
          <w:szCs w:val="32"/>
          <w:shd w:val="clear" w:color="auto" w:fill="FFFFFF"/>
        </w:rPr>
        <w:t>是</w:t>
      </w:r>
    </w:p>
    <w:p>
      <w:pPr>
        <w:widowControl/>
        <w:suppressAutoHyphens/>
        <w:adjustRightInd w:val="0"/>
        <w:snapToGrid w:val="0"/>
        <w:spacing w:line="570" w:lineRule="exact"/>
        <w:ind w:firstLine="640" w:firstLineChars="200"/>
        <w:contextualSpacing/>
        <w:jc w:val="left"/>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3.满意度指标</w:t>
      </w:r>
      <w:r>
        <w:rPr>
          <w:rFonts w:hint="eastAsia" w:ascii="仿宋_GB2312" w:hAnsi="仿宋_GB2312" w:eastAsia="仿宋_GB2312" w:cs="仿宋_GB2312"/>
          <w:kern w:val="0"/>
          <w:sz w:val="32"/>
          <w:szCs w:val="32"/>
          <w:shd w:val="clear" w:color="auto" w:fill="FFFFFF"/>
        </w:rPr>
        <w:tab/>
      </w:r>
    </w:p>
    <w:p>
      <w:pPr>
        <w:widowControl/>
        <w:suppressAutoHyphens/>
        <w:adjustRightInd w:val="0"/>
        <w:snapToGrid w:val="0"/>
        <w:spacing w:line="570" w:lineRule="exact"/>
        <w:ind w:firstLine="640" w:firstLineChars="200"/>
        <w:contextualSpacing/>
        <w:jc w:val="left"/>
        <w:rPr>
          <w:rFonts w:ascii="仿宋_GB2312" w:hAnsi="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服务对象满意度指标</w:t>
      </w:r>
      <w:r>
        <w:rPr>
          <w:rFonts w:hint="eastAsia" w:ascii="仿宋_GB2312" w:hAnsi="仿宋_GB2312" w:eastAsia="仿宋_GB2312" w:cs="仿宋_GB2312"/>
          <w:kern w:val="0"/>
          <w:sz w:val="32"/>
          <w:szCs w:val="32"/>
          <w:shd w:val="clear" w:color="auto" w:fill="FFFFFF"/>
        </w:rPr>
        <w:tab/>
      </w:r>
      <w:r>
        <w:rPr>
          <w:rFonts w:hint="eastAsia" w:ascii="仿宋_GB2312" w:hAnsi="仿宋_GB2312" w:cs="仿宋_GB2312"/>
          <w:kern w:val="0"/>
          <w:sz w:val="32"/>
          <w:szCs w:val="32"/>
          <w:shd w:val="clear" w:color="auto" w:fill="FFFFFF"/>
        </w:rPr>
        <w:t>服务机关事务</w:t>
      </w:r>
      <w:r>
        <w:rPr>
          <w:rFonts w:hint="eastAsia" w:ascii="仿宋_GB2312" w:hAnsi="仿宋_GB2312" w:eastAsia="仿宋_GB2312" w:cs="仿宋_GB2312"/>
          <w:kern w:val="0"/>
          <w:sz w:val="32"/>
          <w:szCs w:val="32"/>
          <w:shd w:val="clear" w:color="auto" w:fill="FFFFFF"/>
        </w:rPr>
        <w:t xml:space="preserve">满意度（%） ≥ </w:t>
      </w:r>
      <w:r>
        <w:rPr>
          <w:rFonts w:hint="eastAsia" w:ascii="仿宋_GB2312" w:hAnsi="仿宋_GB2312" w:cs="仿宋_GB2312"/>
          <w:kern w:val="0"/>
          <w:sz w:val="32"/>
          <w:szCs w:val="32"/>
          <w:shd w:val="clear" w:color="auto" w:fill="FFFFFF"/>
        </w:rPr>
        <w:t>95%</w:t>
      </w:r>
    </w:p>
    <w:p>
      <w:pPr>
        <w:pStyle w:val="7"/>
        <w:ind w:firstLine="301"/>
        <w:rPr>
          <w:rFonts w:ascii="仿宋" w:hAnsi="仿宋" w:eastAsia="仿宋" w:cs="仿宋"/>
          <w:b/>
          <w:sz w:val="30"/>
          <w:szCs w:val="30"/>
          <w:lang w:eastAsia="zh-CN"/>
        </w:rPr>
      </w:pPr>
    </w:p>
    <w:p>
      <w:pPr>
        <w:spacing w:line="580" w:lineRule="exact"/>
        <w:ind w:firstLine="640" w:firstLineChars="200"/>
        <w:rPr>
          <w:rFonts w:ascii="仿宋_GB2312" w:hAnsi="仿宋" w:eastAsia="仿宋_GB2312" w:cs="仿宋_GB2312"/>
          <w:sz w:val="32"/>
          <w:szCs w:val="32"/>
        </w:rPr>
      </w:pP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三、存在主要问题</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 xml:space="preserve">      无</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四、相关措施建议</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 xml:space="preserve">        无</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FCC58E"/>
    <w:multiLevelType w:val="singleLevel"/>
    <w:tmpl w:val="A1FCC58E"/>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TgzNmEyOTFjMjZjODc0OGIyZjk3N2Q1Zjc3YWU5MjEifQ=="/>
  </w:docVars>
  <w:rsids>
    <w:rsidRoot w:val="004C22EC"/>
    <w:rsid w:val="000C3F84"/>
    <w:rsid w:val="000F7FBF"/>
    <w:rsid w:val="00393F86"/>
    <w:rsid w:val="00406025"/>
    <w:rsid w:val="004345C5"/>
    <w:rsid w:val="00434EF6"/>
    <w:rsid w:val="004911F5"/>
    <w:rsid w:val="004C22EC"/>
    <w:rsid w:val="00607075"/>
    <w:rsid w:val="007B38C6"/>
    <w:rsid w:val="00800A26"/>
    <w:rsid w:val="009D3988"/>
    <w:rsid w:val="00B323D1"/>
    <w:rsid w:val="100566B3"/>
    <w:rsid w:val="13E432D4"/>
    <w:rsid w:val="1B4A3EC4"/>
    <w:rsid w:val="2439349C"/>
    <w:rsid w:val="244E01D1"/>
    <w:rsid w:val="33DA011B"/>
    <w:rsid w:val="358B1B11"/>
    <w:rsid w:val="3BFB5704"/>
    <w:rsid w:val="3C7D477C"/>
    <w:rsid w:val="3DFF1826"/>
    <w:rsid w:val="3F7F3266"/>
    <w:rsid w:val="423607D0"/>
    <w:rsid w:val="4A0B0DD8"/>
    <w:rsid w:val="4FBA144A"/>
    <w:rsid w:val="55704B34"/>
    <w:rsid w:val="57B166CC"/>
    <w:rsid w:val="5DBC40E7"/>
    <w:rsid w:val="5E5CD2FC"/>
    <w:rsid w:val="5F5BD1C0"/>
    <w:rsid w:val="673F7B69"/>
    <w:rsid w:val="6DC72429"/>
    <w:rsid w:val="71BD888E"/>
    <w:rsid w:val="7775CF10"/>
    <w:rsid w:val="77991202"/>
    <w:rsid w:val="77DC3817"/>
    <w:rsid w:val="77DEB33C"/>
    <w:rsid w:val="7BF4B088"/>
    <w:rsid w:val="7D6F9049"/>
    <w:rsid w:val="7DBC214F"/>
    <w:rsid w:val="7DFE55D9"/>
    <w:rsid w:val="7DFEF18B"/>
    <w:rsid w:val="7EA6735B"/>
    <w:rsid w:val="7FF35A5B"/>
    <w:rsid w:val="7FFBB035"/>
    <w:rsid w:val="7FFFDA74"/>
    <w:rsid w:val="9EEBBE61"/>
    <w:rsid w:val="ABFDDBE3"/>
    <w:rsid w:val="AEDF33C9"/>
    <w:rsid w:val="BEFD8E61"/>
    <w:rsid w:val="CF5C8AF9"/>
    <w:rsid w:val="DDECFD5B"/>
    <w:rsid w:val="DFDAC219"/>
    <w:rsid w:val="E5FE1067"/>
    <w:rsid w:val="E77F68ED"/>
    <w:rsid w:val="EBE2166D"/>
    <w:rsid w:val="EEAF1F5A"/>
    <w:rsid w:val="EEF2AC54"/>
    <w:rsid w:val="EF6D41F3"/>
    <w:rsid w:val="F59FB267"/>
    <w:rsid w:val="F6ED711A"/>
    <w:rsid w:val="F7CF86D4"/>
    <w:rsid w:val="F7D7F05F"/>
    <w:rsid w:val="F7EECC13"/>
    <w:rsid w:val="FAFEFB94"/>
    <w:rsid w:val="FDF5BF11"/>
    <w:rsid w:val="FEB5984D"/>
    <w:rsid w:val="FEFB2C57"/>
    <w:rsid w:val="FFBE8A39"/>
    <w:rsid w:val="FFEF36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3"/>
    <w:qFormat/>
    <w:uiPriority w:val="9"/>
    <w:pPr>
      <w:keepNext/>
      <w:keepLines/>
      <w:spacing w:before="340" w:after="330" w:line="578" w:lineRule="auto"/>
      <w:outlineLvl w:val="0"/>
    </w:pPr>
    <w:rPr>
      <w:b/>
      <w:bCs/>
      <w:kern w:val="44"/>
      <w:sz w:val="44"/>
      <w:szCs w:val="4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5"/>
    <w:semiHidden/>
    <w:unhideWhenUsed/>
    <w:qFormat/>
    <w:uiPriority w:val="99"/>
    <w:pPr>
      <w:spacing w:after="120"/>
    </w:pPr>
  </w:style>
  <w:style w:type="paragraph" w:styleId="4">
    <w:name w:val="footer"/>
    <w:basedOn w:val="1"/>
    <w:link w:val="12"/>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able of figures"/>
    <w:basedOn w:val="1"/>
    <w:next w:val="1"/>
    <w:qFormat/>
    <w:uiPriority w:val="0"/>
    <w:pPr>
      <w:ind w:left="400" w:leftChars="200" w:hanging="200" w:hangingChars="200"/>
    </w:pPr>
    <w:rPr>
      <w:rFonts w:ascii="Calibri" w:hAnsi="Calibri" w:cs="宋体"/>
    </w:rPr>
  </w:style>
  <w:style w:type="paragraph" w:styleId="7">
    <w:name w:val="Body Text First Indent"/>
    <w:basedOn w:val="3"/>
    <w:link w:val="16"/>
    <w:qFormat/>
    <w:uiPriority w:val="0"/>
    <w:pPr>
      <w:widowControl/>
      <w:tabs>
        <w:tab w:val="left" w:pos="2160"/>
      </w:tabs>
      <w:spacing w:after="0" w:line="480" w:lineRule="auto"/>
      <w:ind w:firstLine="420" w:firstLineChars="100"/>
      <w:jc w:val="left"/>
    </w:pPr>
    <w:rPr>
      <w:rFonts w:ascii="Calibri" w:hAnsi="Calibri"/>
      <w:kern w:val="0"/>
      <w:position w:val="3"/>
      <w:szCs w:val="20"/>
      <w:lang w:eastAsia="en-US"/>
    </w:rPr>
  </w:style>
  <w:style w:type="table" w:styleId="9">
    <w:name w:val="Table Grid"/>
    <w:basedOn w:val="8"/>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1">
    <w:name w:val="页眉 Char"/>
    <w:basedOn w:val="10"/>
    <w:link w:val="5"/>
    <w:semiHidden/>
    <w:qFormat/>
    <w:uiPriority w:val="99"/>
    <w:rPr>
      <w:sz w:val="18"/>
      <w:szCs w:val="18"/>
    </w:rPr>
  </w:style>
  <w:style w:type="character" w:customStyle="1" w:styleId="12">
    <w:name w:val="页脚 Char"/>
    <w:basedOn w:val="10"/>
    <w:link w:val="4"/>
    <w:semiHidden/>
    <w:qFormat/>
    <w:uiPriority w:val="99"/>
    <w:rPr>
      <w:sz w:val="18"/>
      <w:szCs w:val="18"/>
    </w:rPr>
  </w:style>
  <w:style w:type="character" w:customStyle="1" w:styleId="13">
    <w:name w:val="标题 1 Char"/>
    <w:basedOn w:val="10"/>
    <w:link w:val="2"/>
    <w:qFormat/>
    <w:uiPriority w:val="9"/>
    <w:rPr>
      <w:rFonts w:ascii="Times New Roman" w:hAnsi="Times New Roman" w:eastAsia="宋体" w:cs="Times New Roman"/>
      <w:b/>
      <w:bCs/>
      <w:kern w:val="44"/>
      <w:sz w:val="44"/>
      <w:szCs w:val="44"/>
    </w:rPr>
  </w:style>
  <w:style w:type="paragraph" w:customStyle="1" w:styleId="14">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15">
    <w:name w:val="正文文本 Char"/>
    <w:basedOn w:val="10"/>
    <w:link w:val="3"/>
    <w:semiHidden/>
    <w:qFormat/>
    <w:uiPriority w:val="99"/>
    <w:rPr>
      <w:rFonts w:ascii="Times New Roman" w:hAnsi="Times New Roman" w:eastAsia="宋体" w:cs="Times New Roman"/>
      <w:kern w:val="2"/>
      <w:sz w:val="21"/>
      <w:szCs w:val="24"/>
    </w:rPr>
  </w:style>
  <w:style w:type="character" w:customStyle="1" w:styleId="16">
    <w:name w:val="正文首行缩进 Char"/>
    <w:basedOn w:val="15"/>
    <w:link w:val="7"/>
    <w:qFormat/>
    <w:uiPriority w:val="0"/>
    <w:rPr>
      <w:rFonts w:ascii="Calibri" w:hAnsi="Calibri"/>
      <w:position w:val="3"/>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7</Pages>
  <Words>429</Words>
  <Characters>2448</Characters>
  <Lines>20</Lines>
  <Paragraphs>5</Paragraphs>
  <TotalTime>3</TotalTime>
  <ScaleCrop>false</ScaleCrop>
  <LinksUpToDate>false</LinksUpToDate>
  <CharactersWithSpaces>2872</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2019-08-21T01:06:00Z</dcterms:created>
  <dc:creator>Sky123.Org</dc:creator>
  <cp:lastModifiedBy>user</cp:lastModifiedBy>
  <dcterms:modified xsi:type="dcterms:W3CDTF">2025-09-08T15:54:29Z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CD14128851FF4C64A5534974F19A36DC</vt:lpwstr>
  </property>
</Properties>
</file>