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56DA4B">
      <w:pPr>
        <w:spacing w:line="600" w:lineRule="exact"/>
        <w:jc w:val="center"/>
        <w:outlineLvl w:val="0"/>
        <w:rPr>
          <w:rFonts w:ascii="仿宋_GB2312" w:hAnsi="黑体" w:eastAsia="仿宋_GB2312" w:cs="方正小标宋简体"/>
          <w:b/>
          <w:sz w:val="32"/>
          <w:szCs w:val="32"/>
        </w:rPr>
      </w:pPr>
      <w:bookmarkStart w:id="0" w:name="_Toc15396616"/>
      <w:r>
        <w:rPr>
          <w:rFonts w:hint="eastAsia" w:ascii="仿宋_GB2312" w:hAnsi="黑体" w:eastAsia="仿宋_GB2312" w:cs="方正小标宋简体"/>
          <w:b/>
          <w:sz w:val="32"/>
          <w:szCs w:val="32"/>
        </w:rPr>
        <w:t>黑水县总工会部门2024年部门</w:t>
      </w:r>
    </w:p>
    <w:p w14:paraId="18E6493A">
      <w:pPr>
        <w:spacing w:line="600" w:lineRule="exact"/>
        <w:jc w:val="center"/>
        <w:outlineLvl w:val="0"/>
        <w:rPr>
          <w:rFonts w:ascii="仿宋_GB2312" w:hAnsi="黑体" w:eastAsia="仿宋_GB2312" w:cs="方正小标宋简体"/>
          <w:b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整体支出绩效评价报告</w:t>
      </w:r>
      <w:bookmarkEnd w:id="0"/>
    </w:p>
    <w:p w14:paraId="17107DF6">
      <w:pPr>
        <w:spacing w:line="580" w:lineRule="exact"/>
        <w:ind w:firstLine="643" w:firstLineChars="200"/>
        <w:rPr>
          <w:rFonts w:ascii="仿宋_GB2312" w:hAnsi="黑体" w:eastAsia="仿宋_GB2312" w:cs="黑体"/>
          <w:b/>
          <w:sz w:val="32"/>
          <w:szCs w:val="32"/>
        </w:rPr>
      </w:pPr>
    </w:p>
    <w:p w14:paraId="37212D6F"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一、部门（单位）概况</w:t>
      </w:r>
    </w:p>
    <w:p w14:paraId="19080548"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（一）机构组成。</w:t>
      </w:r>
    </w:p>
    <w:p w14:paraId="6ADEE028"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华文仿宋" w:hAnsi="华文仿宋" w:eastAsia="华文仿宋" w:cs="华文仿宋"/>
          <w:color w:val="333333"/>
          <w:sz w:val="32"/>
          <w:szCs w:val="32"/>
        </w:rPr>
        <w:t>黑水县总工会属于独立核算一级预算单位，内设综合办公室、女职工部，没有下属二级预算单位。</w:t>
      </w:r>
    </w:p>
    <w:p w14:paraId="19D27DC6"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</w:p>
    <w:p w14:paraId="31590CC2"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（二）机构职能。</w:t>
      </w:r>
    </w:p>
    <w:p w14:paraId="21BC7CAF">
      <w:pPr>
        <w:spacing w:line="580" w:lineRule="exact"/>
        <w:ind w:firstLine="640" w:firstLineChars="200"/>
        <w:rPr>
          <w:rFonts w:ascii="华文仿宋" w:hAnsi="华文仿宋" w:eastAsia="华文仿宋" w:cs="华文仿宋"/>
          <w:color w:val="333333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 xml:space="preserve">    </w:t>
      </w:r>
      <w:r>
        <w:rPr>
          <w:rFonts w:hint="eastAsia" w:ascii="华文仿宋" w:hAnsi="华文仿宋" w:eastAsia="华文仿宋" w:cs="华文仿宋"/>
          <w:b/>
          <w:bCs/>
          <w:color w:val="333333"/>
          <w:sz w:val="32"/>
          <w:szCs w:val="32"/>
          <w:lang w:val="zh-CN"/>
        </w:rPr>
        <w:t>主要</w:t>
      </w:r>
      <w:r>
        <w:rPr>
          <w:rFonts w:hint="eastAsia" w:ascii="华文仿宋" w:hAnsi="华文仿宋" w:eastAsia="华文仿宋" w:cs="华文仿宋"/>
          <w:b/>
          <w:bCs/>
          <w:color w:val="333333"/>
          <w:sz w:val="32"/>
          <w:szCs w:val="32"/>
        </w:rPr>
        <w:t>职能：</w:t>
      </w:r>
      <w:r>
        <w:rPr>
          <w:rFonts w:hint="eastAsia" w:ascii="华文仿宋" w:hAnsi="华文仿宋" w:eastAsia="华文仿宋" w:cs="华文仿宋"/>
          <w:color w:val="333333"/>
          <w:sz w:val="32"/>
          <w:szCs w:val="32"/>
        </w:rPr>
        <w:t>县总工会是全县各级工会的领导机关，以宪法为根本活动准则，依照《</w:t>
      </w:r>
      <w:r>
        <w:rPr>
          <w:rFonts w:hint="eastAsia" w:ascii="华文仿宋" w:hAnsi="华文仿宋" w:eastAsia="华文仿宋" w:cs="华文仿宋"/>
          <w:color w:val="333333"/>
          <w:sz w:val="32"/>
          <w:szCs w:val="32"/>
          <w:lang w:eastAsia="zh-CN"/>
        </w:rPr>
        <w:t>中华人民共和国</w:t>
      </w:r>
      <w:r>
        <w:rPr>
          <w:rFonts w:hint="eastAsia" w:ascii="华文仿宋" w:hAnsi="华文仿宋" w:eastAsia="华文仿宋" w:cs="华文仿宋"/>
          <w:color w:val="333333"/>
          <w:sz w:val="32"/>
          <w:szCs w:val="32"/>
        </w:rPr>
        <w:t>工会法》和《中国工会章程》规定，组织和指导全县各级工会组织切实履行“维护、建设、参与、教育”等社会职能，按照经费使用“三服务”原则，独立自主地开展工会各项工作。</w:t>
      </w:r>
    </w:p>
    <w:p w14:paraId="0B97CDC7">
      <w:pPr>
        <w:widowControl/>
        <w:adjustRightInd w:val="0"/>
        <w:snapToGrid w:val="0"/>
        <w:spacing w:line="560" w:lineRule="atLeast"/>
        <w:ind w:firstLine="641" w:firstLineChars="200"/>
        <w:jc w:val="left"/>
        <w:rPr>
          <w:rFonts w:ascii="华文仿宋" w:hAnsi="华文仿宋" w:eastAsia="华文仿宋" w:cs="华文仿宋"/>
          <w:color w:val="333333"/>
          <w:lang w:val="zh-CN"/>
        </w:rPr>
      </w:pPr>
      <w:r>
        <w:rPr>
          <w:rFonts w:hint="eastAsia" w:ascii="华文仿宋" w:hAnsi="华文仿宋" w:eastAsia="华文仿宋" w:cs="华文仿宋"/>
          <w:b/>
          <w:bCs/>
          <w:color w:val="333333"/>
          <w:sz w:val="32"/>
          <w:szCs w:val="32"/>
        </w:rPr>
        <w:t>主要工作任务：一是</w:t>
      </w:r>
      <w:r>
        <w:rPr>
          <w:rFonts w:hint="eastAsia" w:ascii="华文仿宋" w:hAnsi="华文仿宋" w:eastAsia="华文仿宋" w:cs="华文仿宋"/>
          <w:color w:val="333333"/>
          <w:sz w:val="32"/>
          <w:szCs w:val="32"/>
        </w:rPr>
        <w:t>加强职工教育，做好职工的思想政治工作，认真组织全县各级工会认真学习贯彻党的十九大、二十大精神，以</w:t>
      </w:r>
      <w:r>
        <w:rPr>
          <w:rFonts w:hint="eastAsia" w:ascii="华文仿宋" w:hAnsi="华文仿宋" w:eastAsia="华文仿宋" w:cs="华文仿宋"/>
          <w:color w:val="333333"/>
          <w:sz w:val="32"/>
          <w:szCs w:val="32"/>
          <w:lang w:eastAsia="zh-CN"/>
        </w:rPr>
        <w:t>党的</w:t>
      </w:r>
      <w:r>
        <w:rPr>
          <w:rFonts w:hint="eastAsia" w:ascii="华文仿宋" w:hAnsi="华文仿宋" w:eastAsia="华文仿宋" w:cs="华文仿宋"/>
          <w:color w:val="333333"/>
          <w:sz w:val="32"/>
          <w:szCs w:val="32"/>
        </w:rPr>
        <w:t>二十大精神引领工会工作进入新时代；</w:t>
      </w:r>
      <w:r>
        <w:rPr>
          <w:rFonts w:hint="eastAsia" w:ascii="华文仿宋" w:hAnsi="华文仿宋" w:eastAsia="华文仿宋" w:cs="华文仿宋"/>
          <w:b/>
          <w:bCs/>
          <w:color w:val="333333"/>
          <w:sz w:val="32"/>
          <w:szCs w:val="32"/>
        </w:rPr>
        <w:t>二是</w:t>
      </w:r>
      <w:r>
        <w:rPr>
          <w:rFonts w:hint="eastAsia" w:ascii="华文仿宋" w:hAnsi="华文仿宋" w:eastAsia="华文仿宋" w:cs="华文仿宋"/>
          <w:color w:val="333333"/>
          <w:sz w:val="32"/>
          <w:szCs w:val="32"/>
        </w:rPr>
        <w:t>切实推进工会改革创新，进一步增强工会组织的生机和活力，着力加强工会干部队伍建设，提升保障水平、增强战斗力，扎实做好新常态下工会各项工作，团结动员广大职工为加快建设黑水工运事业做出新的更大的贡献；</w:t>
      </w:r>
      <w:r>
        <w:rPr>
          <w:rFonts w:hint="eastAsia" w:ascii="华文仿宋" w:hAnsi="华文仿宋" w:eastAsia="华文仿宋" w:cs="华文仿宋"/>
          <w:b/>
          <w:bCs/>
          <w:color w:val="333333"/>
          <w:sz w:val="32"/>
          <w:szCs w:val="32"/>
        </w:rPr>
        <w:t>三是</w:t>
      </w:r>
      <w:r>
        <w:rPr>
          <w:rFonts w:hint="eastAsia" w:ascii="华文仿宋" w:hAnsi="华文仿宋" w:eastAsia="华文仿宋" w:cs="华文仿宋"/>
          <w:color w:val="333333"/>
          <w:sz w:val="32"/>
          <w:szCs w:val="32"/>
        </w:rPr>
        <w:t>继续抓好工会维权维稳工作，以劳动关系和谐促进社会和谐稳定；</w:t>
      </w:r>
      <w:r>
        <w:rPr>
          <w:rFonts w:hint="eastAsia" w:ascii="华文仿宋" w:hAnsi="华文仿宋" w:eastAsia="华文仿宋" w:cs="华文仿宋"/>
          <w:b/>
          <w:bCs/>
          <w:color w:val="333333"/>
          <w:sz w:val="32"/>
          <w:szCs w:val="32"/>
        </w:rPr>
        <w:t>四是</w:t>
      </w:r>
      <w:r>
        <w:rPr>
          <w:rFonts w:hint="eastAsia" w:ascii="华文仿宋" w:hAnsi="华文仿宋" w:eastAsia="华文仿宋" w:cs="华文仿宋"/>
          <w:color w:val="333333"/>
          <w:sz w:val="32"/>
          <w:szCs w:val="32"/>
        </w:rPr>
        <w:t>继续抓好工会组织建设，夯实基层基础工作；</w:t>
      </w:r>
      <w:r>
        <w:rPr>
          <w:rFonts w:hint="eastAsia" w:ascii="华文仿宋" w:hAnsi="华文仿宋" w:eastAsia="华文仿宋" w:cs="华文仿宋"/>
          <w:b/>
          <w:bCs/>
          <w:color w:val="333333"/>
          <w:sz w:val="32"/>
          <w:szCs w:val="32"/>
        </w:rPr>
        <w:t>五是</w:t>
      </w:r>
      <w:r>
        <w:rPr>
          <w:rFonts w:hint="eastAsia" w:ascii="华文仿宋" w:hAnsi="华文仿宋" w:eastAsia="华文仿宋" w:cs="华文仿宋"/>
          <w:color w:val="333333"/>
          <w:sz w:val="32"/>
          <w:szCs w:val="32"/>
        </w:rPr>
        <w:t>扎实做好重点民生实事工程，精准帮扶困难职工脱困解困；</w:t>
      </w:r>
      <w:r>
        <w:rPr>
          <w:rFonts w:hint="eastAsia" w:ascii="华文仿宋" w:hAnsi="华文仿宋" w:eastAsia="华文仿宋" w:cs="华文仿宋"/>
          <w:b/>
          <w:bCs/>
          <w:color w:val="333333"/>
          <w:sz w:val="32"/>
          <w:szCs w:val="32"/>
        </w:rPr>
        <w:t>六是</w:t>
      </w:r>
      <w:r>
        <w:rPr>
          <w:rFonts w:hint="eastAsia" w:ascii="华文仿宋" w:hAnsi="华文仿宋" w:eastAsia="华文仿宋" w:cs="华文仿宋"/>
          <w:color w:val="333333"/>
          <w:sz w:val="32"/>
          <w:szCs w:val="32"/>
        </w:rPr>
        <w:t>深入开展劳动和技能竞赛活动，充分调动广大职工的积极性和创造性，发挥工人阶级主力军的作用；</w:t>
      </w:r>
      <w:r>
        <w:rPr>
          <w:rFonts w:hint="eastAsia" w:ascii="华文仿宋" w:hAnsi="华文仿宋" w:eastAsia="华文仿宋" w:cs="华文仿宋"/>
          <w:b/>
          <w:bCs/>
          <w:color w:val="333333"/>
          <w:sz w:val="32"/>
          <w:szCs w:val="32"/>
        </w:rPr>
        <w:t>七是</w:t>
      </w:r>
      <w:r>
        <w:rPr>
          <w:rFonts w:hint="eastAsia" w:ascii="华文仿宋" w:hAnsi="华文仿宋" w:eastAsia="华文仿宋" w:cs="华文仿宋"/>
          <w:color w:val="333333"/>
          <w:sz w:val="32"/>
          <w:szCs w:val="32"/>
        </w:rPr>
        <w:t>协助政府做好劳模的培养、推荐、评选和具体负责劳模日常管理工作；</w:t>
      </w:r>
      <w:r>
        <w:rPr>
          <w:rFonts w:hint="eastAsia" w:ascii="华文仿宋" w:hAnsi="华文仿宋" w:eastAsia="华文仿宋" w:cs="华文仿宋"/>
          <w:b/>
          <w:bCs/>
          <w:color w:val="333333"/>
          <w:sz w:val="32"/>
          <w:szCs w:val="32"/>
        </w:rPr>
        <w:t>八是</w:t>
      </w:r>
      <w:r>
        <w:rPr>
          <w:rFonts w:hint="eastAsia" w:ascii="华文仿宋" w:hAnsi="华文仿宋" w:eastAsia="华文仿宋" w:cs="华文仿宋"/>
          <w:color w:val="333333"/>
          <w:sz w:val="32"/>
          <w:szCs w:val="32"/>
        </w:rPr>
        <w:t>继续抓好民主管理工作，推行厂务（政务）公开制度，切实维护职工的民主权利；</w:t>
      </w:r>
      <w:r>
        <w:rPr>
          <w:rFonts w:hint="eastAsia" w:ascii="华文仿宋" w:hAnsi="华文仿宋" w:eastAsia="华文仿宋" w:cs="华文仿宋"/>
          <w:b/>
          <w:bCs/>
          <w:color w:val="333333"/>
          <w:sz w:val="32"/>
          <w:szCs w:val="32"/>
        </w:rPr>
        <w:t>九是</w:t>
      </w:r>
      <w:r>
        <w:rPr>
          <w:rFonts w:hint="eastAsia" w:ascii="华文仿宋" w:hAnsi="华文仿宋" w:eastAsia="华文仿宋" w:cs="华文仿宋"/>
          <w:color w:val="333333"/>
          <w:sz w:val="32"/>
          <w:szCs w:val="32"/>
        </w:rPr>
        <w:t>加强安全生产和劳动保护工作；十是继续加强工会财务管理，切实规范工会经费收、管、用；十一是完成县委、县政府安排的中心工作任务和上级工会交办的其它工作任务。</w:t>
      </w:r>
    </w:p>
    <w:p w14:paraId="73A55026"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</w:p>
    <w:p w14:paraId="1DF096E4"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（三）人员概况。</w:t>
      </w:r>
    </w:p>
    <w:p w14:paraId="0363FAD5">
      <w:pPr>
        <w:widowControl/>
        <w:adjustRightInd w:val="0"/>
        <w:snapToGrid w:val="0"/>
        <w:spacing w:line="560" w:lineRule="exact"/>
        <w:ind w:firstLine="42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截至2024年末，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县总工会单位总编制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7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名，其中：行政编制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6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名，工勤1名。在职人员总数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5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人，（其中：行政人员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5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人，行政工勤1人），退休人员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2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人，抚养人员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1人。</w:t>
      </w:r>
    </w:p>
    <w:p w14:paraId="26C85AA4"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</w:p>
    <w:p w14:paraId="654EBA34"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二、部门财政资金收支情况</w:t>
      </w:r>
    </w:p>
    <w:p w14:paraId="4BC8368D"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（一）部门财政资金收入情况。</w:t>
      </w:r>
    </w:p>
    <w:p w14:paraId="34FAC7E8">
      <w:pPr>
        <w:widowControl/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仿宋" w:hAnsi="仿宋" w:eastAsia="仿宋" w:cs="仿宋"/>
          <w:b/>
          <w:bCs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sz w:val="32"/>
          <w:szCs w:val="32"/>
        </w:rPr>
        <w:t>总工会部门（单位）2024年年初预算收入149.95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万元，</w:t>
      </w:r>
      <w:r>
        <w:rPr>
          <w:rFonts w:hint="eastAsia" w:ascii="仿宋" w:hAnsi="仿宋" w:eastAsia="仿宋" w:cs="仿宋"/>
          <w:sz w:val="32"/>
          <w:szCs w:val="32"/>
        </w:rPr>
        <w:t>年末决算收入367.57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万元。</w:t>
      </w:r>
      <w:r>
        <w:rPr>
          <w:rFonts w:hint="eastAsia" w:ascii="仿宋" w:hAnsi="仿宋" w:eastAsia="仿宋" w:cs="仿宋"/>
          <w:sz w:val="32"/>
          <w:szCs w:val="32"/>
        </w:rPr>
        <w:t>预算与决算差异为217.62万元，差异率145.13%。</w:t>
      </w:r>
    </w:p>
    <w:p w14:paraId="2571767F"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bookmarkStart w:id="1" w:name="_GoBack"/>
      <w:bookmarkEnd w:id="1"/>
      <w:r>
        <w:rPr>
          <w:rFonts w:hint="eastAsia" w:ascii="仿宋_GB2312" w:hAnsi="仿宋" w:eastAsia="仿宋_GB2312" w:cs="仿宋_GB2312"/>
          <w:sz w:val="32"/>
          <w:szCs w:val="32"/>
        </w:rPr>
        <w:t>（二）部门财政资金支出情况。</w:t>
      </w:r>
    </w:p>
    <w:p w14:paraId="2E278CC0"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三、部门整体预算绩效管理情况（根据适用指标体系进行调整）</w:t>
      </w:r>
    </w:p>
    <w:p w14:paraId="4C775566"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（一）部门预算管理。</w:t>
      </w:r>
    </w:p>
    <w:p w14:paraId="3EC21B17">
      <w:pPr>
        <w:adjustRightInd w:val="0"/>
        <w:snapToGrid w:val="0"/>
        <w:spacing w:line="578" w:lineRule="exact"/>
        <w:ind w:firstLine="643" w:firstLineChars="200"/>
        <w:contextualSpacing/>
        <w:jc w:val="left"/>
        <w:rPr>
          <w:rFonts w:ascii="仿宋" w:hAns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（一）部门预算总体绩效分析。指标分值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65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分，自评得分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</w:rPr>
        <w:t>63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shd w:val="clear" w:color="auto" w:fill="FFFFFF"/>
          <w:lang w:val="zh-CN"/>
        </w:rPr>
        <w:t>分</w:t>
      </w:r>
    </w:p>
    <w:p w14:paraId="223E9E96"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为确保部门工作的正常运转，完成各项工作任务，县总工会预算编制严格按照《中华人民共和国预算法》编制，编制较为及时，准确，确保预算编制的全面性和科学性。按照县级财政部门的部署，结合总工会部门实际情况，及时编制了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2024年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部门预算，坚持公开透明，提高预算透明度，促进部门发展稳定为重点，以提高公共服务水平为目标，以绩效评价结果为导向，以制度、机制建设为保障的“务实、规范、高效”的预算管理机制，按照财务部门的要求及时报送部门的各类财务报表。</w:t>
      </w:r>
    </w:p>
    <w:p w14:paraId="5162DFA4">
      <w:pPr>
        <w:numPr>
          <w:ilvl w:val="0"/>
          <w:numId w:val="1"/>
        </w:num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履职效能。指标分值15分，自评得分15分。</w:t>
      </w:r>
    </w:p>
    <w:p w14:paraId="4B1AB2CA"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职能目标一：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通过送温暖方式，给全县15个乡镇（部分人员）职工、农民工、县辖区内企业职工、2个社区内的企业职工进行送温暖活动，年度送温暖支出10.17万元的慰问，带去党委、政府对困难职工的关怀。年度发放完毕按时完成率100%，群众的满意度达到95%。</w:t>
      </w:r>
    </w:p>
    <w:p w14:paraId="05F3EB5C"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职能目标二：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部门通过困难职工帮扶方式，给全县15个乡镇（部分人员）职工、县辖区内企业职工、2个社区内的企业职工进行送温暖活动，年度困难职工帮扶支出21.20万元的慰问，带去党委、政府对困难职工的关怀。年度发放完毕按时完成率100%，群众的满意度达到95%。</w:t>
      </w:r>
    </w:p>
    <w:p w14:paraId="4A6D9B5A"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职能目标三：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 xml:space="preserve"> 部门通过开展全县性职工活动方式，2024年度开展了职工徒步走健康行活动，带去党委、政府对县辖区内职工的关怀。此次活动参与职工400次/人，活动支出2.78万元，服务对象的满意度达到95%。</w:t>
      </w:r>
    </w:p>
    <w:p w14:paraId="4748BE17"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2.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预算管理。指标分值25分，自评得分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23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分。</w:t>
      </w:r>
    </w:p>
    <w:p w14:paraId="1318E119"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</w:rPr>
        <w:t>预算编制质量：本单位本年度收入调整预算数为367.57万元，收入决算数为367.57万元，预算完成度为100.00%。本年度支出调整预算数为367.57万元，支出决算数为367.57万元，预算支出完成度为100.00%。截止2024年度单位资金无结转结余。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hAnsi="仿宋" w:eastAsia="仿宋" w:cs="仿宋"/>
          <w:sz w:val="32"/>
          <w:szCs w:val="32"/>
        </w:rPr>
        <w:t>8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hAnsi="仿宋" w:eastAsia="仿宋" w:cs="仿宋"/>
          <w:sz w:val="32"/>
          <w:szCs w:val="32"/>
        </w:rPr>
        <w:t>8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分。</w:t>
      </w:r>
    </w:p>
    <w:p w14:paraId="27A8FE3D"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单位收入统筹</w:t>
      </w:r>
      <w:r>
        <w:rPr>
          <w:rFonts w:hint="eastAsia" w:ascii="仿宋" w:hAnsi="仿宋" w:eastAsia="仿宋" w:cs="仿宋"/>
          <w:sz w:val="32"/>
          <w:szCs w:val="32"/>
        </w:rPr>
        <w:t>：单位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收入</w:t>
      </w:r>
      <w:r>
        <w:rPr>
          <w:rFonts w:hint="eastAsia" w:ascii="仿宋" w:hAnsi="仿宋" w:eastAsia="仿宋" w:cs="仿宋"/>
          <w:sz w:val="32"/>
          <w:szCs w:val="32"/>
        </w:rPr>
        <w:t>不涉及该项指标。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hAnsi="仿宋" w:eastAsia="仿宋" w:cs="仿宋"/>
          <w:sz w:val="32"/>
          <w:szCs w:val="32"/>
        </w:rPr>
        <w:t>4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hAnsi="仿宋" w:eastAsia="仿宋" w:cs="仿宋"/>
          <w:sz w:val="32"/>
          <w:szCs w:val="32"/>
        </w:rPr>
        <w:t>4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分。</w:t>
      </w:r>
    </w:p>
    <w:p w14:paraId="7D500E07"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hAnsi="仿宋" w:eastAsia="仿宋" w:cs="仿宋"/>
          <w:b/>
          <w:bCs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</w:rPr>
        <w:t>支出执行进度：2024年1-6月支付情况：预算数368.07万元，支付数91.44万元，支付率24.8%。1-12月预算数367.57万元，支付数据367.57万元，支付率100%。</w:t>
      </w:r>
      <w:r>
        <w:rPr>
          <w:rFonts w:hint="eastAsia" w:ascii="仿宋" w:hAnsi="仿宋" w:eastAsia="仿宋" w:cs="仿宋"/>
          <w:b/>
          <w:bCs/>
          <w:sz w:val="32"/>
          <w:szCs w:val="32"/>
          <w:lang w:val="zh-CN"/>
        </w:rPr>
        <w:t>指标分值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6</w:t>
      </w:r>
      <w:r>
        <w:rPr>
          <w:rFonts w:hint="eastAsia" w:ascii="仿宋" w:hAnsi="仿宋" w:eastAsia="仿宋" w:cs="仿宋"/>
          <w:b/>
          <w:bCs/>
          <w:sz w:val="32"/>
          <w:szCs w:val="32"/>
          <w:lang w:val="zh-CN"/>
        </w:rPr>
        <w:t>分，自评得分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4</w:t>
      </w:r>
      <w:r>
        <w:rPr>
          <w:rFonts w:hint="eastAsia" w:ascii="仿宋" w:hAnsi="仿宋" w:eastAsia="仿宋" w:cs="仿宋"/>
          <w:b/>
          <w:bCs/>
          <w:sz w:val="32"/>
          <w:szCs w:val="32"/>
          <w:lang w:val="zh-CN"/>
        </w:rPr>
        <w:t>分。</w:t>
      </w:r>
    </w:p>
    <w:p w14:paraId="21DEC70A"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预算年终结余:2024年无结转结余。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指标分值2分，自评得分</w:t>
      </w:r>
      <w:r>
        <w:rPr>
          <w:rFonts w:hint="eastAsia" w:ascii="仿宋" w:hAnsi="仿宋" w:eastAsia="仿宋" w:cs="仿宋"/>
          <w:sz w:val="32"/>
          <w:szCs w:val="32"/>
        </w:rPr>
        <w:t>2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分。</w:t>
      </w:r>
    </w:p>
    <w:p w14:paraId="3FB6825D"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严控一般性支出：单位严控“三公”经费、会议、培训、差旅、办节办展、办公设备购置、信息网络及软件购置更新、课题经费等8项一般性支出。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hAnsi="仿宋" w:eastAsia="仿宋" w:cs="仿宋"/>
          <w:sz w:val="32"/>
          <w:szCs w:val="32"/>
        </w:rPr>
        <w:t>5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hAnsi="仿宋" w:eastAsia="仿宋" w:cs="仿宋"/>
          <w:sz w:val="32"/>
          <w:szCs w:val="32"/>
        </w:rPr>
        <w:t>5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分。</w:t>
      </w:r>
    </w:p>
    <w:p w14:paraId="49CBB6B4"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3.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财务管理。指标分值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10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分，自评得分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10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分。</w:t>
      </w:r>
    </w:p>
    <w:p w14:paraId="45833F36">
      <w:pPr>
        <w:adjustRightInd w:val="0"/>
        <w:snapToGrid w:val="0"/>
        <w:spacing w:line="560" w:lineRule="atLeast"/>
        <w:ind w:firstLine="640" w:firstLineChars="200"/>
        <w:contextualSpacing/>
        <w:jc w:val="left"/>
        <w:rPr>
          <w:rFonts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财务管理制度：强化制度建设。不断强化财务管理制度建设，依据相关法律、法规及管理办法，制定符合我会财务制度，着重从预算绩效管理主要内容和环节，规范操作程序和质量控制要求，构建起工作有指导、实施有方案、内部有规程等相互支撑制度体系。</w:t>
      </w:r>
    </w:p>
    <w:p w14:paraId="28D064BB">
      <w:pPr>
        <w:pStyle w:val="8"/>
        <w:spacing w:line="560" w:lineRule="atLeast"/>
        <w:ind w:firstLine="640" w:firstLineChars="200"/>
        <w:rPr>
          <w:rFonts w:ascii="仿宋" w:hAnsi="仿宋" w:eastAsia="仿宋" w:cs="仿宋"/>
          <w:b w:val="0"/>
          <w:bCs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</w:rPr>
        <w:t>严格依照《中华人民共和国会计法》、《财务规则》、《行政单位会计制度》《中华人民共和国会计法》《行政事业单位财务管理办法》等规定制定出本单位各项财务制度《黑水县总工会财务管理制度》等一系列财经规定，进行财务管理、核算、控制和监督。年度按照年初预算、资金项目年度预算执行情况合理、合规、合法使用资金。指标分值4分，自评得分4分。</w:t>
      </w:r>
    </w:p>
    <w:p w14:paraId="20A08F75">
      <w:pPr>
        <w:pStyle w:val="8"/>
        <w:spacing w:line="560" w:lineRule="atLeast"/>
        <w:ind w:firstLine="640" w:firstLineChars="200"/>
        <w:rPr>
          <w:rFonts w:ascii="仿宋" w:hAnsi="仿宋" w:eastAsia="仿宋" w:cs="仿宋"/>
          <w:b w:val="0"/>
          <w:bCs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 w:val="0"/>
          <w:bCs/>
          <w:color w:val="000000"/>
          <w:kern w:val="0"/>
          <w:sz w:val="32"/>
          <w:szCs w:val="32"/>
          <w:shd w:val="clear" w:color="auto" w:fill="FFFFFF"/>
          <w:lang w:val="zh-CN"/>
        </w:rPr>
        <w:t>财务岗位设置：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本部门按照岗位权限财务岗位设置出纳1人，会计1人，对部门财务进行财务管理、核算，</w:t>
      </w:r>
      <w:r>
        <w:rPr>
          <w:rFonts w:hint="eastAsia" w:ascii="仿宋" w:hAnsi="仿宋" w:eastAsia="仿宋" w:cs="仿宋"/>
          <w:b w:val="0"/>
          <w:bCs/>
          <w:color w:val="000000"/>
          <w:kern w:val="0"/>
          <w:sz w:val="32"/>
          <w:szCs w:val="32"/>
          <w:shd w:val="clear" w:color="auto" w:fill="FFFFFF"/>
        </w:rPr>
        <w:t>相互监督。</w:t>
      </w:r>
    </w:p>
    <w:p w14:paraId="61814DCE">
      <w:pPr>
        <w:spacing w:line="560" w:lineRule="atLeas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资金使用规范：本年度收到预算资金367.57万元，实际使用367.57万元。资金使用过程中严格按照单位财务管理制度要求执行，提高资金使用的合规性。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hAnsi="仿宋" w:eastAsia="仿宋" w:cs="仿宋"/>
          <w:sz w:val="32"/>
          <w:szCs w:val="32"/>
        </w:rPr>
        <w:t>4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hAnsi="仿宋" w:eastAsia="仿宋" w:cs="仿宋"/>
          <w:sz w:val="32"/>
          <w:szCs w:val="32"/>
        </w:rPr>
        <w:t>4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分。</w:t>
      </w:r>
    </w:p>
    <w:p w14:paraId="479B14A0">
      <w:pPr>
        <w:snapToGrid w:val="0"/>
        <w:spacing w:line="360" w:lineRule="auto"/>
        <w:ind w:firstLine="640" w:firstLineChars="200"/>
        <w:rPr>
          <w:rFonts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4.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资产管理。指标分值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9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分，自评得分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9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分。</w:t>
      </w:r>
    </w:p>
    <w:p w14:paraId="7AB5A9CE">
      <w:pPr>
        <w:spacing w:line="560" w:lineRule="atLeast"/>
        <w:ind w:firstLine="640" w:firstLineChars="200"/>
        <w:rPr>
          <w:rFonts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固定资产在用率：</w:t>
      </w:r>
      <w:r>
        <w:rPr>
          <w:rFonts w:hint="eastAsia" w:ascii="仿宋" w:hAnsi="仿宋" w:eastAsia="仿宋" w:cs="仿宋"/>
          <w:bCs/>
          <w:kern w:val="0"/>
          <w:sz w:val="32"/>
          <w:szCs w:val="32"/>
          <w:shd w:val="clear" w:color="auto" w:fill="FFFFFF"/>
        </w:rPr>
        <w:t>2024年本部门固定资产原值年初总额为891.25万元，本年新增固定资产价值0.98万元，年末资产原值总额892.23万元，年末资产累计折旧388.50万元，年末资产净值为503.73万元。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一是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严格按照资产管理制度执行，采购达到规定金额做入账登记，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人均资产变化率5%，自评得分3分；二是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资产利用率高，使用率达</w:t>
      </w:r>
      <w:r>
        <w:rPr>
          <w:rFonts w:hint="eastAsia" w:ascii="仿宋" w:hAnsi="仿宋" w:eastAsia="仿宋" w:cs="仿宋"/>
          <w:sz w:val="32"/>
          <w:szCs w:val="32"/>
        </w:rPr>
        <w:t>100%，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人均资产利用率较高，自评得</w:t>
      </w:r>
      <w:r>
        <w:rPr>
          <w:rFonts w:hint="eastAsia" w:ascii="仿宋" w:hAnsi="仿宋" w:eastAsia="仿宋" w:cs="仿宋"/>
          <w:sz w:val="32"/>
          <w:szCs w:val="32"/>
        </w:rPr>
        <w:t>3分； 三是资产管理，部门无闲置资产，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资产盘活率0%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自评得</w:t>
      </w:r>
      <w:r>
        <w:rPr>
          <w:rFonts w:hint="eastAsia" w:ascii="仿宋" w:hAnsi="仿宋" w:eastAsia="仿宋" w:cs="仿宋"/>
          <w:sz w:val="32"/>
          <w:szCs w:val="32"/>
        </w:rPr>
        <w:t>3分。</w:t>
      </w:r>
    </w:p>
    <w:p w14:paraId="401E0F66">
      <w:pPr>
        <w:adjustRightInd w:val="0"/>
        <w:snapToGrid w:val="0"/>
        <w:spacing w:line="560" w:lineRule="atLeast"/>
        <w:ind w:firstLine="320" w:firstLineChars="100"/>
        <w:contextualSpacing/>
        <w:jc w:val="left"/>
        <w:rPr>
          <w:rFonts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5.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采购管理。指标分值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6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分，自评得分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6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分。</w:t>
      </w:r>
    </w:p>
    <w:p w14:paraId="4F2B9540"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采购执行率：采购执行规范性，2024年度部门根据捐赠资金使用用途，通过政府采购程序，2024年度政府采购计划表备案（框架协议）金额0.98万元，购置电脑2台，实际采购金额0.98万元。严格按照</w:t>
      </w:r>
      <w:r>
        <w:rPr>
          <w:rFonts w:hint="eastAsia" w:ascii="仿宋" w:hAnsi="仿宋" w:eastAsia="仿宋" w:cs="仿宋"/>
          <w:sz w:val="32"/>
          <w:szCs w:val="32"/>
        </w:rPr>
        <w:t>政府采购内控制度执行，均在中小企业采购，采购执行率100%。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hAnsi="仿宋" w:eastAsia="仿宋" w:cs="仿宋"/>
          <w:sz w:val="32"/>
          <w:szCs w:val="32"/>
        </w:rPr>
        <w:t>6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hAnsi="仿宋" w:eastAsia="仿宋" w:cs="仿宋"/>
          <w:sz w:val="32"/>
          <w:szCs w:val="32"/>
        </w:rPr>
        <w:t>6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分。</w:t>
      </w:r>
    </w:p>
    <w:p w14:paraId="1BB4ECF8"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（二）专项预算管理。</w:t>
      </w:r>
    </w:p>
    <w:p w14:paraId="2E6CD280">
      <w:pPr>
        <w:adjustRightInd w:val="0"/>
        <w:snapToGrid w:val="0"/>
        <w:spacing w:line="560" w:lineRule="atLeast"/>
        <w:ind w:firstLine="640" w:firstLineChars="200"/>
        <w:contextualSpacing/>
        <w:jc w:val="left"/>
        <w:rPr>
          <w:rFonts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常年项目绩效分析。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该类项目总数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 xml:space="preserve"> 14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个，涉及预算总金额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167.57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万元，1—1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2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月预算执行总体进度为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100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%，其中：预算结余率大于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10%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的项目共计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 xml:space="preserve"> 0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个。</w:t>
      </w:r>
    </w:p>
    <w:p w14:paraId="4DE1B561">
      <w:pPr>
        <w:adjustRightInd w:val="0"/>
        <w:snapToGrid w:val="0"/>
        <w:spacing w:line="560" w:lineRule="atLeast"/>
        <w:ind w:firstLine="640" w:firstLineChars="200"/>
        <w:contextualSpacing/>
        <w:jc w:val="left"/>
        <w:rPr>
          <w:rFonts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阶段（一次性）项目绩效分析。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该类项目总数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1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个，涉及预算总金额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200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万元，1—1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2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月预算执行总体进度为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 xml:space="preserve"> 100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%，其中：预算结余率大于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10%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的项目共计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en-US" w:eastAsia="zh-CN"/>
        </w:rPr>
        <w:t>0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个。</w:t>
      </w:r>
    </w:p>
    <w:p w14:paraId="4446E7FB">
      <w:pPr>
        <w:numPr>
          <w:ilvl w:val="0"/>
          <w:numId w:val="2"/>
        </w:numPr>
        <w:adjustRightInd w:val="0"/>
        <w:snapToGrid w:val="0"/>
        <w:spacing w:line="560" w:lineRule="atLeast"/>
        <w:ind w:firstLine="640" w:firstLineChars="200"/>
        <w:contextualSpacing/>
        <w:jc w:val="left"/>
        <w:rPr>
          <w:rFonts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项目决策。指标分值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12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分，自评得分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12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分。</w:t>
      </w:r>
    </w:p>
    <w:p w14:paraId="4846145C">
      <w:pPr>
        <w:snapToGrid w:val="0"/>
        <w:spacing w:line="560" w:lineRule="atLeast"/>
        <w:ind w:firstLine="640" w:firstLineChars="200"/>
        <w:rPr>
          <w:rFonts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 xml:space="preserve"> 决策程序：部门从项目立项必要性、投入经济性、目标合理性、实施可行性、筹资合规性。</w:t>
      </w:r>
      <w:r>
        <w:rPr>
          <w:rFonts w:hint="eastAsia" w:ascii="仿宋" w:hAnsi="仿宋" w:eastAsia="仿宋" w:cs="仿宋"/>
          <w:sz w:val="32"/>
          <w:szCs w:val="32"/>
        </w:rPr>
        <w:t>按照厉行节约的要求，结合项目开支情况结合实际需求、相关费用标准及市场价格水平，重点对目标数量是否合理、投入是否经济、预算测算是否准确、测算过程是否详细、测算依据是否充分等方面进行了分析。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确定项目实施。指标分值</w:t>
      </w:r>
      <w:r>
        <w:rPr>
          <w:rFonts w:hint="eastAsia" w:ascii="仿宋" w:hAnsi="仿宋" w:eastAsia="仿宋" w:cs="仿宋"/>
          <w:sz w:val="32"/>
          <w:szCs w:val="32"/>
        </w:rPr>
        <w:t>4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hAnsi="仿宋" w:eastAsia="仿宋" w:cs="仿宋"/>
          <w:sz w:val="32"/>
          <w:szCs w:val="32"/>
        </w:rPr>
        <w:t>4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分。</w:t>
      </w:r>
    </w:p>
    <w:p w14:paraId="0A27CC52">
      <w:pPr>
        <w:snapToGrid w:val="0"/>
        <w:spacing w:line="560" w:lineRule="atLeas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项目入库；部门按照项目建设要求在规定时间完成项目入库。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hAnsi="仿宋" w:eastAsia="仿宋" w:cs="仿宋"/>
          <w:sz w:val="32"/>
          <w:szCs w:val="32"/>
        </w:rPr>
        <w:t>4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hAnsi="仿宋" w:eastAsia="仿宋" w:cs="仿宋"/>
          <w:sz w:val="32"/>
          <w:szCs w:val="32"/>
        </w:rPr>
        <w:t>4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分。</w:t>
      </w:r>
    </w:p>
    <w:p w14:paraId="389FA652">
      <w:pPr>
        <w:snapToGrid w:val="0"/>
        <w:spacing w:line="560" w:lineRule="atLeas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目标设置</w:t>
      </w:r>
      <w:r>
        <w:rPr>
          <w:rFonts w:hint="eastAsia" w:ascii="仿宋" w:hAnsi="仿宋" w:eastAsia="仿宋" w:cs="仿宋"/>
          <w:sz w:val="32"/>
          <w:szCs w:val="32"/>
        </w:rPr>
        <w:t>: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申报的</w:t>
      </w:r>
      <w:r>
        <w:rPr>
          <w:rFonts w:hint="eastAsia" w:ascii="仿宋" w:hAnsi="仿宋" w:eastAsia="仿宋" w:cs="仿宋"/>
          <w:sz w:val="32"/>
          <w:szCs w:val="32"/>
        </w:rPr>
        <w:t>资金项目内容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与具体实施内容相符的、申报目标是合理可行。</w:t>
      </w:r>
      <w:r>
        <w:rPr>
          <w:rFonts w:hint="eastAsia" w:ascii="仿宋" w:hAnsi="仿宋" w:eastAsia="仿宋" w:cs="仿宋"/>
          <w:b/>
          <w:bCs/>
          <w:sz w:val="32"/>
          <w:szCs w:val="32"/>
          <w:lang w:val="zh-CN"/>
        </w:rPr>
        <w:t>指标分值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4</w:t>
      </w:r>
      <w:r>
        <w:rPr>
          <w:rFonts w:hint="eastAsia" w:ascii="仿宋" w:hAnsi="仿宋" w:eastAsia="仿宋" w:cs="仿宋"/>
          <w:b/>
          <w:bCs/>
          <w:sz w:val="32"/>
          <w:szCs w:val="32"/>
          <w:lang w:val="zh-CN"/>
        </w:rPr>
        <w:t>分，自评得分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4</w:t>
      </w:r>
      <w:r>
        <w:rPr>
          <w:rFonts w:hint="eastAsia" w:ascii="仿宋" w:hAnsi="仿宋" w:eastAsia="仿宋" w:cs="仿宋"/>
          <w:b/>
          <w:bCs/>
          <w:sz w:val="32"/>
          <w:szCs w:val="32"/>
          <w:lang w:val="zh-CN"/>
        </w:rPr>
        <w:t>分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。</w:t>
      </w:r>
    </w:p>
    <w:p w14:paraId="51F84A7B">
      <w:pPr>
        <w:numPr>
          <w:ilvl w:val="0"/>
          <w:numId w:val="2"/>
        </w:num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项目执行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。指标分值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12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分，自评得分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12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分。</w:t>
      </w:r>
    </w:p>
    <w:p w14:paraId="74431DA6">
      <w:pPr>
        <w:spacing w:line="560" w:lineRule="atLeast"/>
        <w:ind w:firstLine="640" w:firstLineChars="200"/>
        <w:rPr>
          <w:rFonts w:ascii="仿宋" w:hAnsi="仿宋" w:eastAsia="仿宋" w:cs="仿宋"/>
          <w:b/>
          <w:bCs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</w:rPr>
        <w:t>执行同向：各项目实际列支内容是否与绩效目标设置方向相符。项目组织管理架构及具体实施流程，包括机构设置、监管措施、执行相关管理制度等符合相关规定。</w:t>
      </w:r>
      <w:r>
        <w:rPr>
          <w:rFonts w:hint="eastAsia" w:ascii="仿宋" w:hAnsi="仿宋" w:eastAsia="仿宋" w:cs="仿宋"/>
          <w:b/>
          <w:bCs/>
          <w:sz w:val="32"/>
          <w:szCs w:val="32"/>
          <w:lang w:val="zh-CN"/>
        </w:rPr>
        <w:t>指标分值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4</w:t>
      </w:r>
      <w:r>
        <w:rPr>
          <w:rFonts w:hint="eastAsia" w:ascii="仿宋" w:hAnsi="仿宋" w:eastAsia="仿宋" w:cs="仿宋"/>
          <w:b/>
          <w:bCs/>
          <w:sz w:val="32"/>
          <w:szCs w:val="32"/>
          <w:lang w:val="zh-CN"/>
        </w:rPr>
        <w:t>分，自评得分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4</w:t>
      </w:r>
      <w:r>
        <w:rPr>
          <w:rFonts w:hint="eastAsia" w:ascii="仿宋" w:hAnsi="仿宋" w:eastAsia="仿宋" w:cs="仿宋"/>
          <w:b/>
          <w:bCs/>
          <w:sz w:val="32"/>
          <w:szCs w:val="32"/>
          <w:lang w:val="zh-CN"/>
        </w:rPr>
        <w:t>分。</w:t>
      </w:r>
    </w:p>
    <w:p w14:paraId="5D9EF5E8">
      <w:pPr>
        <w:spacing w:line="560" w:lineRule="atLeast"/>
        <w:ind w:firstLine="960" w:firstLineChars="300"/>
        <w:rPr>
          <w:rFonts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</w:rPr>
        <w:t>项目调整：按照部门资金分配，设立项目，未调整。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hAnsi="仿宋" w:eastAsia="仿宋" w:cs="仿宋"/>
          <w:sz w:val="32"/>
          <w:szCs w:val="32"/>
        </w:rPr>
        <w:t>4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hAnsi="仿宋" w:eastAsia="仿宋" w:cs="仿宋"/>
          <w:sz w:val="32"/>
          <w:szCs w:val="32"/>
        </w:rPr>
        <w:t>4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分。</w:t>
      </w:r>
    </w:p>
    <w:p w14:paraId="62E5B0A2">
      <w:pPr>
        <w:adjustRightInd w:val="0"/>
        <w:snapToGrid w:val="0"/>
        <w:spacing w:line="560" w:lineRule="atLeast"/>
        <w:ind w:firstLine="640" w:firstLineChars="200"/>
        <w:contextualSpacing/>
        <w:jc w:val="left"/>
        <w:rPr>
          <w:rFonts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sz w:val="32"/>
          <w:szCs w:val="32"/>
        </w:rPr>
        <w:t>执行结果：资金开支范围、标准及支付进度，支付依据合规合法，资金支付与预算相符。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hAnsi="仿宋" w:eastAsia="仿宋" w:cs="仿宋"/>
          <w:sz w:val="32"/>
          <w:szCs w:val="32"/>
        </w:rPr>
        <w:t>4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hAnsi="仿宋" w:eastAsia="仿宋" w:cs="仿宋"/>
          <w:sz w:val="32"/>
          <w:szCs w:val="32"/>
        </w:rPr>
        <w:t>4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分。</w:t>
      </w:r>
    </w:p>
    <w:p w14:paraId="5AD1F387">
      <w:pPr>
        <w:numPr>
          <w:ilvl w:val="0"/>
          <w:numId w:val="2"/>
        </w:num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目标实现。指标分值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11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分，自评得分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11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分。</w:t>
      </w:r>
    </w:p>
    <w:p w14:paraId="23F7B950"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目标完成：项目从经济、社会、生态、可持续效益以及服务对象满意度等方面科学制定目标任务。截止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2023年年底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项目按照目标任务完成数量、质量、时效、成本等计划完成目标。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hAnsi="仿宋" w:eastAsia="仿宋" w:cs="仿宋"/>
          <w:sz w:val="32"/>
          <w:szCs w:val="32"/>
        </w:rPr>
        <w:t>4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hAnsi="仿宋" w:eastAsia="仿宋" w:cs="仿宋"/>
          <w:sz w:val="32"/>
          <w:szCs w:val="32"/>
        </w:rPr>
        <w:t>4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分。</w:t>
      </w:r>
    </w:p>
    <w:p w14:paraId="1996425D"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目标偏离：预算项目绩效目标数量指标实现程度与预期目标的无偏离情况。各项目实际工作中达到预期的目标或标准，与设定的绩效目标之间不存在差异。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hAnsi="仿宋" w:eastAsia="仿宋" w:cs="仿宋"/>
          <w:sz w:val="32"/>
          <w:szCs w:val="32"/>
        </w:rPr>
        <w:t>4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hAnsi="仿宋" w:eastAsia="仿宋" w:cs="仿宋"/>
          <w:sz w:val="32"/>
          <w:szCs w:val="32"/>
        </w:rPr>
        <w:t>4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分。</w:t>
      </w:r>
    </w:p>
    <w:p w14:paraId="71305135">
      <w:pPr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实现效果：加快构建全方位、全过程、全覆盖预算绩效管理体系，财政资源配置效率和资金使用效益实现“双提升”。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指标分值</w:t>
      </w:r>
      <w:r>
        <w:rPr>
          <w:rFonts w:hint="eastAsia" w:ascii="仿宋" w:hAnsi="仿宋" w:eastAsia="仿宋" w:cs="仿宋"/>
          <w:sz w:val="32"/>
          <w:szCs w:val="32"/>
        </w:rPr>
        <w:t>3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分，自评得分</w:t>
      </w:r>
      <w:r>
        <w:rPr>
          <w:rFonts w:hint="eastAsia" w:ascii="仿宋" w:hAnsi="仿宋" w:eastAsia="仿宋" w:cs="仿宋"/>
          <w:sz w:val="32"/>
          <w:szCs w:val="32"/>
        </w:rPr>
        <w:t>3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分。</w:t>
      </w:r>
    </w:p>
    <w:p w14:paraId="4BA77BF8">
      <w:pPr>
        <w:spacing w:line="578" w:lineRule="exact"/>
        <w:rPr>
          <w:rFonts w:eastAsia="楷体_GB2312"/>
          <w:color w:val="333333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本年度部门不涉及国有资本经营预算、社会保险基金预算。</w:t>
      </w:r>
    </w:p>
    <w:p w14:paraId="1941405E"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</w:p>
    <w:p w14:paraId="7292BA19"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（三）结果应用情况。</w:t>
      </w:r>
    </w:p>
    <w:p w14:paraId="1830B8B2"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包括部门自评质量、绩效目标公开和自评公开、评价结果整改和应用结果反馈等情况。</w:t>
      </w:r>
    </w:p>
    <w:p w14:paraId="4349D72F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从总体情况来看，本部门履职及履职效益情况良好。一是各项支出严格按照预算额度进行控制、节约经费，支出预算控制较好，在经费有限的情况下，实现了量入为出，保证重点，基本经费没有突破预算；二是“三公”经费厉行节约缩减开支，实现了“三公”经费的开支不超标、不超预算；三是圆满完成年初设定的绩效目标，保障了单位各项工作的开展，充分发挥了财政资金的经济效益和社会效益，部门整体支出使用效果达到预期。根据20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24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年度工作完成情况、部门整体绩效评价指标要求分析，整体支出绩效自评效果良好。部门预算、决算按照财政要求，单位在政府信息网站及时进行公开。</w:t>
      </w:r>
    </w:p>
    <w:p w14:paraId="7A6EE6C5">
      <w:pPr>
        <w:snapToGrid w:val="0"/>
        <w:spacing w:line="560" w:lineRule="exact"/>
        <w:ind w:firstLine="640" w:firstLineChars="200"/>
        <w:rPr>
          <w:rFonts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部门于2024年预算在黑水县人民政府信息公开网站上公开了《黑水县总工会2024年预算编制说明》。</w:t>
      </w:r>
    </w:p>
    <w:p w14:paraId="69007F74">
      <w:pPr>
        <w:snapToGrid w:val="0"/>
        <w:spacing w:line="600" w:lineRule="exact"/>
        <w:ind w:firstLine="640" w:firstLineChars="200"/>
        <w:rPr>
          <w:rFonts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绩效信息公开</w:t>
      </w:r>
    </w:p>
    <w:p w14:paraId="46A7B937">
      <w:pPr>
        <w:spacing w:line="580" w:lineRule="exact"/>
        <w:ind w:firstLine="640" w:firstLineChars="200"/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总工会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2024年度绩效将与2024年度财务公开同时公开。</w:t>
      </w:r>
    </w:p>
    <w:p w14:paraId="04D904EF">
      <w:pPr>
        <w:snapToGrid w:val="0"/>
        <w:spacing w:line="560" w:lineRule="exact"/>
        <w:ind w:firstLine="640" w:firstLineChars="200"/>
        <w:rPr>
          <w:rFonts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2024年决算在财政批复后在黑水县人民政府信息公开网站上公开</w:t>
      </w:r>
      <w:r>
        <w:rPr>
          <w:rFonts w:hint="eastAsia" w:ascii="仿宋_GB2312" w:hAnsi="仿宋" w:eastAsia="仿宋_GB2312" w:cs="仿宋_GB2312"/>
          <w:sz w:val="32"/>
          <w:szCs w:val="32"/>
        </w:rPr>
        <w:t>。</w:t>
      </w:r>
    </w:p>
    <w:p w14:paraId="0D98444B"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</w:p>
    <w:p w14:paraId="725E764D"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四、评价结论及建议</w:t>
      </w:r>
    </w:p>
    <w:p w14:paraId="3DCD2001"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（一）评价结论。</w:t>
      </w:r>
    </w:p>
    <w:p w14:paraId="797027C9">
      <w:pPr>
        <w:pStyle w:val="8"/>
        <w:ind w:firstLine="480" w:firstLineChars="150"/>
        <w:rPr>
          <w:rFonts w:hint="eastAsia" w:ascii="仿宋" w:hAnsi="仿宋" w:eastAsia="仿宋" w:cs="仿宋"/>
          <w:b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color w:val="000000"/>
          <w:kern w:val="0"/>
          <w:sz w:val="32"/>
          <w:szCs w:val="32"/>
          <w:shd w:val="clear" w:color="auto" w:fill="FFFFFF"/>
          <w:lang w:val="zh-CN"/>
        </w:rPr>
        <w:t>从自评情况来看，总工会部门支出绩效水平有所提高，整体上完成了年初设定的绩效目标，保障了总工会工作的正常运转，促进了黑水工运事业发展，充分发挥了财政资金的经济效益和社会效益。预算年度部门</w:t>
      </w:r>
      <w:r>
        <w:rPr>
          <w:rFonts w:hint="eastAsia" w:ascii="仿宋" w:hAnsi="仿宋" w:eastAsia="仿宋" w:cs="仿宋"/>
          <w:b w:val="0"/>
          <w:sz w:val="32"/>
          <w:szCs w:val="32"/>
        </w:rPr>
        <w:t>严格对照评分标准，2024年度部门整体支出绩效评价自评分数为98分</w:t>
      </w:r>
    </w:p>
    <w:p w14:paraId="42AE8998">
      <w:pPr>
        <w:pStyle w:val="8"/>
        <w:ind w:firstLine="482" w:firstLineChars="15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（二）存在问题。</w:t>
      </w:r>
    </w:p>
    <w:p w14:paraId="7F30D92A">
      <w:pPr>
        <w:spacing w:line="560" w:lineRule="exact"/>
        <w:ind w:firstLine="42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部门预算编制不够精确，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部门支出预算和绩效评价编制工作有待进一步提升，编制工作人员业务能力有待进一步加强。</w:t>
      </w:r>
    </w:p>
    <w:p w14:paraId="25BFDCB3"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（三）改进建议。</w:t>
      </w:r>
    </w:p>
    <w:p w14:paraId="3AF1E115">
      <w:pPr>
        <w:spacing w:line="580" w:lineRule="exact"/>
        <w:ind w:left="420" w:leftChars="200" w:firstLine="608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w w:val="95"/>
          <w:kern w:val="0"/>
          <w:sz w:val="32"/>
          <w:szCs w:val="32"/>
          <w:lang w:val="zh-CN"/>
        </w:rPr>
        <w:t>改进建议：一是：为使年度预算精细化，建议把工会经费预算纳入年初预算编制；二是：进一步加强对绩效评价工作的培训和指导，加强绩效评价制度和流程建设，完善绩效管理体系，强化财务管理制度及内部控制制度，创新管理手段，继续抓好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“三公”经费</w:t>
      </w:r>
      <w:r>
        <w:rPr>
          <w:rFonts w:hint="eastAsia" w:ascii="仿宋" w:hAnsi="仿宋" w:eastAsia="仿宋" w:cs="仿宋"/>
          <w:w w:val="95"/>
          <w:kern w:val="0"/>
          <w:sz w:val="32"/>
          <w:szCs w:val="32"/>
          <w:lang w:val="zh-CN"/>
        </w:rPr>
        <w:t>控制管理，合理压缩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zh-CN"/>
        </w:rPr>
        <w:t>“三公”经费</w:t>
      </w:r>
      <w:r>
        <w:rPr>
          <w:rFonts w:hint="eastAsia" w:ascii="仿宋" w:hAnsi="仿宋" w:eastAsia="仿宋" w:cs="仿宋"/>
          <w:w w:val="95"/>
          <w:kern w:val="0"/>
          <w:sz w:val="32"/>
          <w:szCs w:val="32"/>
          <w:lang w:val="zh-CN"/>
        </w:rPr>
        <w:t>支出，规范财务核算，有效降低行政成本，提高财政资金使用效率。</w:t>
      </w:r>
    </w:p>
    <w:p w14:paraId="0180DAB7">
      <w:pPr>
        <w:spacing w:line="58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0CC70D7C">
      <w:pPr>
        <w:widowControl/>
        <w:jc w:val="left"/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2FD714E"/>
    <w:multiLevelType w:val="singleLevel"/>
    <w:tmpl w:val="E2FD714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3B49752"/>
    <w:multiLevelType w:val="singleLevel"/>
    <w:tmpl w:val="63B4975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gzNmEyOTFjMjZjODc0OGIyZjk3N2Q1Zjc3YWU5MjEifQ=="/>
  </w:docVars>
  <w:rsids>
    <w:rsidRoot w:val="00491B22"/>
    <w:rsid w:val="00017C24"/>
    <w:rsid w:val="000A29CA"/>
    <w:rsid w:val="000B322F"/>
    <w:rsid w:val="00123645"/>
    <w:rsid w:val="00182A57"/>
    <w:rsid w:val="001A2346"/>
    <w:rsid w:val="001F73A4"/>
    <w:rsid w:val="00212AD6"/>
    <w:rsid w:val="00285EAA"/>
    <w:rsid w:val="00291808"/>
    <w:rsid w:val="002C10F3"/>
    <w:rsid w:val="002E7414"/>
    <w:rsid w:val="002F187F"/>
    <w:rsid w:val="00356E8A"/>
    <w:rsid w:val="00396DFB"/>
    <w:rsid w:val="00423242"/>
    <w:rsid w:val="00474EC6"/>
    <w:rsid w:val="00485A0F"/>
    <w:rsid w:val="00491B22"/>
    <w:rsid w:val="00511054"/>
    <w:rsid w:val="00515006"/>
    <w:rsid w:val="0052390C"/>
    <w:rsid w:val="0052709A"/>
    <w:rsid w:val="00606C18"/>
    <w:rsid w:val="007571C0"/>
    <w:rsid w:val="00774D66"/>
    <w:rsid w:val="00813D10"/>
    <w:rsid w:val="00892EDE"/>
    <w:rsid w:val="008F08DA"/>
    <w:rsid w:val="00934DD6"/>
    <w:rsid w:val="009365EF"/>
    <w:rsid w:val="009B51AA"/>
    <w:rsid w:val="00A36218"/>
    <w:rsid w:val="00A37D93"/>
    <w:rsid w:val="00A767DE"/>
    <w:rsid w:val="00AA2CB2"/>
    <w:rsid w:val="00B17284"/>
    <w:rsid w:val="00B30104"/>
    <w:rsid w:val="00B53EB5"/>
    <w:rsid w:val="00C33AB6"/>
    <w:rsid w:val="00C34357"/>
    <w:rsid w:val="00C71365"/>
    <w:rsid w:val="00C9083E"/>
    <w:rsid w:val="00CB33D3"/>
    <w:rsid w:val="00D632B6"/>
    <w:rsid w:val="00D96EC9"/>
    <w:rsid w:val="00E17F37"/>
    <w:rsid w:val="00EA2FC2"/>
    <w:rsid w:val="00F06CBB"/>
    <w:rsid w:val="00F73BA0"/>
    <w:rsid w:val="00FC1E37"/>
    <w:rsid w:val="00FC2F8B"/>
    <w:rsid w:val="00FC7C6D"/>
    <w:rsid w:val="34EB1F43"/>
    <w:rsid w:val="36435EC2"/>
    <w:rsid w:val="37DEA0A4"/>
    <w:rsid w:val="3FFE7147"/>
    <w:rsid w:val="43EB7E23"/>
    <w:rsid w:val="4DD97D2F"/>
    <w:rsid w:val="5BDF53C3"/>
    <w:rsid w:val="5BEBBEF4"/>
    <w:rsid w:val="5FB28E04"/>
    <w:rsid w:val="60D032A5"/>
    <w:rsid w:val="67EA40E5"/>
    <w:rsid w:val="6E7FABA1"/>
    <w:rsid w:val="75FF89B8"/>
    <w:rsid w:val="7B77907F"/>
    <w:rsid w:val="7BEFCD4F"/>
    <w:rsid w:val="7CE1E687"/>
    <w:rsid w:val="7E4FF56B"/>
    <w:rsid w:val="85DF4383"/>
    <w:rsid w:val="B75D7566"/>
    <w:rsid w:val="B7E5AFA3"/>
    <w:rsid w:val="D57C64F6"/>
    <w:rsid w:val="DB7B677B"/>
    <w:rsid w:val="DF6B2CA3"/>
    <w:rsid w:val="DF9F37BE"/>
    <w:rsid w:val="DFF135D6"/>
    <w:rsid w:val="E5D5D62C"/>
    <w:rsid w:val="E7FF3806"/>
    <w:rsid w:val="EBF7261A"/>
    <w:rsid w:val="EFEFC4D6"/>
    <w:rsid w:val="F6BAAC95"/>
    <w:rsid w:val="FBFF4E3F"/>
    <w:rsid w:val="FD7F1338"/>
    <w:rsid w:val="FDAB009A"/>
    <w:rsid w:val="FDF4A45C"/>
    <w:rsid w:val="FE672F57"/>
    <w:rsid w:val="FEB80C59"/>
    <w:rsid w:val="FEEEF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paragraph" w:customStyle="1" w:styleId="8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9</Pages>
  <Words>680</Words>
  <Characters>3879</Characters>
  <Lines>32</Lines>
  <Paragraphs>9</Paragraphs>
  <TotalTime>8</TotalTime>
  <ScaleCrop>false</ScaleCrop>
  <LinksUpToDate>false</LinksUpToDate>
  <CharactersWithSpaces>4550</CharactersWithSpaces>
  <Application>WPS Office_12.8.2.1114_F1E327BC-269C-435d-A152-05C5408002CA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2019-08-20T01:06:00Z</dcterms:created>
  <dc:creator>Sky123.Org</dc:creator>
  <cp:lastModifiedBy>user</cp:lastModifiedBy>
  <dcterms:modified xsi:type="dcterms:W3CDTF">2025-08-27T08:30:38Z</dcterms:modified>
  <cp:revision>198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2052-12.8.2.1114</vt:lpwstr>
  </property>
  <property fmtid="{D5CDD505-2E9C-101B-9397-08002B2CF9AE}" pid="3" name="ICV">
    <vt:lpwstr>3115989309D741DA945EE44A488D69E1</vt:lpwstr>
  </property>
</Properties>
</file>