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eastAsia="黑体"/>
          <w:lang w:val="zh-CN"/>
        </w:rPr>
      </w:pPr>
      <w:r>
        <w:rPr>
          <w:rFonts w:hint="eastAsia" w:ascii="黑体" w:eastAsia="黑体" w:cs="黑体"/>
          <w:lang w:val="zh-CN"/>
        </w:rPr>
        <w:t>附件</w:t>
      </w:r>
      <w:r>
        <w:rPr>
          <w:rFonts w:ascii="黑体" w:eastAsia="黑体" w:cs="黑体"/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  <w:t>部门整体支出绩效评价报告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ascii="黑体" w:eastAsia="黑体"/>
          <w:color w:val="000000"/>
          <w:kern w:val="0"/>
          <w:sz w:val="24"/>
          <w:szCs w:val="24"/>
          <w:shd w:val="clear" w:color="auto" w:fill="FFFFFF"/>
        </w:rPr>
      </w:pPr>
    </w:p>
    <w:p>
      <w:pPr>
        <w:pStyle w:val="3"/>
        <w:bidi w:val="0"/>
        <w:rPr>
          <w:rFonts w:hint="eastAsia"/>
          <w:lang w:val="zh-CN"/>
        </w:rPr>
      </w:pPr>
      <w:r>
        <w:rPr>
          <w:rFonts w:hint="eastAsia"/>
        </w:rPr>
        <w:t>一、</w:t>
      </w:r>
      <w:r>
        <w:rPr>
          <w:rFonts w:hint="eastAsia"/>
          <w:lang w:val="zh-CN"/>
        </w:rPr>
        <w:t>部门（单位）概况</w:t>
      </w:r>
    </w:p>
    <w:p>
      <w:pPr>
        <w:pStyle w:val="4"/>
        <w:bidi w:val="0"/>
        <w:rPr>
          <w:rFonts w:hint="eastAsia" w:ascii="方正仿宋_GB18030" w:hAnsi="方正仿宋_GB18030" w:eastAsia="方正仿宋_GB18030" w:cs="方正仿宋_GB18030"/>
          <w:b/>
          <w:kern w:val="0"/>
          <w:szCs w:val="32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部门主要职责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eastAsia="zh-CN"/>
        </w:rPr>
        <w:t>（</w:t>
      </w:r>
      <w:r>
        <w:rPr>
          <w:rStyle w:val="19"/>
          <w:rFonts w:hint="eastAsia"/>
          <w:lang w:val="en-US" w:eastAsia="zh-CN"/>
        </w:rPr>
        <w:t>1</w:t>
      </w:r>
      <w:r>
        <w:rPr>
          <w:rStyle w:val="19"/>
          <w:rFonts w:hint="eastAsia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行政领导共青团、青联，少先队工作对全县性青年社团组织进行指导和管理.参与制定全县青少年事业发展规划，对全县青少年利益相关的事务。协助县委县政府处理、协调与青少年利益相关的事务。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eastAsia="zh-CN"/>
        </w:rPr>
        <w:t>（</w:t>
      </w:r>
      <w:r>
        <w:rPr>
          <w:rStyle w:val="19"/>
          <w:rFonts w:hint="eastAsia"/>
          <w:lang w:val="en-US" w:eastAsia="zh-CN"/>
        </w:rPr>
        <w:t>2</w:t>
      </w:r>
      <w:r>
        <w:rPr>
          <w:rStyle w:val="19"/>
          <w:rFonts w:hint="eastAsia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协助县委县政府处理、协调与青少年利益相关的事务。调查青年思想动态和青年工作状况，研究青所运动，青少年的工作理论和思想教育问题，提出相关的对策，并开展各种活动。协助政府教育部门做好，中、小学学生的教育管理工作，维护学校稳定和社会安定团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eastAsia="zh-CN"/>
        </w:rPr>
        <w:t>（</w:t>
      </w:r>
      <w:r>
        <w:rPr>
          <w:rStyle w:val="19"/>
          <w:rFonts w:hint="eastAsia"/>
          <w:lang w:val="en-US" w:eastAsia="zh-CN"/>
        </w:rPr>
        <w:t>3</w:t>
      </w:r>
      <w:r>
        <w:rPr>
          <w:rStyle w:val="19"/>
          <w:rFonts w:hint="eastAsia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在国家经济中，组织和带领青年发挥生力军和突击队。会同有关部门对全县青少年外事务工作进行归口管理，并提供服务。参与制定全县有关青少年统战工作的政策，做好全县青年统战对象的团结教育工作，维护和促进祖国统一以及民族团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eastAsia="zh-CN"/>
        </w:rPr>
        <w:t>（</w:t>
      </w:r>
      <w:r>
        <w:rPr>
          <w:rStyle w:val="19"/>
          <w:rFonts w:hint="eastAsia"/>
          <w:lang w:val="en-US" w:eastAsia="zh-CN"/>
        </w:rPr>
        <w:t>4</w:t>
      </w:r>
      <w:r>
        <w:rPr>
          <w:rStyle w:val="19"/>
          <w:rFonts w:hint="eastAsia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承担县委、县政府、共青团阿坝州委交办的其他工作。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主要工作任务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我委</w:t>
      </w: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</w:rPr>
        <w:t>协助县委、县政府和有关部门做好促进青少年工作，协助县委、县政府和有关部门做好青少年留守儿童，开展冬送温暖、六下乡等，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调查青年思想动态和青年工作状况，研究青所运动，青少年的工作理论和思想教育问题，提出相关的对策，并开展各种活动。协助政府教育部门做好，中、小学学生的教育管理工作，维护学校稳定和社会安定团结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机构组成及人员概况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line="560" w:lineRule="exact"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333333"/>
          <w:sz w:val="32"/>
          <w:szCs w:val="32"/>
        </w:rPr>
        <w:t>共青团黑水县委属于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党领导下的群众团体</w:t>
      </w:r>
      <w:r>
        <w:rPr>
          <w:rFonts w:hint="eastAsia" w:ascii="方正仿宋_GB18030" w:hAnsi="方正仿宋_GB18030" w:eastAsia="方正仿宋_GB18030" w:cs="方正仿宋_GB18030"/>
          <w:color w:val="333333"/>
          <w:sz w:val="32"/>
          <w:szCs w:val="32"/>
        </w:rPr>
        <w:t>，没有下属二级预算单位。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单位总编制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名，其中：行政编制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名，工勤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名。在职人员总数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3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人；退休人员0人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shd w:val="clear" w:color="auto" w:fill="FFFFFF"/>
        </w:rPr>
        <w:t>。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二、部门财政资金收支情况</w:t>
      </w:r>
    </w:p>
    <w:p>
      <w:pPr>
        <w:pStyle w:val="4"/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（一）部门财政资金收入情况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outlineLvl w:val="0"/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年拨款收入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  <w:lang w:val="en-US" w:eastAsia="zh-CN"/>
        </w:rPr>
        <w:t>752148.71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元，其中财政拨款收入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  <w:lang w:val="en-US" w:eastAsia="zh-CN"/>
        </w:rPr>
        <w:t>752148.71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元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上年财政拨款结转和结余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  <w:lang w:val="en-US" w:eastAsia="zh-CN"/>
        </w:rPr>
        <w:t>325591.72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highlight w:val="none"/>
        </w:rPr>
        <w:t>元。</w:t>
      </w:r>
    </w:p>
    <w:p>
      <w:pPr>
        <w:pStyle w:val="4"/>
        <w:numPr>
          <w:ilvl w:val="0"/>
          <w:numId w:val="1"/>
        </w:numPr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部门财政资金支出情况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202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年支出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  <w:t>1077740.43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元，其中：人员经费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  <w:t xml:space="preserve">773826.69 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元、日常公用经费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  <w:t xml:space="preserve">303913.74 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元、项目支出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bCs/>
          <w:sz w:val="32"/>
          <w:szCs w:val="32"/>
          <w:highlight w:val="none"/>
        </w:rPr>
        <w:t>元。</w:t>
      </w:r>
    </w:p>
    <w:p>
      <w:pPr>
        <w:pStyle w:val="3"/>
        <w:bidi w:val="0"/>
        <w:rPr>
          <w:rFonts w:hint="eastAsia" w:ascii="方正仿宋_GB18030" w:hAnsi="方正仿宋_GB18030" w:eastAsia="方正仿宋_GB18030" w:cs="方正仿宋_GB18030"/>
          <w:color w:val="auto"/>
          <w:kern w:val="0"/>
          <w:szCs w:val="32"/>
          <w:shd w:val="clear" w:color="auto" w:fill="FFFFFF"/>
        </w:rPr>
      </w:pPr>
      <w:r>
        <w:rPr>
          <w:rFonts w:hint="eastAsia"/>
        </w:rPr>
        <w:t>三、部门整体预算绩效管理情况</w:t>
      </w:r>
    </w:p>
    <w:p>
      <w:pPr>
        <w:pStyle w:val="4"/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（一）部门预算管理。</w:t>
      </w:r>
    </w:p>
    <w:p>
      <w:pPr>
        <w:pStyle w:val="5"/>
        <w:bidi w:val="0"/>
        <w:rPr>
          <w:rFonts w:hint="eastAsia" w:ascii="方正仿宋_GB18030" w:hAnsi="方正仿宋_GB18030" w:eastAsia="方正仿宋_GB18030" w:cs="方正仿宋_GB18030"/>
          <w:b/>
          <w:bCs/>
          <w:szCs w:val="32"/>
        </w:rPr>
      </w:pPr>
      <w:r>
        <w:rPr>
          <w:rFonts w:hint="eastAsia"/>
        </w:rPr>
        <w:t>1.预算编制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(1)目标制定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(一)202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年预算目标制定情况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根据202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年4月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19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日黑水县财政局《关于批复202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年度部门预算的通知》(黑财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〔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〕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89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 xml:space="preserve">号)，被评价单位按照省、州、县级部门预算编制通知和有关要求，及时按时完成基础库、项目库报送工作。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单位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年部门整体支出预算为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791767.00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元。其中:基本支出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791767.00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元，无项目支出。其中按支出项目分类，预算支出中含支出包括: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一般公共服务支出588794.00元，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社会保障和就业支出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99563.00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元，卫生健康支出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44592.00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元，住房保障支出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58818.00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元;按年度主要任务分类，人员经费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625032.00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元,主要包括:基本工资、津贴补贴、奖金、绩效工资、机关事业单位基本养老保险缴费、职业基本医疗保险缴费、公务员医疗补助缴费、其他社会保障缴费、住房公积金。公用经费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166735.00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元,主要包括:办公费、水费、电费、邮电费、差旅费、维修(护)费、培训费、公务接待费、劳务费、公务用运行维护费。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年无申报专项项目。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>
      <w:pPr>
        <w:pStyle w:val="6"/>
        <w:bidi w:val="0"/>
        <w:rPr>
          <w:rFonts w:hint="eastAsia"/>
        </w:rPr>
      </w:pPr>
      <w:r>
        <w:rPr>
          <w:rFonts w:hint="eastAsia"/>
          <w:lang w:eastAsia="zh-CN"/>
        </w:rPr>
        <w:t>(</w:t>
      </w:r>
      <w:r>
        <w:rPr>
          <w:rFonts w:hint="eastAsia"/>
        </w:rPr>
        <w:t>2</w:t>
      </w:r>
      <w:r>
        <w:rPr>
          <w:rFonts w:hint="eastAsia"/>
          <w:lang w:eastAsia="zh-CN"/>
        </w:rPr>
        <w:t>)</w:t>
      </w:r>
      <w:r>
        <w:rPr>
          <w:rFonts w:hint="eastAsia"/>
        </w:rPr>
        <w:t>目标实现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根据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本单位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《202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年部门预算》部门整体支出绩效目标申报表，202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年主要任务如下：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任务一：保障人员经费(工资性支出，社会保障缴费，住房公积金，体检费，独生子女奖励费，遗属补助)，预算金额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625032.00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任务二：定额公用经费(日常公用经费或保障性公用经费)，预算金额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166735.00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  <w:lang w:eastAsia="zh-CN"/>
        </w:rPr>
        <w:t>(</w:t>
      </w:r>
      <w:r>
        <w:rPr>
          <w:rFonts w:hint="eastAsia"/>
        </w:rPr>
        <w:t>3</w:t>
      </w:r>
      <w:r>
        <w:rPr>
          <w:rFonts w:hint="eastAsia"/>
          <w:lang w:eastAsia="zh-CN"/>
        </w:rPr>
        <w:t>)</w:t>
      </w:r>
      <w:r>
        <w:rPr>
          <w:rFonts w:hint="eastAsia"/>
        </w:rPr>
        <w:t>编制准确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1)预算编制准确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1.预算编制准确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根据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本单位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《202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年部门预算》，年初一般公共预算财政拨款收入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791282.00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元。根据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我局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《202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年部门决算》，202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年一般公共预算次财政拨款收入调整预算数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752148.71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元，其中基本支出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791282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与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预算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数相比、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实际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支出决算数减少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39133.29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2.预算执行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(1)支出控制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highlight w:val="none"/>
          <w:lang w:val="en-US" w:eastAsia="zh-CN"/>
        </w:rPr>
        <w:t>根据我单位《2021年部门预算》，部门日常公用经费、项目支出中“办公费、印刷费、水费、电费、物业管理费”等科目年初预算数共计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166735.00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highlight w:val="none"/>
          <w:lang w:val="en-US" w:eastAsia="zh-CN"/>
        </w:rPr>
        <w:t>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2"/>
          <w:szCs w:val="32"/>
          <w:highlight w:val="none"/>
          <w:lang w:val="en-US" w:eastAsia="zh-CN"/>
        </w:rPr>
        <w:t>根据我单位《2021年部门决算》，部门日常公用经费、项目支出中“办公费、印刷费、水费、电费、物业管理费”等科目决算数共计303913.74元。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(2)动态调整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 xml:space="preserve">    单位202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年度无绩效监控调整取消额、202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年度无结余注销额，根据指标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体系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, 当部门绩效监控调整取消额与结余注销额之和为零时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3.完成结果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(1)预算完成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 xml:space="preserve">   根据单位年初绩效目标，202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年度未申报专项项目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(2)违规记录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无</w:t>
      </w:r>
    </w:p>
    <w:p>
      <w:pPr>
        <w:pStyle w:val="4"/>
        <w:numPr>
          <w:ilvl w:val="0"/>
          <w:numId w:val="1"/>
        </w:numPr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结果应用情况。</w:t>
      </w:r>
    </w:p>
    <w:p>
      <w:pPr>
        <w:pStyle w:val="6"/>
        <w:bidi w:val="0"/>
        <w:rPr>
          <w:rFonts w:hint="eastAsia"/>
          <w:lang w:val="zh-CN"/>
        </w:rPr>
      </w:pPr>
      <w:r>
        <w:rPr>
          <w:rFonts w:hint="eastAsia"/>
        </w:rPr>
        <w:t>1.信息公开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</w:rPr>
        <w:t>2021年5月6日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  <w:lang w:val="en-US" w:eastAsia="zh-CN"/>
        </w:rPr>
        <w:t>我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单位在黑水县人民政府官网上公开了《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中国共产主义青年团阿坝州黑水县委员会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2021年部门预算编制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说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明》，并附带公开《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2021年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中国共产主义青年团阿坝州黑水县委员会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预算公开表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907" w:right="1361" w:bottom="851" w:left="1361" w:header="851" w:footer="992" w:gutter="0"/>
          <w:pgNumType w:fmt="decimal" w:start="12"/>
          <w:cols w:space="720" w:num="1"/>
          <w:docGrid w:type="lines" w:linePitch="435" w:charSpace="0"/>
        </w:sectPr>
      </w:pP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</w:rPr>
        <w:t>年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</w:rPr>
        <w:t>月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  <w:lang w:val="en-US" w:eastAsia="zh-CN"/>
        </w:rPr>
        <w:t>24</w:t>
      </w:r>
      <w:r>
        <w:rPr>
          <w:rFonts w:hint="eastAsia" w:ascii="方正仿宋_GB18030" w:hAnsi="方正仿宋_GB18030" w:eastAsia="方正仿宋_GB18030" w:cs="方正仿宋_GB18030"/>
          <w:color w:val="FF0000"/>
          <w:sz w:val="32"/>
          <w:szCs w:val="32"/>
        </w:rPr>
        <w:t>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我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单位在黑水县人民政府官网上公开了《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国共产主义青年团阿坝州黑水县委员会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年部门预算编制说明》，并附带公开《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年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中国共产主义青年团阿坝州黑水县委员会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预算公开表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》。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四、评价结论及建议</w:t>
      </w:r>
    </w:p>
    <w:p>
      <w:pPr>
        <w:pStyle w:val="4"/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（一）评价结论</w:t>
      </w:r>
      <w:bookmarkStart w:id="0" w:name="_GoBack"/>
      <w:bookmarkEnd w:id="0"/>
      <w:r>
        <w:rPr>
          <w:rFonts w:hint="eastAsia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按照国家政策法规规定，结合本部门的实际情况，建立健全了财务管理制度和约束机制，依法、有效地使用财政资金，提高财政资金使用效率，合理分配人、财、物，完成了部门职能目标，实现了较高的工作效率和支出绩效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结合评价得分评价结果为良好。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Style w:val="18"/>
          <w:rFonts w:hint="eastAsia"/>
          <w:lang w:val="zh-CN"/>
        </w:rPr>
      </w:pPr>
      <w:r>
        <w:rPr>
          <w:rStyle w:val="18"/>
          <w:rFonts w:hint="eastAsia"/>
          <w:lang w:val="zh-CN"/>
        </w:rPr>
        <w:t>（二）存在问题。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.编制准确</w:t>
      </w:r>
      <w:r>
        <w:rPr>
          <w:rFonts w:hint="eastAsia"/>
          <w:lang w:val="en-US" w:eastAsia="zh-CN"/>
        </w:rPr>
        <w:t>方面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2021年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年初一般公共预算财政拨款收入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791282.00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元，202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年一般公共预算次财政拨款收入调整预算数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752148.71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元，其中基本支出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791282.00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与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预算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数相比、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实际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支出决算数减少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39133.29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元。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.支出控制方面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本单位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日常公用经费、项目支出中“办公费、印刷费、水费、电费、物业管理费”等科目年初预算数、与决算数相比，综合偏差率为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82.27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%。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 xml:space="preserve">  </w:t>
      </w:r>
    </w:p>
    <w:p>
      <w:pPr>
        <w:pStyle w:val="4"/>
        <w:bidi w:val="0"/>
        <w:rPr>
          <w:rFonts w:hint="eastAsia"/>
        </w:rPr>
      </w:pPr>
      <w:r>
        <w:rPr>
          <w:rFonts w:hint="eastAsia"/>
        </w:rPr>
        <w:t>(二)改进建议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val="en-US" w:eastAsia="zh-CN"/>
        </w:rPr>
        <w:t>1</w:t>
      </w:r>
      <w:r>
        <w:rPr>
          <w:rStyle w:val="19"/>
          <w:rFonts w:hint="eastAsia"/>
        </w:rPr>
        <w:t>.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加强预算管理，提高预算编制准确性。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Style w:val="19"/>
          <w:rFonts w:hint="eastAsia"/>
          <w:lang w:val="en-US" w:eastAsia="zh-CN"/>
        </w:rPr>
        <w:t>2</w:t>
      </w:r>
      <w:r>
        <w:rPr>
          <w:rStyle w:val="19"/>
          <w:rFonts w:hint="eastAsia"/>
        </w:rPr>
        <w:t>.</w:t>
      </w:r>
      <w:r>
        <w:rPr>
          <w:rFonts w:hint="eastAsia" w:ascii="方正仿宋_GB18030" w:hAnsi="方正仿宋_GB18030" w:eastAsia="方正仿宋_GB18030" w:cs="方正仿宋_GB18030"/>
          <w:color w:val="323232"/>
          <w:sz w:val="32"/>
          <w:szCs w:val="32"/>
        </w:rPr>
        <w:t>加强日常公用经费支出控制。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323232"/>
          <w:sz w:val="32"/>
          <w:szCs w:val="32"/>
        </w:rPr>
      </w:pPr>
      <w:r>
        <w:rPr>
          <w:rStyle w:val="19"/>
          <w:rFonts w:hint="eastAsia"/>
          <w:lang w:val="en-US" w:eastAsia="zh-CN"/>
        </w:rPr>
        <w:t>3</w:t>
      </w:r>
      <w:r>
        <w:rPr>
          <w:rStyle w:val="19"/>
          <w:rFonts w:hint="eastAsia"/>
        </w:rPr>
        <w:t>.</w:t>
      </w:r>
      <w:r>
        <w:rPr>
          <w:rFonts w:hint="eastAsia" w:ascii="方正仿宋_GB18030" w:hAnsi="方正仿宋_GB18030" w:eastAsia="方正仿宋_GB18030" w:cs="方正仿宋_GB18030"/>
          <w:color w:val="323232"/>
          <w:sz w:val="32"/>
          <w:szCs w:val="32"/>
        </w:rPr>
        <w:t>加强预算资金执行进度。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 xml:space="preserve">                 中国共产主义青年团阿坝州黑水县委员会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 xml:space="preserve">                              2022年7月22日</w:t>
      </w:r>
    </w:p>
    <w:sectPr>
      <w:footerReference r:id="rId5" w:type="default"/>
      <w:pgSz w:w="11906" w:h="16838"/>
      <w:pgMar w:top="907" w:right="1361" w:bottom="851" w:left="1361" w:header="851" w:footer="992" w:gutter="0"/>
      <w:pgNumType w:fmt="decimal" w:start="1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991B93-497C-4A8C-BA3D-11665CC6C0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  <w:embedRegular r:id="rId2" w:fontKey="{E3EAD3A9-58A3-4972-A6AA-157DB338A71C}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4A74280-A187-4DD4-A326-8AE247B8E7B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1CF5CF6-49DD-43DC-B194-296C48EBC818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E50F42A-3F69-4ECC-A815-5A5059D9EE9D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HNY36H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900" w:hanging="900" w:hangingChars="500"/>
    </w:pPr>
    <w:r>
      <w:rPr>
        <w:rFonts w:hint="eastAsia" w:ascii="宋体" w:hAnsi="宋体" w:eastAsia="宋体" w:cs="宋体"/>
      </w:rPr>
      <w:t>—</w:t>
    </w:r>
    <w:r>
      <w:rPr>
        <w:rFonts w:hint="eastAsia" w:ascii="宋体" w:hAnsi="宋体" w:eastAsia="宋体" w:cs="宋体"/>
        <w:lang w:val="en-US" w:eastAsia="zh-CN"/>
      </w:rPr>
      <w:t xml:space="preserve">                                                                                                  </w:t>
    </w:r>
    <w:r>
      <w:rPr>
        <w:rFonts w:hint="eastAsia" w:ascii="宋体" w:hAnsi="宋体" w:eastAsia="宋体" w:cs="宋体"/>
      </w:rPr>
      <w:t>—</w: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singleLevel"/>
    <w:tmpl w:val="0000000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displayVerticalDrawingGridEvery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hODI1ZWU4MjQxMmIyYTkyYzBhODJmMmE0NDM1OWMifQ=="/>
  </w:docVars>
  <w:rsids>
    <w:rsidRoot w:val="00000000"/>
    <w:rsid w:val="07C733D5"/>
    <w:rsid w:val="180908A9"/>
    <w:rsid w:val="36653C36"/>
    <w:rsid w:val="36DC4CA2"/>
    <w:rsid w:val="4B447E66"/>
    <w:rsid w:val="66A23F66"/>
    <w:rsid w:val="6CC10EBE"/>
    <w:rsid w:val="75AB444E"/>
    <w:rsid w:val="7E394D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17"/>
    <w:uiPriority w:val="0"/>
    <w:pPr>
      <w:keepNext/>
      <w:keepLines/>
      <w:spacing w:before="340" w:after="330" w:line="660" w:lineRule="exact"/>
      <w:outlineLvl w:val="0"/>
    </w:pPr>
    <w:rPr>
      <w:rFonts w:ascii="Times New Roman" w:hAnsi="Times New Roman" w:eastAsia="黑体"/>
      <w:bCs/>
      <w:kern w:val="44"/>
      <w:szCs w:val="44"/>
    </w:rPr>
  </w:style>
  <w:style w:type="paragraph" w:styleId="4">
    <w:name w:val="heading 2"/>
    <w:basedOn w:val="1"/>
    <w:next w:val="1"/>
    <w:link w:val="18"/>
    <w:uiPriority w:val="0"/>
    <w:pPr>
      <w:keepNext/>
      <w:keepLines/>
      <w:spacing w:before="260" w:after="260" w:line="660" w:lineRule="exact"/>
      <w:outlineLvl w:val="1"/>
    </w:pPr>
    <w:rPr>
      <w:rFonts w:ascii="Cambria" w:hAnsi="Cambria" w:eastAsia="方正楷体_GB2312" w:cs="Cambria"/>
      <w:b/>
      <w:bCs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spacing w:before="260" w:after="260" w:line="660" w:lineRule="exact"/>
      <w:outlineLvl w:val="2"/>
    </w:pPr>
    <w:rPr>
      <w:rFonts w:ascii="Times New Roman" w:hAnsi="Times New Roman" w:eastAsia="方正仿宋_GB18030"/>
      <w:bCs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660" w:lineRule="exact"/>
      <w:outlineLvl w:val="3"/>
    </w:pPr>
    <w:rPr>
      <w:rFonts w:ascii="Arial" w:hAnsi="Arial" w:eastAsia="方正仿宋_GB18030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8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customStyle="1" w:styleId="11">
    <w:name w:val="批注框文本1"/>
    <w:basedOn w:val="1"/>
    <w:link w:val="21"/>
    <w:qFormat/>
    <w:uiPriority w:val="0"/>
    <w:rPr>
      <w:rFonts w:eastAsia="仿宋_GB2312"/>
      <w:sz w:val="2"/>
      <w:szCs w:val="2"/>
    </w:rPr>
  </w:style>
  <w:style w:type="paragraph" w:customStyle="1" w:styleId="12">
    <w:name w:val="Document Map"/>
    <w:basedOn w:val="1"/>
    <w:link w:val="20"/>
    <w:qFormat/>
    <w:uiPriority w:val="0"/>
    <w:rPr>
      <w:rFonts w:eastAsia="仿宋_GB2312"/>
      <w:sz w:val="2"/>
      <w:szCs w:val="2"/>
    </w:rPr>
  </w:style>
  <w:style w:type="paragraph" w:customStyle="1" w:styleId="13">
    <w:name w:val="Normal (Web)"/>
    <w:basedOn w:val="1"/>
    <w:qFormat/>
    <w:uiPriority w:val="0"/>
    <w:pPr>
      <w:spacing w:before="100" w:beforeAutospacing="1" w:after="100" w:afterAutospacing="1"/>
    </w:p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 w:cs="??"/>
      <w:color w:val="000000"/>
      <w:kern w:val="0"/>
      <w:sz w:val="28"/>
      <w:szCs w:val="28"/>
    </w:rPr>
  </w:style>
  <w:style w:type="paragraph" w:customStyle="1" w:styleId="15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customStyle="1" w:styleId="16">
    <w:name w:val="page number"/>
    <w:basedOn w:val="10"/>
    <w:uiPriority w:val="0"/>
  </w:style>
  <w:style w:type="character" w:customStyle="1" w:styleId="17">
    <w:name w:val="Heading 1 Char"/>
    <w:basedOn w:val="10"/>
    <w:link w:val="3"/>
    <w:semiHidden/>
    <w:qFormat/>
    <w:uiPriority w:val="0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8">
    <w:name w:val="Heading 2 Char"/>
    <w:basedOn w:val="10"/>
    <w:link w:val="4"/>
    <w:semiHidden/>
    <w:qFormat/>
    <w:uiPriority w:val="0"/>
    <w:rPr>
      <w:rFonts w:ascii="Cambria" w:hAnsi="Cambria" w:eastAsia="方正楷体_GB2312" w:cs="Cambria"/>
      <w:b/>
      <w:bCs/>
      <w:sz w:val="32"/>
      <w:szCs w:val="32"/>
    </w:rPr>
  </w:style>
  <w:style w:type="character" w:customStyle="1" w:styleId="19">
    <w:name w:val="Heading 3 Char"/>
    <w:basedOn w:val="10"/>
    <w:link w:val="5"/>
    <w:semiHidden/>
    <w:uiPriority w:val="0"/>
    <w:rPr>
      <w:rFonts w:ascii="Times New Roman" w:hAnsi="Times New Roman" w:eastAsia="方正仿宋_GB18030"/>
      <w:bCs/>
      <w:sz w:val="32"/>
      <w:szCs w:val="32"/>
    </w:rPr>
  </w:style>
  <w:style w:type="character" w:customStyle="1" w:styleId="20">
    <w:name w:val="Document Map Char Char"/>
    <w:basedOn w:val="10"/>
    <w:link w:val="12"/>
    <w:semiHidden/>
    <w:qFormat/>
    <w:uiPriority w:val="0"/>
    <w:rPr>
      <w:rFonts w:eastAsia="仿宋_GB2312"/>
      <w:sz w:val="2"/>
      <w:szCs w:val="2"/>
    </w:rPr>
  </w:style>
  <w:style w:type="character" w:customStyle="1" w:styleId="21">
    <w:name w:val="Balloon Text Char"/>
    <w:basedOn w:val="10"/>
    <w:link w:val="11"/>
    <w:semiHidden/>
    <w:uiPriority w:val="0"/>
    <w:rPr>
      <w:rFonts w:eastAsia="仿宋_GB2312"/>
      <w:sz w:val="2"/>
      <w:szCs w:val="2"/>
    </w:rPr>
  </w:style>
  <w:style w:type="character" w:customStyle="1" w:styleId="22">
    <w:name w:val="Footer Char"/>
    <w:basedOn w:val="10"/>
    <w:link w:val="7"/>
    <w:semiHidden/>
    <w:uiPriority w:val="0"/>
    <w:rPr>
      <w:rFonts w:eastAsia="仿宋_GB2312"/>
      <w:sz w:val="18"/>
      <w:szCs w:val="18"/>
    </w:rPr>
  </w:style>
  <w:style w:type="character" w:customStyle="1" w:styleId="23">
    <w:name w:val="Header Char"/>
    <w:basedOn w:val="10"/>
    <w:link w:val="8"/>
    <w:semiHidden/>
    <w:qFormat/>
    <w:uiPriority w:val="0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PSZX</Company>
  <Pages>7</Pages>
  <Words>2130</Words>
  <Characters>2447</Characters>
  <Lines>0</Lines>
  <Paragraphs>0</Paragraphs>
  <TotalTime>3</TotalTime>
  <ScaleCrop>false</ScaleCrop>
  <LinksUpToDate>false</LinksUpToDate>
  <CharactersWithSpaces>2510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2019-05-14T11:06:00Z</dcterms:created>
  <dc:creator>陈萍</dc:creator>
  <cp:lastModifiedBy>X.</cp:lastModifiedBy>
  <cp:lastPrinted>2021-03-22T14:51:00Z</cp:lastPrinted>
  <dcterms:modified xsi:type="dcterms:W3CDTF">2022-08-18T08:53:28Z</dcterms:modified>
  <dc:title>秋风少落叶1396674734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A44EF49ED2F349F4B47279A251F19276</vt:lpwstr>
  </property>
</Properties>
</file>