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22" w:line="177" w:lineRule="auto"/>
        <w:ind w:firstLine="2688" w:firstLineChars="600"/>
        <w:rPr>
          <w:rFonts w:hint="eastAsia" w:ascii="微软雅黑" w:hAnsi="微软雅黑" w:eastAsia="微软雅黑" w:cs="微软雅黑"/>
          <w:spacing w:val="9"/>
          <w:sz w:val="43"/>
          <w:szCs w:val="43"/>
          <w:lang w:val="en-US" w:eastAsia="zh-CN"/>
        </w:rPr>
      </w:pPr>
      <w:r>
        <w:rPr>
          <w:rFonts w:hint="eastAsia" w:ascii="微软雅黑" w:hAnsi="微软雅黑" w:eastAsia="微软雅黑" w:cs="微软雅黑"/>
          <w:spacing w:val="9"/>
          <w:sz w:val="43"/>
          <w:szCs w:val="43"/>
          <w:lang w:val="en-US" w:eastAsia="zh-CN"/>
        </w:rPr>
        <w:t>共青团黑水县委</w:t>
      </w:r>
    </w:p>
    <w:p>
      <w:pPr>
        <w:spacing w:before="222" w:line="177" w:lineRule="auto"/>
        <w:ind w:firstLine="896" w:firstLineChars="200"/>
        <w:rPr>
          <w:rFonts w:hint="eastAsia" w:ascii="微软雅黑" w:hAnsi="微软雅黑" w:eastAsia="微软雅黑" w:cs="微软雅黑"/>
          <w:spacing w:val="9"/>
          <w:sz w:val="43"/>
          <w:szCs w:val="43"/>
          <w:lang w:val="en-US" w:eastAsia="en-US"/>
        </w:rPr>
      </w:pPr>
      <w:r>
        <w:rPr>
          <w:rFonts w:hint="eastAsia" w:ascii="微软雅黑" w:hAnsi="微软雅黑" w:eastAsia="微软雅黑" w:cs="微软雅黑"/>
          <w:spacing w:val="9"/>
          <w:sz w:val="43"/>
          <w:szCs w:val="43"/>
          <w:lang w:val="en-US" w:eastAsia="zh-CN"/>
        </w:rPr>
        <w:t>2024年度</w:t>
      </w:r>
      <w:r>
        <w:rPr>
          <w:rFonts w:hint="eastAsia" w:ascii="微软雅黑" w:hAnsi="微软雅黑" w:eastAsia="微软雅黑" w:cs="微软雅黑"/>
          <w:spacing w:val="9"/>
          <w:sz w:val="43"/>
          <w:szCs w:val="43"/>
          <w:lang w:val="en-US" w:eastAsia="en-US"/>
        </w:rPr>
        <w:t>黑水县青少年交流交往交融</w:t>
      </w:r>
    </w:p>
    <w:p>
      <w:pPr>
        <w:spacing w:before="222" w:line="177" w:lineRule="auto"/>
        <w:ind w:firstLine="2240" w:firstLineChars="500"/>
        <w:rPr>
          <w:rFonts w:hint="eastAsia" w:ascii="微软雅黑" w:hAnsi="微软雅黑" w:eastAsia="微软雅黑" w:cs="微软雅黑"/>
          <w:spacing w:val="9"/>
          <w:sz w:val="43"/>
          <w:szCs w:val="43"/>
          <w:lang w:val="en-US" w:eastAsia="zh-CN"/>
        </w:rPr>
      </w:pPr>
      <w:r>
        <w:rPr>
          <w:rFonts w:hint="eastAsia" w:ascii="微软雅黑" w:hAnsi="微软雅黑" w:eastAsia="微软雅黑" w:cs="微软雅黑"/>
          <w:spacing w:val="9"/>
          <w:sz w:val="43"/>
          <w:szCs w:val="43"/>
          <w:lang w:val="en-US" w:eastAsia="en-US"/>
        </w:rPr>
        <w:t>项目</w:t>
      </w:r>
      <w:r>
        <w:rPr>
          <w:rFonts w:hint="eastAsia" w:ascii="微软雅黑" w:hAnsi="微软雅黑" w:eastAsia="微软雅黑" w:cs="微软雅黑"/>
          <w:spacing w:val="9"/>
          <w:sz w:val="43"/>
          <w:szCs w:val="43"/>
          <w:lang w:val="en-US" w:eastAsia="zh-CN"/>
        </w:rPr>
        <w:t>支出绩效自评报告</w:t>
      </w:r>
    </w:p>
    <w:p>
      <w:pPr>
        <w:keepNext w:val="0"/>
        <w:keepLines w:val="0"/>
        <w:pageBreakBefore w:val="0"/>
        <w:widowControl/>
        <w:kinsoku w:val="0"/>
        <w:wordWrap/>
        <w:overflowPunct/>
        <w:topLinePunct w:val="0"/>
        <w:autoSpaceDE w:val="0"/>
        <w:autoSpaceDN w:val="0"/>
        <w:bidi w:val="0"/>
        <w:adjustRightInd w:val="0"/>
        <w:snapToGrid w:val="0"/>
        <w:spacing w:before="1" w:line="185" w:lineRule="auto"/>
        <w:jc w:val="center"/>
        <w:textAlignment w:val="baseline"/>
        <w:rPr>
          <w:rFonts w:ascii="微软雅黑" w:hAnsi="微软雅黑" w:eastAsia="微软雅黑" w:cs="微软雅黑"/>
          <w:spacing w:val="9"/>
          <w:sz w:val="43"/>
          <w:szCs w:val="43"/>
          <w:lang w:val="en-US" w:eastAsia="en-US"/>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667"/>
        <w:textAlignment w:val="baseline"/>
        <w:outlineLvl w:val="0"/>
        <w:rPr>
          <w:rFonts w:ascii="SimHei" w:hAnsi="SimHei" w:eastAsia="SimHei" w:cs="SimHei"/>
          <w:spacing w:val="7"/>
          <w:sz w:val="31"/>
          <w:szCs w:val="31"/>
          <w:lang w:val="en-US" w:eastAsia="en-US"/>
        </w:rPr>
      </w:pPr>
      <w:r>
        <w:rPr>
          <w:rFonts w:ascii="SimHei" w:hAnsi="SimHei" w:eastAsia="SimHei" w:cs="SimHei"/>
          <w:spacing w:val="7"/>
          <w:sz w:val="31"/>
          <w:szCs w:val="31"/>
          <w:lang w:val="en-US" w:eastAsia="en-US"/>
        </w:rPr>
        <w:t>一、项目概况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38" w:firstLineChars="200"/>
        <w:textAlignment w:val="baseline"/>
        <w:outlineLvl w:val="0"/>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（一）设立背景及基本情况。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本项目的主要内容是“浙里石榴红嘉阿山海情”202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年黑  水县青少年赴</w:t>
      </w:r>
      <w:r>
        <w:rPr>
          <w:rFonts w:hint="eastAsia" w:ascii="FangSong" w:hAnsi="FangSong" w:eastAsia="FangSong" w:cs="FangSong"/>
          <w:snapToGrid w:val="0"/>
          <w:color w:val="000000"/>
          <w:spacing w:val="2"/>
          <w:kern w:val="0"/>
          <w:sz w:val="31"/>
          <w:szCs w:val="31"/>
          <w:lang w:val="en-US" w:eastAsia="zh-CN" w:bidi="ar-SA"/>
        </w:rPr>
        <w:t>嘉兴</w:t>
      </w:r>
      <w:r>
        <w:rPr>
          <w:rFonts w:ascii="FangSong" w:hAnsi="FangSong" w:eastAsia="FangSong" w:cs="FangSong"/>
          <w:snapToGrid w:val="0"/>
          <w:color w:val="000000"/>
          <w:spacing w:val="2"/>
          <w:kern w:val="0"/>
          <w:sz w:val="31"/>
          <w:szCs w:val="31"/>
          <w:lang w:val="en-US" w:eastAsia="en-US" w:bidi="ar-SA"/>
        </w:rPr>
        <w:t>海宁</w:t>
      </w:r>
      <w:r>
        <w:rPr>
          <w:rFonts w:hint="eastAsia" w:ascii="FangSong" w:hAnsi="FangSong" w:eastAsia="FangSong" w:cs="FangSong"/>
          <w:snapToGrid w:val="0"/>
          <w:color w:val="000000"/>
          <w:spacing w:val="2"/>
          <w:kern w:val="0"/>
          <w:sz w:val="31"/>
          <w:szCs w:val="31"/>
          <w:lang w:val="en-US" w:eastAsia="zh-CN" w:bidi="ar-SA"/>
        </w:rPr>
        <w:t>预估人数100人左右（学生80名，带队老师以及工作人员20名）参加</w:t>
      </w:r>
      <w:r>
        <w:rPr>
          <w:rFonts w:ascii="FangSong" w:hAnsi="FangSong" w:eastAsia="FangSong" w:cs="FangSong"/>
          <w:snapToGrid w:val="0"/>
          <w:color w:val="000000"/>
          <w:spacing w:val="2"/>
          <w:kern w:val="0"/>
          <w:sz w:val="31"/>
          <w:szCs w:val="31"/>
          <w:lang w:val="en-US" w:eastAsia="en-US" w:bidi="ar-SA"/>
        </w:rPr>
        <w:t>交往交融交流研学活动，2020—2022年我委无此项目；202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 xml:space="preserve">年拟申请资金预算100万元，较上年增长100 万元，较上年增长100%，增加的主要原因：贯彻落实党的二十大精神，  </w:t>
      </w:r>
      <w:bookmarkStart w:id="0" w:name="_GoBack"/>
      <w:bookmarkEnd w:id="0"/>
      <w:r>
        <w:rPr>
          <w:rFonts w:hint="eastAsia" w:ascii="FangSong" w:hAnsi="FangSong" w:eastAsia="FangSong" w:cs="FangSong"/>
          <w:snapToGrid w:val="0"/>
          <w:color w:val="000000"/>
          <w:spacing w:val="2"/>
          <w:kern w:val="0"/>
          <w:sz w:val="31"/>
          <w:szCs w:val="31"/>
          <w:lang w:val="en-US" w:eastAsia="zh-CN" w:bidi="ar-SA"/>
        </w:rPr>
        <w:t>增进民族团结</w:t>
      </w:r>
      <w:r>
        <w:rPr>
          <w:rFonts w:ascii="FangSong" w:hAnsi="FangSong" w:eastAsia="FangSong" w:cs="FangSong"/>
          <w:snapToGrid w:val="0"/>
          <w:color w:val="000000"/>
          <w:spacing w:val="2"/>
          <w:kern w:val="0"/>
          <w:sz w:val="31"/>
          <w:szCs w:val="31"/>
          <w:lang w:val="en-US" w:eastAsia="en-US" w:bidi="ar-SA"/>
        </w:rPr>
        <w:t>进步，也为民族团结进步创建工作的开展凝聚力量</w:t>
      </w:r>
      <w:r>
        <w:rPr>
          <w:rFonts w:hint="eastAsia" w:ascii="FangSong" w:hAnsi="FangSong" w:eastAsia="FangSong" w:cs="FangSong"/>
          <w:snapToGrid w:val="0"/>
          <w:color w:val="000000"/>
          <w:spacing w:val="2"/>
          <w:kern w:val="0"/>
          <w:sz w:val="31"/>
          <w:szCs w:val="31"/>
          <w:lang w:val="en-US" w:eastAsia="zh-CN" w:bidi="ar-SA"/>
        </w:rPr>
        <w:t>，</w:t>
      </w:r>
      <w:r>
        <w:rPr>
          <w:rFonts w:ascii="FangSong" w:hAnsi="FangSong" w:eastAsia="FangSong" w:cs="FangSong"/>
          <w:snapToGrid w:val="0"/>
          <w:color w:val="000000"/>
          <w:spacing w:val="2"/>
          <w:kern w:val="0"/>
          <w:sz w:val="31"/>
          <w:szCs w:val="31"/>
          <w:lang w:val="en-US" w:eastAsia="en-US" w:bidi="ar-SA"/>
        </w:rPr>
        <w:t>故202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年共青团黑水县委计划实施“浙里石榴红嘉阿山海情”202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年黑水县青少年赴海宁交往交融交流研学活动。</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（二）实施目的及支持方向。</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为持续促进民族交往交流交融，202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年共青团黑水县委计 划实施“浙里石榴红嘉阿山海情”202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年黑水县青少年赴海宁 交往交融交流研学活动，</w:t>
      </w:r>
      <w:r>
        <w:rPr>
          <w:rFonts w:hint="eastAsia" w:ascii="FangSong" w:hAnsi="FangSong" w:eastAsia="FangSong" w:cs="FangSong"/>
          <w:snapToGrid w:val="0"/>
          <w:color w:val="000000"/>
          <w:spacing w:val="2"/>
          <w:kern w:val="0"/>
          <w:sz w:val="31"/>
          <w:szCs w:val="31"/>
          <w:lang w:val="en-US" w:eastAsia="zh-CN" w:bidi="ar-SA"/>
        </w:rPr>
        <w:t>增进民族团结</w:t>
      </w:r>
      <w:r>
        <w:rPr>
          <w:rFonts w:ascii="FangSong" w:hAnsi="FangSong" w:eastAsia="FangSong" w:cs="FangSong"/>
          <w:snapToGrid w:val="0"/>
          <w:color w:val="000000"/>
          <w:spacing w:val="2"/>
          <w:kern w:val="0"/>
          <w:sz w:val="31"/>
          <w:szCs w:val="31"/>
          <w:lang w:val="en-US" w:eastAsia="en-US" w:bidi="ar-SA"/>
        </w:rPr>
        <w:t>进步，也为民族团结进步 创建工作的开展凝聚了力量。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92" w:lineRule="auto"/>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hint="eastAsia" w:ascii="KaiTi" w:hAnsi="KaiTi" w:eastAsia="KaiTi" w:cs="KaiTi"/>
          <w:b/>
          <w:bCs/>
          <w:snapToGrid w:val="0"/>
          <w:color w:val="000000"/>
          <w:spacing w:val="4"/>
          <w:kern w:val="0"/>
          <w:sz w:val="31"/>
          <w:szCs w:val="31"/>
          <w:lang w:val="en-US" w:eastAsia="zh-CN" w:bidi="ar-SA"/>
        </w:rPr>
        <w:t>（三）</w:t>
      </w:r>
      <w:r>
        <w:rPr>
          <w:rFonts w:ascii="KaiTi" w:hAnsi="KaiTi" w:eastAsia="KaiTi" w:cs="KaiTi"/>
          <w:b/>
          <w:bCs/>
          <w:snapToGrid w:val="0"/>
          <w:color w:val="000000"/>
          <w:spacing w:val="4"/>
          <w:kern w:val="0"/>
          <w:sz w:val="31"/>
          <w:szCs w:val="31"/>
          <w:lang w:val="en-US" w:eastAsia="en-US" w:bidi="ar-SA"/>
        </w:rPr>
        <w:t>预算安排及分配管理。</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申报项目预算金额为100万元 （资金来源为东西部协作资金，其中财政资金0万元，</w:t>
      </w:r>
      <w:r>
        <w:rPr>
          <w:rFonts w:hint="eastAsia" w:ascii="FangSong" w:hAnsi="FangSong" w:eastAsia="FangSong" w:cs="FangSong"/>
          <w:snapToGrid w:val="0"/>
          <w:color w:val="000000"/>
          <w:spacing w:val="2"/>
          <w:kern w:val="0"/>
          <w:sz w:val="31"/>
          <w:szCs w:val="31"/>
          <w:lang w:val="en-US" w:eastAsia="zh-CN" w:bidi="ar-SA"/>
        </w:rPr>
        <w:t>财政专户管理资金</w:t>
      </w:r>
      <w:r>
        <w:rPr>
          <w:rFonts w:ascii="FangSong" w:hAnsi="FangSong" w:eastAsia="FangSong" w:cs="FangSong"/>
          <w:snapToGrid w:val="0"/>
          <w:color w:val="000000"/>
          <w:spacing w:val="2"/>
          <w:kern w:val="0"/>
          <w:sz w:val="31"/>
          <w:szCs w:val="31"/>
          <w:lang w:val="en-US" w:eastAsia="en-US" w:bidi="ar-SA"/>
        </w:rPr>
        <w:t xml:space="preserve">0万元 </w:t>
      </w:r>
      <w:r>
        <w:rPr>
          <w:rFonts w:hint="eastAsia" w:ascii="FangSong" w:hAnsi="FangSong" w:eastAsia="FangSong" w:cs="FangSong"/>
          <w:snapToGrid w:val="0"/>
          <w:color w:val="000000"/>
          <w:spacing w:val="2"/>
          <w:kern w:val="0"/>
          <w:sz w:val="31"/>
          <w:szCs w:val="31"/>
          <w:lang w:val="en-US" w:eastAsia="zh-CN" w:bidi="ar-SA"/>
        </w:rPr>
        <w:t>，单位资金 0 万元）</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（四）项目绩效目标设置。</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根据项目实际，共设置四大类指标，分别为产出指标、效益 指标、满意度指标、成本指标。</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1.产出指标</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（1）数量指标赴海宁研学人数（人）       100</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ascii="FangSong" w:hAnsi="FangSong" w:eastAsia="FangSong" w:cs="FangSong"/>
          <w:snapToGrid w:val="0"/>
          <w:color w:val="000000"/>
          <w:spacing w:val="2"/>
          <w:kern w:val="0"/>
          <w:sz w:val="31"/>
          <w:szCs w:val="31"/>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5424805</wp:posOffset>
                </wp:positionH>
                <wp:positionV relativeFrom="paragraph">
                  <wp:posOffset>397510</wp:posOffset>
                </wp:positionV>
                <wp:extent cx="128270" cy="1549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28270" cy="154940"/>
                        </a:xfrm>
                        <a:prstGeom prst="rect">
                          <a:avLst/>
                        </a:prstGeom>
                        <a:noFill/>
                        <a:ln>
                          <a:noFill/>
                        </a:ln>
                      </wps:spPr>
                      <wps:txbx>
                        <w:txbxContent>
                          <w:p>
                            <w:pPr>
                              <w:spacing w:before="19" w:line="221" w:lineRule="auto"/>
                              <w:ind w:left="20"/>
                              <w:rPr>
                                <w:rFonts w:ascii="宋体" w:hAnsi="宋体" w:eastAsia="宋体" w:cs="宋体"/>
                                <w:sz w:val="17"/>
                                <w:szCs w:val="17"/>
                              </w:rPr>
                            </w:pPr>
                            <w:r>
                              <w:rPr>
                                <w:rFonts w:ascii="宋体" w:hAnsi="宋体" w:eastAsia="宋体" w:cs="宋体"/>
                                <w:sz w:val="17"/>
                                <w:szCs w:val="17"/>
                              </w:rPr>
                              <w:t>性</w:t>
                            </w:r>
                          </w:p>
                        </w:txbxContent>
                      </wps:txbx>
                      <wps:bodyPr lIns="0" tIns="0" rIns="0" bIns="0" upright="1"/>
                    </wps:wsp>
                  </a:graphicData>
                </a:graphic>
              </wp:anchor>
            </w:drawing>
          </mc:Choice>
          <mc:Fallback>
            <w:pict>
              <v:shape id="_x0000_s1026" o:spid="_x0000_s1026" o:spt="202" type="#_x0000_t202" style="position:absolute;left:0pt;margin-left:427.15pt;margin-top:31.3pt;height:12.2pt;width:10.1pt;z-index:251659264;mso-width-relative:page;mso-height-relative:page;" filled="f" stroked="f" coordsize="21600,21600" o:gfxdata="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">
                <v:fill on="f" focussize="0,0"/>
                <v:stroke on="f"/>
                <v:imagedata o:title=""/>
                <o:lock v:ext="edit" aspectratio="f"/>
                <v:textbox inset="0mm,0mm,0mm,0mm">
                  <w:txbxContent>
                    <w:p>
                      <w:pPr>
                        <w:spacing w:before="19" w:line="221" w:lineRule="auto"/>
                        <w:ind w:left="20"/>
                        <w:rPr>
                          <w:rFonts w:ascii="宋体" w:hAnsi="宋体" w:eastAsia="宋体" w:cs="宋体"/>
                          <w:sz w:val="17"/>
                          <w:szCs w:val="17"/>
                        </w:rPr>
                      </w:pPr>
                      <w:r>
                        <w:rPr>
                          <w:rFonts w:ascii="宋体" w:hAnsi="宋体" w:eastAsia="宋体" w:cs="宋体"/>
                          <w:sz w:val="17"/>
                          <w:szCs w:val="17"/>
                        </w:rPr>
                        <w:t>性</w:t>
                      </w:r>
                    </w:p>
                  </w:txbxContent>
                </v:textbox>
              </v:shape>
            </w:pict>
          </mc:Fallback>
        </mc:AlternateContent>
      </w:r>
      <w:r>
        <w:rPr>
          <w:rFonts w:hint="eastAsia" w:ascii="FangSong" w:hAnsi="FangSong" w:eastAsia="FangSong" w:cs="FangSong"/>
          <w:snapToGrid w:val="0"/>
          <w:color w:val="000000"/>
          <w:spacing w:val="2"/>
          <w:kern w:val="0"/>
          <w:sz w:val="31"/>
          <w:szCs w:val="31"/>
          <w:lang w:val="en-US" w:eastAsia="zh-CN" w:bidi="ar-SA"/>
        </w:rPr>
        <w:t>（2）</w:t>
      </w:r>
      <w:r>
        <w:rPr>
          <w:rFonts w:ascii="FangSong" w:hAnsi="FangSong" w:eastAsia="FangSong" w:cs="FangSong"/>
          <w:snapToGrid w:val="0"/>
          <w:color w:val="000000"/>
          <w:spacing w:val="2"/>
          <w:kern w:val="0"/>
          <w:sz w:val="31"/>
          <w:szCs w:val="31"/>
          <w:lang w:val="en-US" w:eastAsia="en-US" w:bidi="ar-SA"/>
        </w:rPr>
        <w:t>时效指标三交活动完成时限（月）   ≤</w:t>
      </w:r>
      <w:r>
        <w:rPr>
          <w:rFonts w:hint="eastAsia" w:ascii="FangSong" w:hAnsi="FangSong" w:eastAsia="FangSong" w:cs="FangSong"/>
          <w:snapToGrid w:val="0"/>
          <w:color w:val="000000"/>
          <w:spacing w:val="2"/>
          <w:kern w:val="0"/>
          <w:sz w:val="31"/>
          <w:szCs w:val="31"/>
          <w:lang w:val="en-US" w:eastAsia="zh-CN" w:bidi="ar-SA"/>
        </w:rPr>
        <w:t>9</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ascii="FangSong" w:hAnsi="FangSong" w:eastAsia="FangSong" w:cs="FangSong"/>
          <w:snapToGrid w:val="0"/>
          <w:color w:val="000000"/>
          <w:spacing w:val="2"/>
          <w:kern w:val="0"/>
          <w:sz w:val="31"/>
          <w:szCs w:val="31"/>
          <w:lang w:val="en-US" w:eastAsia="en-US" w:bidi="ar-SA"/>
        </w:rPr>
        <w:t xml:space="preserve">2.效益指标  提升社会发展服务   </w:t>
      </w:r>
      <w:r>
        <w:rPr>
          <w:rFonts w:hint="eastAsia" w:ascii="FangSong" w:hAnsi="FangSong" w:eastAsia="FangSong" w:cs="FangSong"/>
          <w:snapToGrid w:val="0"/>
          <w:color w:val="000000"/>
          <w:spacing w:val="2"/>
          <w:kern w:val="0"/>
          <w:sz w:val="31"/>
          <w:szCs w:val="31"/>
          <w:lang w:val="en-US" w:eastAsia="zh-CN" w:bidi="ar-SA"/>
        </w:rPr>
        <w:t>良</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mc:AlternateContent>
          <mc:Choice Requires="wps">
            <w:drawing>
              <wp:anchor distT="0" distB="0" distL="114300" distR="114300" simplePos="0" relativeHeight="251660288" behindDoc="0" locked="0" layoutInCell="1" allowOverlap="1">
                <wp:simplePos x="0" y="0"/>
                <wp:positionH relativeFrom="column">
                  <wp:posOffset>5488305</wp:posOffset>
                </wp:positionH>
                <wp:positionV relativeFrom="paragraph">
                  <wp:posOffset>165735</wp:posOffset>
                </wp:positionV>
                <wp:extent cx="36830" cy="71755"/>
                <wp:effectExtent l="0" t="0" r="0" b="0"/>
                <wp:wrapNone/>
                <wp:docPr id="3" name="文本框 3"/>
                <wp:cNvGraphicFramePr/>
                <a:graphic xmlns:a="http://schemas.openxmlformats.org/drawingml/2006/main">
                  <a:graphicData uri="http://schemas.microsoft.com/office/word/2010/wordprocessingShape">
                    <wps:wsp>
                      <wps:cNvSpPr txBox="1"/>
                      <wps:spPr>
                        <a:xfrm>
                          <a:off x="0" y="0"/>
                          <a:ext cx="36830" cy="71755"/>
                        </a:xfrm>
                        <a:prstGeom prst="rect">
                          <a:avLst/>
                        </a:prstGeom>
                        <a:noFill/>
                        <a:ln>
                          <a:noFill/>
                        </a:ln>
                      </wps:spPr>
                      <wps:txbx>
                        <w:txbxContent>
                          <w:p>
                            <w:pPr>
                              <w:spacing w:before="20" w:line="222" w:lineRule="auto"/>
                              <w:ind w:left="20"/>
                              <w:rPr>
                                <w:rFonts w:ascii="宋体" w:hAnsi="宋体" w:eastAsia="宋体" w:cs="宋体"/>
                                <w:sz w:val="6"/>
                                <w:szCs w:val="6"/>
                              </w:rPr>
                            </w:pPr>
                            <w:r>
                              <w:rPr>
                                <w:rFonts w:ascii="宋体" w:hAnsi="宋体" w:eastAsia="宋体" w:cs="宋体"/>
                                <w:sz w:val="6"/>
                                <w:szCs w:val="6"/>
                              </w:rPr>
                              <w:t>(</w:t>
                            </w:r>
                          </w:p>
                        </w:txbxContent>
                      </wps:txbx>
                      <wps:bodyPr lIns="0" tIns="0" rIns="0" bIns="0" upright="1"/>
                    </wps:wsp>
                  </a:graphicData>
                </a:graphic>
              </wp:anchor>
            </w:drawing>
          </mc:Choice>
          <mc:Fallback>
            <w:pict>
              <v:shape id="_x0000_s1026" o:spid="_x0000_s1026" o:spt="202" type="#_x0000_t202" style="position:absolute;left:0pt;margin-left:432.15pt;margin-top:13.05pt;height:5.65pt;width:2.9pt;z-index:251660288;mso-width-relative:page;mso-height-relative:page;" filled="f" stroked="f" coordsize="21600,21600" o:gfxdata="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">
                <v:fill on="f" focussize="0,0"/>
                <v:stroke on="f"/>
                <v:imagedata o:title=""/>
                <o:lock v:ext="edit" aspectratio="f"/>
                <v:textbox inset="0mm,0mm,0mm,0mm">
                  <w:txbxContent>
                    <w:p>
                      <w:pPr>
                        <w:spacing w:before="20" w:line="222" w:lineRule="auto"/>
                        <w:ind w:left="20"/>
                        <w:rPr>
                          <w:rFonts w:ascii="宋体" w:hAnsi="宋体" w:eastAsia="宋体" w:cs="宋体"/>
                          <w:sz w:val="6"/>
                          <w:szCs w:val="6"/>
                        </w:rPr>
                      </w:pPr>
                      <w:r>
                        <w:rPr>
                          <w:rFonts w:ascii="宋体" w:hAnsi="宋体" w:eastAsia="宋体" w:cs="宋体"/>
                          <w:sz w:val="6"/>
                          <w:szCs w:val="6"/>
                        </w:rPr>
                        <w:t>(</w:t>
                      </w:r>
                    </w:p>
                  </w:txbxContent>
                </v:textbox>
              </v:shape>
            </w:pict>
          </mc:Fallback>
        </mc:AlternateContent>
      </w:r>
      <w:r>
        <w:rPr>
          <w:rFonts w:ascii="FangSong" w:hAnsi="FangSong" w:eastAsia="FangSong" w:cs="FangSong"/>
          <w:snapToGrid w:val="0"/>
          <w:color w:val="000000"/>
          <w:spacing w:val="2"/>
          <w:kern w:val="0"/>
          <w:sz w:val="31"/>
          <w:szCs w:val="31"/>
          <w:lang w:val="en-US" w:eastAsia="en-US" w:bidi="ar-SA"/>
        </w:rPr>
        <w:t>3.满意度指标  受众师生满意度   (%)≥95</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4.成本指标    三交活动经济成本（万）   ≤100</w:t>
      </w:r>
    </w:p>
    <w:p>
      <w:pPr>
        <w:spacing w:before="101" w:line="226" w:lineRule="auto"/>
        <w:ind w:left="667"/>
        <w:outlineLvl w:val="0"/>
        <w:rPr>
          <w:rFonts w:ascii="SimHei" w:hAnsi="SimHei" w:eastAsia="SimHei" w:cs="SimHei"/>
          <w:spacing w:val="7"/>
          <w:sz w:val="31"/>
          <w:szCs w:val="31"/>
          <w:lang w:val="en-US" w:eastAsia="en-US"/>
        </w:rPr>
      </w:pPr>
      <w:r>
        <w:rPr>
          <w:rFonts w:ascii="SimHei" w:hAnsi="SimHei" w:eastAsia="SimHei" w:cs="SimHei"/>
          <w:spacing w:val="7"/>
          <w:sz w:val="31"/>
          <w:szCs w:val="31"/>
          <w:lang w:val="en-US" w:eastAsia="en-US"/>
        </w:rPr>
        <w:t>二、评价实施</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（一）评价目的。</w:t>
      </w:r>
      <w:r>
        <w:rPr>
          <w:rFonts w:ascii="FangSong" w:hAnsi="FangSong" w:eastAsia="FangSong" w:cs="FangSong"/>
          <w:snapToGrid w:val="0"/>
          <w:color w:val="000000"/>
          <w:spacing w:val="2"/>
          <w:kern w:val="0"/>
          <w:sz w:val="31"/>
          <w:szCs w:val="31"/>
          <w:lang w:val="en-US" w:eastAsia="en-US" w:bidi="ar-SA"/>
        </w:rPr>
        <w:t>全面了解“浙里石榴红嘉阿山海情”20</w:t>
      </w:r>
      <w:r>
        <w:rPr>
          <w:rFonts w:hint="default" w:ascii="FangSong" w:hAnsi="FangSong" w:eastAsia="FangSong" w:cs="FangSong"/>
          <w:snapToGrid w:val="0"/>
          <w:color w:val="000000"/>
          <w:spacing w:val="2"/>
          <w:kern w:val="0"/>
          <w:sz w:val="31"/>
          <w:szCs w:val="31"/>
          <w:lang w:val="en-US" w:eastAsia="en-US" w:bidi="ar-SA"/>
        </w:rPr>
        <w:t>24</w:t>
      </w:r>
      <w:r>
        <w:rPr>
          <w:rFonts w:ascii="FangSong" w:hAnsi="FangSong" w:eastAsia="FangSong" w:cs="FangSong"/>
          <w:snapToGrid w:val="0"/>
          <w:color w:val="000000"/>
          <w:spacing w:val="2"/>
          <w:kern w:val="0"/>
          <w:sz w:val="31"/>
          <w:szCs w:val="31"/>
          <w:lang w:val="en-US" w:eastAsia="en-US" w:bidi="ar-SA"/>
        </w:rPr>
        <w:t>年黑水县青少年赴海宁交往交融交流研学活动项目的实施进度， 查找问题，改善管理措施，确保项目目标顺利完成</w:t>
      </w:r>
      <w:r>
        <w:rPr>
          <w:rFonts w:ascii="KaiTi" w:hAnsi="KaiTi" w:eastAsia="KaiTi" w:cs="KaiTi"/>
          <w:b/>
          <w:bCs/>
          <w:snapToGrid w:val="0"/>
          <w:color w:val="000000"/>
          <w:spacing w:val="4"/>
          <w:kern w:val="0"/>
          <w:sz w:val="31"/>
          <w:szCs w:val="31"/>
          <w:lang w:val="en-US" w:eastAsia="en-US" w:bidi="ar-SA"/>
        </w:rPr>
        <w:t>。</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（二）预设问题及评价重点。</w:t>
      </w:r>
      <w:r>
        <w:rPr>
          <w:rFonts w:ascii="FangSong" w:hAnsi="FangSong" w:eastAsia="FangSong" w:cs="FangSong"/>
          <w:snapToGrid w:val="0"/>
          <w:color w:val="000000"/>
          <w:spacing w:val="2"/>
          <w:kern w:val="0"/>
          <w:sz w:val="31"/>
          <w:szCs w:val="31"/>
          <w:lang w:val="en-US" w:eastAsia="en-US" w:bidi="ar-SA"/>
        </w:rPr>
        <w:t>按照绩效评价指标体系，是否   严格按照资金管理办法进行资金支出使用，是否按进度推进项目， 是否取得目标效果，是否规范管理档案资料等进行综合评价和判  断，重点评价资金管理情况及项目实施效果。</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（三）评价选点</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浙江省</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（四）评价方法。</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单位自评法。</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（五）评价组织。</w:t>
      </w:r>
      <w:r>
        <w:rPr>
          <w:rFonts w:ascii="FangSong" w:hAnsi="FangSong" w:eastAsia="FangSong" w:cs="FangSong"/>
          <w:snapToGrid w:val="0"/>
          <w:color w:val="000000"/>
          <w:spacing w:val="2"/>
          <w:kern w:val="0"/>
          <w:sz w:val="31"/>
          <w:szCs w:val="31"/>
          <w:lang w:val="en-US" w:eastAsia="en-US" w:bidi="ar-SA"/>
        </w:rPr>
        <w:t>由团县委在单位内部抽取专业技术人员组成评价小组进行评价，并采取项目实施现场查看、资料分析整理、会议研究讨论等形式，对项目绩效评价涉及的综合协调组、现场查看组、资料查看组进行分工，明确工作要求，综合分析项目实施中存在的问题，研究讨论解决办法。</w:t>
      </w:r>
    </w:p>
    <w:p>
      <w:pPr>
        <w:spacing w:before="101" w:line="226" w:lineRule="auto"/>
        <w:ind w:left="667"/>
        <w:outlineLvl w:val="0"/>
        <w:rPr>
          <w:rFonts w:ascii="SimHei" w:hAnsi="SimHei" w:eastAsia="SimHei" w:cs="SimHei"/>
          <w:spacing w:val="7"/>
          <w:sz w:val="31"/>
          <w:szCs w:val="31"/>
          <w:lang w:val="en-US" w:eastAsia="en-US"/>
        </w:rPr>
      </w:pPr>
      <w:r>
        <w:rPr>
          <w:rFonts w:ascii="SimHei" w:hAnsi="SimHei" w:eastAsia="SimHei" w:cs="SimHei"/>
          <w:spacing w:val="7"/>
          <w:sz w:val="31"/>
          <w:szCs w:val="31"/>
          <w:lang w:val="en-US" w:eastAsia="en-US"/>
        </w:rPr>
        <w:t>三 、绩效分析</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根据项目预算绩效评价指标体系“通用指标”“专用指标”“个 性指标”涉及二、三级指标进行逐项绩效分析并评分。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 一）通用指标绩效分析。</w:t>
      </w:r>
      <w:r>
        <w:rPr>
          <w:rFonts w:ascii="FangSong" w:hAnsi="FangSong" w:eastAsia="FangSong" w:cs="FangSong"/>
          <w:snapToGrid w:val="0"/>
          <w:color w:val="000000"/>
          <w:spacing w:val="2"/>
          <w:kern w:val="0"/>
          <w:sz w:val="31"/>
          <w:szCs w:val="31"/>
          <w:lang w:val="en-US" w:eastAsia="en-US" w:bidi="ar-SA"/>
        </w:rPr>
        <w:t>（满分54分，自评得分51分）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1.项目决策（满分18分，自评得分18分）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（1）决策程序。（满分6分，自评得分6分）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一是项目设立上，根据项目下达任务指标以及我县实际情况，科学编制项目实施方案，并对项目实施方案进行专门研究，科学 分析，根据202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年4月23日黑水县财政局《关于下达浙江省 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年对口支援黑水县资金的通知》黑财综〔202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〕7号文件要 求开展项目实施。二是项目实施上严格执行政府采购程序，由中 标单位进行项目具体实施。该项目设立、调整延续等方面符合资 金管理基本规范和决策程序要求。</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（2）规划论证。（满分6分，自评得分6分）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一是项目实施前期，按照相关程序进行项目规划论证，符合中</w:t>
      </w:r>
      <w:r>
        <w:rPr>
          <w:rFonts w:hint="eastAsia" w:ascii="FangSong" w:hAnsi="FangSong" w:eastAsia="FangSong" w:cs="FangSong"/>
          <w:snapToGrid w:val="0"/>
          <w:color w:val="000000"/>
          <w:spacing w:val="2"/>
          <w:kern w:val="0"/>
          <w:sz w:val="31"/>
          <w:szCs w:val="31"/>
          <w:lang w:val="en-US" w:eastAsia="zh-CN" w:bidi="ar-SA"/>
        </w:rPr>
        <w:t>央、</w:t>
      </w:r>
      <w:r>
        <w:rPr>
          <w:rFonts w:ascii="FangSong" w:hAnsi="FangSong" w:eastAsia="FangSong" w:cs="FangSong"/>
          <w:snapToGrid w:val="0"/>
          <w:color w:val="000000"/>
          <w:spacing w:val="2"/>
          <w:kern w:val="0"/>
          <w:sz w:val="31"/>
          <w:szCs w:val="31"/>
          <w:lang w:val="en-US" w:eastAsia="en-US" w:bidi="ar-SA"/>
        </w:rPr>
        <w:t>省</w:t>
      </w:r>
      <w:r>
        <w:rPr>
          <w:rFonts w:hint="eastAsia" w:ascii="FangSong" w:hAnsi="FangSong" w:eastAsia="FangSong" w:cs="FangSong"/>
          <w:snapToGrid w:val="0"/>
          <w:color w:val="000000"/>
          <w:spacing w:val="2"/>
          <w:kern w:val="0"/>
          <w:sz w:val="31"/>
          <w:szCs w:val="31"/>
          <w:lang w:val="en-US" w:eastAsia="zh-CN" w:bidi="ar-SA"/>
        </w:rPr>
        <w:t>委</w:t>
      </w:r>
      <w:r>
        <w:rPr>
          <w:rFonts w:ascii="FangSong" w:hAnsi="FangSong" w:eastAsia="FangSong" w:cs="FangSong"/>
          <w:snapToGrid w:val="0"/>
          <w:color w:val="000000"/>
          <w:spacing w:val="2"/>
          <w:kern w:val="0"/>
          <w:sz w:val="31"/>
          <w:szCs w:val="31"/>
          <w:lang w:val="en-US" w:eastAsia="en-US" w:bidi="ar-SA"/>
        </w:rPr>
        <w:t>要求。二是项目绩效目标设置方面，共设置一级指标4项：</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产出指标、效益指标、满意度指标、成本指标；二级指标5项： 数量指标、时效指标、社会效益指标、服务对象满意度指标、经 济成本指标；三级指标5项：赴海宁研学人数、三交活动完成时 限、提升社会发展服务、受众师生满意度、三交活动经济成本， 该项目绩效目标设置科学合理。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（3）资金投向。（满分6分，自评得分6分）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严格执行国家和省、州、县有关基本建设财务管理、资金管 理的规章制度，在把握资金投向、明确项目任务及投资总额、保 障项目资金来源的基础上，科学分配资金，严格管理，坚持专项 使 用 。</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2.项目管理。（满分18分，自评得分17分）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（1）制度办法（满分2分，自评得分1分）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“浙里石榴红嘉阿山海情”202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年黑水县青少年赴海宁交往交融交流研学活动项目不存在管理制度缺失、管理办法过期情 况。</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（2）分配管理（满分10分，自评得分10分）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项目总投资为100万元（包括往返交通费、餐饮费、住宿费、 培训实践费、其他费用）。决策程序符合管理要求，及时高效。</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（3）绩效监管（满分6分，自评得分6分）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“浙里石榴红嘉阿山海情”202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年黑水县青少年赴海宁交 往交融交流研学活动项目按要求全面完成项目事前绩效评估报 告。</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3.项目实施（满分9分，自评得分8分）。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在预算执行上，浙里石榴红嘉阿山海情202</w:t>
      </w:r>
      <w:r>
        <w:rPr>
          <w:rFonts w:hint="default" w:ascii="FangSong" w:hAnsi="FangSong" w:eastAsia="FangSong" w:cs="FangSong"/>
          <w:snapToGrid w:val="0"/>
          <w:color w:val="000000"/>
          <w:spacing w:val="2"/>
          <w:kern w:val="0"/>
          <w:sz w:val="31"/>
          <w:szCs w:val="31"/>
          <w:lang w:val="en-US" w:eastAsia="en-US" w:bidi="ar-SA"/>
        </w:rPr>
        <w:t>4</w:t>
      </w:r>
      <w:r>
        <w:rPr>
          <w:rFonts w:ascii="FangSong" w:hAnsi="FangSong" w:eastAsia="FangSong" w:cs="FangSong"/>
          <w:snapToGrid w:val="0"/>
          <w:color w:val="000000"/>
          <w:spacing w:val="2"/>
          <w:kern w:val="0"/>
          <w:sz w:val="31"/>
          <w:szCs w:val="31"/>
          <w:lang w:val="en-US" w:eastAsia="en-US" w:bidi="ar-SA"/>
        </w:rPr>
        <w:t>年黑水县 青少年赴海宁交往交融交流研学活动项目资金100万元，项目中 标价9</w:t>
      </w:r>
      <w:r>
        <w:rPr>
          <w:rFonts w:hint="eastAsia" w:ascii="FangSong" w:hAnsi="FangSong" w:eastAsia="FangSong" w:cs="FangSong"/>
          <w:snapToGrid w:val="0"/>
          <w:color w:val="000000"/>
          <w:spacing w:val="2"/>
          <w:kern w:val="0"/>
          <w:sz w:val="31"/>
          <w:szCs w:val="31"/>
          <w:lang w:val="en-US" w:eastAsia="zh-CN" w:bidi="ar-SA"/>
        </w:rPr>
        <w:t>9.6</w:t>
      </w:r>
      <w:r>
        <w:rPr>
          <w:rFonts w:ascii="FangSong" w:hAnsi="FangSong" w:eastAsia="FangSong" w:cs="FangSong"/>
          <w:snapToGrid w:val="0"/>
          <w:color w:val="000000"/>
          <w:spacing w:val="2"/>
          <w:kern w:val="0"/>
          <w:sz w:val="31"/>
          <w:szCs w:val="31"/>
          <w:lang w:val="en-US" w:eastAsia="en-US" w:bidi="ar-SA"/>
        </w:rPr>
        <w:t>万元。</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在资金使用上，严格按照资金管理程序进行资金支付，目前 已完成资金支付</w:t>
      </w:r>
      <w:r>
        <w:rPr>
          <w:rFonts w:hint="eastAsia" w:ascii="FangSong" w:hAnsi="FangSong" w:eastAsia="FangSong" w:cs="FangSong"/>
          <w:snapToGrid w:val="0"/>
          <w:color w:val="000000"/>
          <w:spacing w:val="2"/>
          <w:kern w:val="0"/>
          <w:sz w:val="31"/>
          <w:szCs w:val="31"/>
          <w:lang w:val="en-US" w:eastAsia="zh-CN" w:bidi="ar-SA"/>
        </w:rPr>
        <w:t>99.6</w:t>
      </w:r>
      <w:r>
        <w:rPr>
          <w:rFonts w:ascii="FangSong" w:hAnsi="FangSong" w:eastAsia="FangSong" w:cs="FangSong"/>
          <w:snapToGrid w:val="0"/>
          <w:color w:val="000000"/>
          <w:spacing w:val="2"/>
          <w:kern w:val="0"/>
          <w:sz w:val="31"/>
          <w:szCs w:val="31"/>
          <w:lang w:val="en-US" w:eastAsia="en-US" w:bidi="ar-SA"/>
        </w:rPr>
        <w:t>万元。</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4.项目结果（满分9分，自评得分8分）。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（1）目标完成。项目指标基本完成，为文旅大会提供了有 力的志愿者服务支持。</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（2）完成时效。在规定时间内完成了各项任务，保障了活 动的顺利进行。</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（二）专用指标绩效分析。（满分30分，自评得分30分）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1.区域均衡性（满分10分，自评得分10分）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在项目规划和实施过程中，充分考虑了黑水县不同区域青少 年的参与机会，确保了各区域的均衡参与。合理的名额分配， 使来自不同乡镇的青少年都有机会参与到此次研学活动中，促进 了区域间的交流与融合。</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2.对象精准性（满分10分，自评得分10分）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明确以黑水县青少年为主要参与对象，经过严格的筛选和审 核程序，确保参与的青少年符合项目的预期目标和要求，提高了 项目实施的针对性和有效性。</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3.标准合理性（满分5分，自评得分5分）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该项目标准合理，符合项目的规格和要求，严格执行行业建 设标准。</w:t>
      </w:r>
    </w:p>
    <w:p>
      <w:pPr>
        <w:keepNext w:val="0"/>
        <w:keepLines w:val="0"/>
        <w:pageBreakBefore w:val="0"/>
        <w:widowControl/>
        <w:kinsoku w:val="0"/>
        <w:wordWrap/>
        <w:overflowPunct/>
        <w:topLinePunct w:val="0"/>
        <w:autoSpaceDE w:val="0"/>
        <w:autoSpaceDN w:val="0"/>
        <w:bidi w:val="0"/>
        <w:adjustRightInd w:val="0"/>
        <w:snapToGrid w:val="0"/>
        <w:spacing w:line="292" w:lineRule="auto"/>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4.群众满意度（满分5分，自评得分5分）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通过调查，对参与青少年及其家长进行了满意度调查，获得 了群众的高度认可。</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（三）个性指标绩效分析。（满分16分，自评得分15分）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1.质量达标（满分8分，自评得分7分）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活动的组织和实施严格按照预定的方案和标准进行，确保了 各项研学任务的顺利完成。</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ascii="FangSong" w:hAnsi="FangSong" w:eastAsia="FangSong" w:cs="FangSong"/>
          <w:snapToGrid w:val="0"/>
          <w:color w:val="000000"/>
          <w:spacing w:val="2"/>
          <w:kern w:val="0"/>
          <w:sz w:val="31"/>
          <w:szCs w:val="31"/>
          <w:lang w:val="en-US" w:eastAsia="en-US" w:bidi="ar-SA"/>
        </w:rPr>
      </w:pPr>
      <w:r>
        <w:rPr>
          <w:rFonts w:ascii="FangSong" w:hAnsi="FangSong" w:eastAsia="FangSong" w:cs="FangSong"/>
          <w:snapToGrid w:val="0"/>
          <w:color w:val="000000"/>
          <w:spacing w:val="2"/>
          <w:kern w:val="0"/>
          <w:sz w:val="31"/>
          <w:szCs w:val="31"/>
          <w:lang w:val="en-US" w:eastAsia="en-US" w:bidi="ar-SA"/>
        </w:rPr>
        <w:t>2.</w:t>
      </w:r>
      <w:r>
        <w:rPr>
          <w:rFonts w:hint="eastAsia" w:ascii="FangSong" w:hAnsi="FangSong" w:eastAsia="FangSong" w:cs="FangSong"/>
          <w:snapToGrid w:val="0"/>
          <w:color w:val="000000"/>
          <w:spacing w:val="2"/>
          <w:kern w:val="0"/>
          <w:sz w:val="31"/>
          <w:szCs w:val="31"/>
          <w:lang w:val="en-US" w:eastAsia="zh-CN" w:bidi="ar-SA"/>
        </w:rPr>
        <w:t>增进民族团结</w:t>
      </w:r>
      <w:r>
        <w:rPr>
          <w:rFonts w:ascii="FangSong" w:hAnsi="FangSong" w:eastAsia="FangSong" w:cs="FangSong"/>
          <w:snapToGrid w:val="0"/>
          <w:color w:val="000000"/>
          <w:spacing w:val="2"/>
          <w:kern w:val="0"/>
          <w:sz w:val="31"/>
          <w:szCs w:val="31"/>
          <w:lang w:val="en-US" w:eastAsia="en-US" w:bidi="ar-SA"/>
        </w:rPr>
        <w:t>方面（满分8分，自评得分8分）</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ascii="FangSong" w:hAnsi="FangSong" w:eastAsia="FangSong" w:cs="FangSong"/>
          <w:snapToGrid w:val="0"/>
          <w:color w:val="000000"/>
          <w:spacing w:val="2"/>
          <w:kern w:val="0"/>
          <w:sz w:val="31"/>
          <w:szCs w:val="31"/>
          <w:lang w:val="en-US" w:eastAsia="en-US" w:bidi="ar-SA"/>
        </w:rPr>
        <w:t>此次研学活动为黑水县青少年提供了一个与海宁青少年深  入交流、相互学习的平台，增进了彼此的了解和友谊，促进了民 族文化的交流与融合</w:t>
      </w:r>
      <w:r>
        <w:rPr>
          <w:rFonts w:hint="eastAsia" w:ascii="FangSong" w:hAnsi="FangSong" w:eastAsia="FangSong" w:cs="FangSong"/>
          <w:snapToGrid w:val="0"/>
          <w:color w:val="000000"/>
          <w:spacing w:val="2"/>
          <w:kern w:val="0"/>
          <w:sz w:val="31"/>
          <w:szCs w:val="31"/>
          <w:lang w:val="en-US" w:eastAsia="zh-CN" w:bidi="ar-SA"/>
        </w:rPr>
        <w:t>。</w:t>
      </w:r>
    </w:p>
    <w:p>
      <w:pPr>
        <w:spacing w:before="84" w:line="206" w:lineRule="auto"/>
        <w:ind w:left="977"/>
        <w:rPr>
          <w:rFonts w:ascii="SimHei" w:hAnsi="SimHei" w:eastAsia="SimHei" w:cs="SimHei"/>
          <w:b/>
          <w:bCs/>
          <w:spacing w:val="5"/>
          <w:sz w:val="26"/>
          <w:szCs w:val="26"/>
        </w:rPr>
      </w:pPr>
    </w:p>
    <w:p>
      <w:pPr>
        <w:spacing w:before="84" w:line="206" w:lineRule="auto"/>
        <w:ind w:left="977"/>
        <w:rPr>
          <w:rFonts w:ascii="SimHei" w:hAnsi="SimHei" w:eastAsia="SimHei" w:cs="SimHei"/>
          <w:b/>
          <w:bCs/>
          <w:spacing w:val="5"/>
          <w:sz w:val="26"/>
          <w:szCs w:val="26"/>
        </w:rPr>
      </w:pPr>
    </w:p>
    <w:p>
      <w:pPr>
        <w:spacing w:before="84" w:line="206" w:lineRule="auto"/>
        <w:ind w:left="977"/>
        <w:rPr>
          <w:rFonts w:ascii="SimHei" w:hAnsi="SimHei" w:eastAsia="SimHei" w:cs="SimHei"/>
          <w:b/>
          <w:bCs/>
          <w:spacing w:val="5"/>
          <w:sz w:val="26"/>
          <w:szCs w:val="26"/>
        </w:rPr>
      </w:pPr>
    </w:p>
    <w:p>
      <w:pPr>
        <w:spacing w:before="84" w:line="206" w:lineRule="auto"/>
        <w:ind w:left="977"/>
        <w:rPr>
          <w:rFonts w:ascii="SimHei" w:hAnsi="SimHei" w:eastAsia="SimHei" w:cs="SimHei"/>
          <w:b/>
          <w:bCs/>
          <w:spacing w:val="5"/>
          <w:sz w:val="26"/>
          <w:szCs w:val="26"/>
        </w:rPr>
      </w:pPr>
    </w:p>
    <w:p>
      <w:pPr>
        <w:spacing w:before="84" w:line="206" w:lineRule="auto"/>
        <w:ind w:left="977"/>
        <w:rPr>
          <w:rFonts w:ascii="SimHei" w:hAnsi="SimHei" w:eastAsia="SimHei" w:cs="SimHei"/>
          <w:b/>
          <w:bCs/>
          <w:spacing w:val="5"/>
          <w:sz w:val="26"/>
          <w:szCs w:val="26"/>
        </w:rPr>
      </w:pPr>
    </w:p>
    <w:p>
      <w:pPr>
        <w:spacing w:before="84" w:line="206" w:lineRule="auto"/>
        <w:ind w:left="977"/>
        <w:rPr>
          <w:rFonts w:ascii="SimHei" w:hAnsi="SimHei" w:eastAsia="SimHei" w:cs="SimHei"/>
          <w:b/>
          <w:bCs/>
          <w:spacing w:val="5"/>
          <w:sz w:val="28"/>
          <w:szCs w:val="28"/>
        </w:rPr>
      </w:pPr>
      <w:r>
        <w:rPr>
          <w:rFonts w:ascii="SimHei" w:hAnsi="SimHei" w:eastAsia="SimHei" w:cs="SimHei"/>
          <w:b/>
          <w:bCs/>
          <w:spacing w:val="5"/>
          <w:sz w:val="28"/>
          <w:szCs w:val="28"/>
        </w:rPr>
        <w:t>附表1</w:t>
      </w:r>
    </w:p>
    <w:p>
      <w:pPr>
        <w:spacing w:line="219" w:lineRule="auto"/>
        <w:ind w:left="1518" w:firstLine="851" w:firstLineChars="400"/>
        <w:rPr>
          <w:rFonts w:ascii="宋体" w:hAnsi="宋体" w:eastAsia="宋体" w:cs="宋体"/>
          <w:sz w:val="22"/>
          <w:szCs w:val="22"/>
        </w:rPr>
      </w:pPr>
      <w:r>
        <w:rPr>
          <w:rFonts w:ascii="宋体" w:hAnsi="宋体" w:eastAsia="宋体" w:cs="宋体"/>
          <w:b/>
          <w:bCs/>
          <w:spacing w:val="-4"/>
          <w:sz w:val="22"/>
          <w:szCs w:val="22"/>
        </w:rPr>
        <w:t>项目资金分配涉及所有点位自评得分情况表</w:t>
      </w:r>
    </w:p>
    <w:p>
      <w:pPr>
        <w:spacing w:line="116" w:lineRule="exact"/>
        <w:rPr>
          <w:sz w:val="22"/>
          <w:szCs w:val="22"/>
        </w:rPr>
      </w:pPr>
    </w:p>
    <w:tbl>
      <w:tblPr>
        <w:tblStyle w:val="6"/>
        <w:tblW w:w="6939" w:type="dxa"/>
        <w:tblInd w:w="1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2945"/>
        <w:gridCol w:w="2286"/>
        <w:gridCol w:w="8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874" w:type="dxa"/>
            <w:vAlign w:val="top"/>
          </w:tcPr>
          <w:p>
            <w:pPr>
              <w:spacing w:before="43" w:line="207" w:lineRule="auto"/>
              <w:ind w:left="254"/>
              <w:rPr>
                <w:rFonts w:ascii="宋体" w:hAnsi="宋体" w:eastAsia="宋体" w:cs="宋体"/>
                <w:sz w:val="22"/>
                <w:szCs w:val="22"/>
              </w:rPr>
            </w:pPr>
            <w:r>
              <w:rPr>
                <w:rFonts w:ascii="宋体" w:hAnsi="宋体" w:eastAsia="宋体" w:cs="宋体"/>
                <w:spacing w:val="-2"/>
                <w:sz w:val="22"/>
                <w:szCs w:val="22"/>
              </w:rPr>
              <w:t>序号</w:t>
            </w:r>
          </w:p>
        </w:tc>
        <w:tc>
          <w:tcPr>
            <w:tcW w:w="2945" w:type="dxa"/>
            <w:vAlign w:val="top"/>
          </w:tcPr>
          <w:p>
            <w:pPr>
              <w:spacing w:before="41" w:line="209" w:lineRule="auto"/>
              <w:ind w:left="610"/>
              <w:rPr>
                <w:rFonts w:ascii="宋体" w:hAnsi="宋体" w:eastAsia="宋体" w:cs="宋体"/>
                <w:sz w:val="22"/>
                <w:szCs w:val="22"/>
              </w:rPr>
            </w:pPr>
            <w:r>
              <w:rPr>
                <w:rFonts w:ascii="宋体" w:hAnsi="宋体" w:eastAsia="宋体" w:cs="宋体"/>
                <w:spacing w:val="-1"/>
                <w:sz w:val="22"/>
                <w:szCs w:val="22"/>
              </w:rPr>
              <w:t>项目资金末端分配点位</w:t>
            </w:r>
          </w:p>
        </w:tc>
        <w:tc>
          <w:tcPr>
            <w:tcW w:w="2286" w:type="dxa"/>
            <w:vAlign w:val="top"/>
          </w:tcPr>
          <w:p>
            <w:pPr>
              <w:spacing w:before="14" w:line="169" w:lineRule="auto"/>
              <w:ind w:left="176"/>
              <w:rPr>
                <w:rFonts w:ascii="宋体" w:hAnsi="宋体" w:eastAsia="宋体" w:cs="宋体"/>
                <w:sz w:val="22"/>
                <w:szCs w:val="22"/>
              </w:rPr>
            </w:pPr>
            <w:r>
              <w:rPr>
                <w:rFonts w:ascii="宋体" w:hAnsi="宋体" w:eastAsia="宋体" w:cs="宋体"/>
                <w:spacing w:val="5"/>
                <w:sz w:val="22"/>
                <w:szCs w:val="22"/>
              </w:rPr>
              <w:t>自评得分（百分制）</w:t>
            </w:r>
          </w:p>
        </w:tc>
        <w:tc>
          <w:tcPr>
            <w:tcW w:w="834" w:type="dxa"/>
            <w:vAlign w:val="top"/>
          </w:tcPr>
          <w:p>
            <w:pPr>
              <w:spacing w:before="43" w:line="207" w:lineRule="auto"/>
              <w:ind w:left="190"/>
              <w:rPr>
                <w:rFonts w:ascii="宋体" w:hAnsi="宋体" w:eastAsia="宋体" w:cs="宋体"/>
                <w:sz w:val="22"/>
                <w:szCs w:val="22"/>
              </w:rPr>
            </w:pPr>
            <w:r>
              <w:rPr>
                <w:rFonts w:ascii="宋体" w:hAnsi="宋体" w:eastAsia="宋体" w:cs="宋体"/>
                <w:spacing w:val="-3"/>
                <w:sz w:val="22"/>
                <w:szCs w:val="22"/>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874" w:type="dxa"/>
            <w:vAlign w:val="top"/>
          </w:tcPr>
          <w:p>
            <w:pPr>
              <w:spacing w:before="44" w:line="189" w:lineRule="auto"/>
              <w:ind w:left="384"/>
              <w:rPr>
                <w:rFonts w:ascii="宋体" w:hAnsi="宋体" w:eastAsia="宋体" w:cs="宋体"/>
                <w:sz w:val="22"/>
                <w:szCs w:val="22"/>
              </w:rPr>
            </w:pPr>
            <w:r>
              <w:rPr>
                <w:rFonts w:ascii="宋体" w:hAnsi="宋体" w:eastAsia="宋体" w:cs="宋体"/>
                <w:sz w:val="22"/>
                <w:szCs w:val="22"/>
              </w:rPr>
              <w:t>1</w:t>
            </w:r>
          </w:p>
        </w:tc>
        <w:tc>
          <w:tcPr>
            <w:tcW w:w="2945" w:type="dxa"/>
            <w:vAlign w:val="top"/>
          </w:tcPr>
          <w:p>
            <w:pPr>
              <w:spacing w:before="27" w:line="208" w:lineRule="auto"/>
              <w:ind w:left="1210"/>
              <w:rPr>
                <w:rFonts w:ascii="宋体" w:hAnsi="宋体" w:eastAsia="宋体" w:cs="宋体"/>
                <w:sz w:val="22"/>
                <w:szCs w:val="22"/>
              </w:rPr>
            </w:pPr>
            <w:r>
              <w:rPr>
                <w:rFonts w:ascii="宋体" w:hAnsi="宋体" w:eastAsia="宋体" w:cs="宋体"/>
                <w:spacing w:val="5"/>
                <w:sz w:val="22"/>
                <w:szCs w:val="22"/>
              </w:rPr>
              <w:t>浙江省</w:t>
            </w:r>
          </w:p>
        </w:tc>
        <w:tc>
          <w:tcPr>
            <w:tcW w:w="2286" w:type="dxa"/>
            <w:vAlign w:val="top"/>
          </w:tcPr>
          <w:p>
            <w:pPr>
              <w:spacing w:before="24" w:line="195" w:lineRule="exact"/>
              <w:ind w:left="1016"/>
              <w:rPr>
                <w:rFonts w:ascii="宋体" w:hAnsi="宋体" w:eastAsia="宋体" w:cs="宋体"/>
                <w:sz w:val="22"/>
                <w:szCs w:val="22"/>
              </w:rPr>
            </w:pPr>
            <w:r>
              <w:rPr>
                <w:rFonts w:ascii="宋体" w:hAnsi="宋体" w:eastAsia="宋体" w:cs="宋体"/>
                <w:spacing w:val="-3"/>
                <w:position w:val="-3"/>
                <w:sz w:val="22"/>
                <w:szCs w:val="22"/>
              </w:rPr>
              <w:t>96</w:t>
            </w:r>
          </w:p>
        </w:tc>
        <w:tc>
          <w:tcPr>
            <w:tcW w:w="834" w:type="dxa"/>
            <w:vAlign w:val="top"/>
          </w:tcPr>
          <w:p>
            <w:pPr>
              <w:pStyle w:val="7"/>
              <w:spacing w:line="21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74" w:type="dxa"/>
            <w:vAlign w:val="top"/>
          </w:tcPr>
          <w:p>
            <w:pPr>
              <w:spacing w:before="55" w:line="188" w:lineRule="auto"/>
              <w:ind w:left="384"/>
              <w:rPr>
                <w:rFonts w:ascii="宋体" w:hAnsi="宋体" w:eastAsia="宋体" w:cs="宋体"/>
                <w:sz w:val="22"/>
                <w:szCs w:val="22"/>
              </w:rPr>
            </w:pPr>
            <w:r>
              <w:rPr>
                <w:rFonts w:ascii="宋体" w:hAnsi="宋体" w:eastAsia="宋体" w:cs="宋体"/>
                <w:sz w:val="22"/>
                <w:szCs w:val="22"/>
              </w:rPr>
              <w:t>2</w:t>
            </w:r>
          </w:p>
        </w:tc>
        <w:tc>
          <w:tcPr>
            <w:tcW w:w="2945" w:type="dxa"/>
            <w:vAlign w:val="top"/>
          </w:tcPr>
          <w:p>
            <w:pPr>
              <w:pStyle w:val="7"/>
              <w:spacing w:line="229" w:lineRule="exact"/>
              <w:rPr>
                <w:sz w:val="22"/>
                <w:szCs w:val="22"/>
              </w:rPr>
            </w:pPr>
          </w:p>
        </w:tc>
        <w:tc>
          <w:tcPr>
            <w:tcW w:w="2286" w:type="dxa"/>
            <w:vAlign w:val="top"/>
          </w:tcPr>
          <w:p>
            <w:pPr>
              <w:pStyle w:val="7"/>
              <w:spacing w:line="229" w:lineRule="exact"/>
              <w:rPr>
                <w:sz w:val="22"/>
                <w:szCs w:val="22"/>
              </w:rPr>
            </w:pPr>
          </w:p>
        </w:tc>
        <w:tc>
          <w:tcPr>
            <w:tcW w:w="834" w:type="dxa"/>
            <w:vAlign w:val="top"/>
          </w:tcPr>
          <w:p>
            <w:pPr>
              <w:pStyle w:val="7"/>
              <w:spacing w:line="22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74" w:type="dxa"/>
            <w:vAlign w:val="top"/>
          </w:tcPr>
          <w:p>
            <w:pPr>
              <w:spacing w:before="56" w:line="187" w:lineRule="auto"/>
              <w:ind w:left="384"/>
              <w:rPr>
                <w:rFonts w:ascii="宋体" w:hAnsi="宋体" w:eastAsia="宋体" w:cs="宋体"/>
                <w:sz w:val="22"/>
                <w:szCs w:val="22"/>
              </w:rPr>
            </w:pPr>
            <w:r>
              <w:rPr>
                <w:rFonts w:ascii="宋体" w:hAnsi="宋体" w:eastAsia="宋体" w:cs="宋体"/>
                <w:sz w:val="22"/>
                <w:szCs w:val="22"/>
              </w:rPr>
              <w:t>3</w:t>
            </w:r>
          </w:p>
        </w:tc>
        <w:tc>
          <w:tcPr>
            <w:tcW w:w="2945" w:type="dxa"/>
            <w:vAlign w:val="top"/>
          </w:tcPr>
          <w:p>
            <w:pPr>
              <w:pStyle w:val="7"/>
              <w:spacing w:line="229" w:lineRule="exact"/>
              <w:rPr>
                <w:sz w:val="22"/>
                <w:szCs w:val="22"/>
              </w:rPr>
            </w:pPr>
          </w:p>
        </w:tc>
        <w:tc>
          <w:tcPr>
            <w:tcW w:w="2286" w:type="dxa"/>
            <w:vAlign w:val="top"/>
          </w:tcPr>
          <w:p>
            <w:pPr>
              <w:pStyle w:val="7"/>
              <w:spacing w:line="229" w:lineRule="exact"/>
              <w:rPr>
                <w:sz w:val="22"/>
                <w:szCs w:val="22"/>
              </w:rPr>
            </w:pPr>
          </w:p>
        </w:tc>
        <w:tc>
          <w:tcPr>
            <w:tcW w:w="834" w:type="dxa"/>
            <w:vAlign w:val="top"/>
          </w:tcPr>
          <w:p>
            <w:pPr>
              <w:pStyle w:val="7"/>
              <w:spacing w:line="22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74" w:type="dxa"/>
            <w:vAlign w:val="top"/>
          </w:tcPr>
          <w:p>
            <w:pPr>
              <w:spacing w:before="57" w:line="186" w:lineRule="auto"/>
              <w:ind w:left="384"/>
              <w:rPr>
                <w:rFonts w:ascii="宋体" w:hAnsi="宋体" w:eastAsia="宋体" w:cs="宋体"/>
                <w:sz w:val="22"/>
                <w:szCs w:val="22"/>
              </w:rPr>
            </w:pPr>
            <w:r>
              <w:rPr>
                <w:rFonts w:ascii="宋体" w:hAnsi="宋体" w:eastAsia="宋体" w:cs="宋体"/>
                <w:sz w:val="22"/>
                <w:szCs w:val="22"/>
              </w:rPr>
              <w:t>4</w:t>
            </w:r>
          </w:p>
        </w:tc>
        <w:tc>
          <w:tcPr>
            <w:tcW w:w="2945" w:type="dxa"/>
            <w:vAlign w:val="top"/>
          </w:tcPr>
          <w:p>
            <w:pPr>
              <w:pStyle w:val="7"/>
              <w:spacing w:line="229" w:lineRule="exact"/>
              <w:rPr>
                <w:sz w:val="22"/>
                <w:szCs w:val="22"/>
              </w:rPr>
            </w:pPr>
          </w:p>
        </w:tc>
        <w:tc>
          <w:tcPr>
            <w:tcW w:w="2286" w:type="dxa"/>
            <w:vAlign w:val="top"/>
          </w:tcPr>
          <w:p>
            <w:pPr>
              <w:pStyle w:val="7"/>
              <w:spacing w:line="229" w:lineRule="exact"/>
              <w:rPr>
                <w:sz w:val="22"/>
                <w:szCs w:val="22"/>
              </w:rPr>
            </w:pPr>
          </w:p>
        </w:tc>
        <w:tc>
          <w:tcPr>
            <w:tcW w:w="834" w:type="dxa"/>
            <w:vAlign w:val="top"/>
          </w:tcPr>
          <w:p>
            <w:pPr>
              <w:pStyle w:val="7"/>
              <w:spacing w:line="22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874" w:type="dxa"/>
            <w:vAlign w:val="top"/>
          </w:tcPr>
          <w:p>
            <w:pPr>
              <w:spacing w:before="48" w:line="185" w:lineRule="auto"/>
              <w:ind w:left="384"/>
              <w:rPr>
                <w:rFonts w:ascii="宋体" w:hAnsi="宋体" w:eastAsia="宋体" w:cs="宋体"/>
                <w:sz w:val="22"/>
                <w:szCs w:val="22"/>
              </w:rPr>
            </w:pPr>
            <w:r>
              <w:rPr>
                <w:rFonts w:ascii="宋体" w:hAnsi="宋体" w:eastAsia="宋体" w:cs="宋体"/>
                <w:sz w:val="22"/>
                <w:szCs w:val="22"/>
              </w:rPr>
              <w:t>5</w:t>
            </w:r>
          </w:p>
        </w:tc>
        <w:tc>
          <w:tcPr>
            <w:tcW w:w="2945" w:type="dxa"/>
            <w:vAlign w:val="top"/>
          </w:tcPr>
          <w:p>
            <w:pPr>
              <w:pStyle w:val="7"/>
              <w:spacing w:line="219" w:lineRule="exact"/>
              <w:rPr>
                <w:sz w:val="22"/>
                <w:szCs w:val="22"/>
              </w:rPr>
            </w:pPr>
          </w:p>
        </w:tc>
        <w:tc>
          <w:tcPr>
            <w:tcW w:w="2286" w:type="dxa"/>
            <w:vAlign w:val="top"/>
          </w:tcPr>
          <w:p>
            <w:pPr>
              <w:pStyle w:val="7"/>
              <w:spacing w:line="219" w:lineRule="exact"/>
              <w:rPr>
                <w:sz w:val="22"/>
                <w:szCs w:val="22"/>
              </w:rPr>
            </w:pPr>
          </w:p>
        </w:tc>
        <w:tc>
          <w:tcPr>
            <w:tcW w:w="834" w:type="dxa"/>
            <w:vAlign w:val="top"/>
          </w:tcPr>
          <w:p>
            <w:pPr>
              <w:pStyle w:val="7"/>
              <w:spacing w:line="21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74" w:type="dxa"/>
            <w:vAlign w:val="top"/>
          </w:tcPr>
          <w:p>
            <w:pPr>
              <w:spacing w:before="60" w:line="183" w:lineRule="auto"/>
              <w:ind w:left="384"/>
              <w:rPr>
                <w:rFonts w:ascii="宋体" w:hAnsi="宋体" w:eastAsia="宋体" w:cs="宋体"/>
                <w:sz w:val="22"/>
                <w:szCs w:val="22"/>
              </w:rPr>
            </w:pPr>
            <w:r>
              <w:rPr>
                <w:rFonts w:ascii="宋体" w:hAnsi="宋体" w:eastAsia="宋体" w:cs="宋体"/>
                <w:sz w:val="22"/>
                <w:szCs w:val="22"/>
              </w:rPr>
              <w:t>6</w:t>
            </w:r>
          </w:p>
        </w:tc>
        <w:tc>
          <w:tcPr>
            <w:tcW w:w="2945" w:type="dxa"/>
            <w:vAlign w:val="top"/>
          </w:tcPr>
          <w:p>
            <w:pPr>
              <w:pStyle w:val="7"/>
              <w:spacing w:line="229" w:lineRule="exact"/>
              <w:rPr>
                <w:sz w:val="22"/>
                <w:szCs w:val="22"/>
              </w:rPr>
            </w:pPr>
          </w:p>
        </w:tc>
        <w:tc>
          <w:tcPr>
            <w:tcW w:w="2286" w:type="dxa"/>
            <w:vAlign w:val="top"/>
          </w:tcPr>
          <w:p>
            <w:pPr>
              <w:pStyle w:val="7"/>
              <w:spacing w:line="229" w:lineRule="exact"/>
              <w:rPr>
                <w:sz w:val="22"/>
                <w:szCs w:val="22"/>
              </w:rPr>
            </w:pPr>
          </w:p>
        </w:tc>
        <w:tc>
          <w:tcPr>
            <w:tcW w:w="834" w:type="dxa"/>
            <w:vAlign w:val="top"/>
          </w:tcPr>
          <w:p>
            <w:pPr>
              <w:pStyle w:val="7"/>
              <w:spacing w:line="22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874" w:type="dxa"/>
            <w:vAlign w:val="top"/>
          </w:tcPr>
          <w:p>
            <w:pPr>
              <w:spacing w:before="51" w:line="182" w:lineRule="auto"/>
              <w:ind w:left="384"/>
              <w:rPr>
                <w:rFonts w:ascii="宋体" w:hAnsi="宋体" w:eastAsia="宋体" w:cs="宋体"/>
                <w:sz w:val="22"/>
                <w:szCs w:val="22"/>
              </w:rPr>
            </w:pPr>
            <w:r>
              <w:rPr>
                <w:rFonts w:ascii="宋体" w:hAnsi="宋体" w:eastAsia="宋体" w:cs="宋体"/>
                <w:sz w:val="22"/>
                <w:szCs w:val="22"/>
              </w:rPr>
              <w:t>7</w:t>
            </w:r>
          </w:p>
        </w:tc>
        <w:tc>
          <w:tcPr>
            <w:tcW w:w="2945" w:type="dxa"/>
            <w:vAlign w:val="top"/>
          </w:tcPr>
          <w:p>
            <w:pPr>
              <w:pStyle w:val="7"/>
              <w:spacing w:line="219" w:lineRule="exact"/>
              <w:rPr>
                <w:sz w:val="22"/>
                <w:szCs w:val="22"/>
              </w:rPr>
            </w:pPr>
          </w:p>
        </w:tc>
        <w:tc>
          <w:tcPr>
            <w:tcW w:w="2286" w:type="dxa"/>
            <w:vAlign w:val="top"/>
          </w:tcPr>
          <w:p>
            <w:pPr>
              <w:pStyle w:val="7"/>
              <w:spacing w:line="219" w:lineRule="exact"/>
              <w:rPr>
                <w:sz w:val="22"/>
                <w:szCs w:val="22"/>
              </w:rPr>
            </w:pPr>
          </w:p>
        </w:tc>
        <w:tc>
          <w:tcPr>
            <w:tcW w:w="834" w:type="dxa"/>
            <w:vAlign w:val="top"/>
          </w:tcPr>
          <w:p>
            <w:pPr>
              <w:pStyle w:val="7"/>
              <w:spacing w:line="21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874" w:type="dxa"/>
            <w:vAlign w:val="top"/>
          </w:tcPr>
          <w:p>
            <w:pPr>
              <w:spacing w:before="52" w:line="181" w:lineRule="auto"/>
              <w:ind w:left="384"/>
              <w:rPr>
                <w:rFonts w:ascii="宋体" w:hAnsi="宋体" w:eastAsia="宋体" w:cs="宋体"/>
                <w:sz w:val="22"/>
                <w:szCs w:val="22"/>
              </w:rPr>
            </w:pPr>
            <w:r>
              <w:rPr>
                <w:rFonts w:ascii="宋体" w:hAnsi="宋体" w:eastAsia="宋体" w:cs="宋体"/>
                <w:sz w:val="22"/>
                <w:szCs w:val="22"/>
              </w:rPr>
              <w:t>8</w:t>
            </w:r>
          </w:p>
        </w:tc>
        <w:tc>
          <w:tcPr>
            <w:tcW w:w="2945" w:type="dxa"/>
            <w:vAlign w:val="top"/>
          </w:tcPr>
          <w:p>
            <w:pPr>
              <w:pStyle w:val="7"/>
              <w:spacing w:line="219" w:lineRule="exact"/>
              <w:rPr>
                <w:sz w:val="22"/>
                <w:szCs w:val="22"/>
              </w:rPr>
            </w:pPr>
          </w:p>
        </w:tc>
        <w:tc>
          <w:tcPr>
            <w:tcW w:w="2286" w:type="dxa"/>
            <w:vAlign w:val="top"/>
          </w:tcPr>
          <w:p>
            <w:pPr>
              <w:pStyle w:val="7"/>
              <w:spacing w:line="219" w:lineRule="exact"/>
              <w:rPr>
                <w:sz w:val="22"/>
                <w:szCs w:val="22"/>
              </w:rPr>
            </w:pPr>
          </w:p>
        </w:tc>
        <w:tc>
          <w:tcPr>
            <w:tcW w:w="834" w:type="dxa"/>
            <w:vAlign w:val="top"/>
          </w:tcPr>
          <w:p>
            <w:pPr>
              <w:pStyle w:val="7"/>
              <w:spacing w:line="219" w:lineRule="exact"/>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874" w:type="dxa"/>
            <w:vAlign w:val="top"/>
          </w:tcPr>
          <w:p>
            <w:pPr>
              <w:spacing w:before="62" w:line="186" w:lineRule="auto"/>
              <w:ind w:left="254"/>
              <w:rPr>
                <w:rFonts w:ascii="宋体" w:hAnsi="宋体" w:eastAsia="宋体" w:cs="宋体"/>
                <w:sz w:val="22"/>
                <w:szCs w:val="22"/>
              </w:rPr>
            </w:pPr>
            <w:r>
              <w:rPr>
                <w:rFonts w:ascii="宋体" w:hAnsi="宋体" w:eastAsia="宋体" w:cs="宋体"/>
                <w:spacing w:val="-5"/>
                <w:sz w:val="22"/>
                <w:szCs w:val="22"/>
              </w:rPr>
              <w:t>……</w:t>
            </w:r>
          </w:p>
        </w:tc>
        <w:tc>
          <w:tcPr>
            <w:tcW w:w="2945" w:type="dxa"/>
            <w:vAlign w:val="top"/>
          </w:tcPr>
          <w:p>
            <w:pPr>
              <w:pStyle w:val="7"/>
              <w:spacing w:line="234" w:lineRule="exact"/>
              <w:rPr>
                <w:sz w:val="22"/>
                <w:szCs w:val="22"/>
              </w:rPr>
            </w:pPr>
          </w:p>
        </w:tc>
        <w:tc>
          <w:tcPr>
            <w:tcW w:w="2286" w:type="dxa"/>
            <w:vAlign w:val="top"/>
          </w:tcPr>
          <w:p>
            <w:pPr>
              <w:pStyle w:val="7"/>
              <w:spacing w:line="234" w:lineRule="exact"/>
              <w:rPr>
                <w:sz w:val="22"/>
                <w:szCs w:val="22"/>
              </w:rPr>
            </w:pPr>
          </w:p>
        </w:tc>
        <w:tc>
          <w:tcPr>
            <w:tcW w:w="834" w:type="dxa"/>
            <w:vAlign w:val="top"/>
          </w:tcPr>
          <w:p>
            <w:pPr>
              <w:pStyle w:val="7"/>
              <w:spacing w:line="234" w:lineRule="exact"/>
              <w:rPr>
                <w:sz w:val="22"/>
                <w:szCs w:val="22"/>
              </w:rPr>
            </w:pPr>
          </w:p>
        </w:tc>
      </w:tr>
    </w:tbl>
    <w:p>
      <w:pPr>
        <w:spacing w:before="71" w:line="219" w:lineRule="auto"/>
        <w:ind w:left="1013"/>
        <w:rPr>
          <w:rFonts w:ascii="宋体" w:hAnsi="宋体" w:eastAsia="宋体" w:cs="宋体"/>
          <w:sz w:val="22"/>
          <w:szCs w:val="22"/>
        </w:rPr>
      </w:pPr>
      <w:r>
        <w:rPr>
          <w:rFonts w:ascii="宋体" w:hAnsi="宋体" w:eastAsia="宋体" w:cs="宋体"/>
          <w:spacing w:val="-12"/>
          <w:sz w:val="22"/>
          <w:szCs w:val="22"/>
        </w:rPr>
        <w:t>备注：1.项目资金末端分配点位包括州本级、县（市）、州级部门下属单位及</w:t>
      </w:r>
      <w:r>
        <w:rPr>
          <w:rFonts w:ascii="宋体" w:hAnsi="宋体" w:eastAsia="宋体" w:cs="宋体"/>
          <w:spacing w:val="-13"/>
          <w:sz w:val="22"/>
          <w:szCs w:val="22"/>
        </w:rPr>
        <w:t>一次性单位等。</w:t>
      </w: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976" w:firstLineChars="400"/>
        <w:textAlignment w:val="baseline"/>
        <w:rPr>
          <w:rFonts w:ascii="FangSong" w:hAnsi="FangSong" w:eastAsia="FangSong" w:cs="FangSong"/>
          <w:snapToGrid w:val="0"/>
          <w:color w:val="000000"/>
          <w:spacing w:val="2"/>
          <w:kern w:val="0"/>
          <w:sz w:val="24"/>
          <w:szCs w:val="24"/>
          <w:lang w:val="en-US" w:eastAsia="en-US" w:bidi="ar-SA"/>
        </w:rPr>
      </w:pPr>
      <w:r>
        <w:rPr>
          <w:rFonts w:ascii="FangSong" w:hAnsi="FangSong" w:eastAsia="FangSong" w:cs="FangSong"/>
          <w:snapToGrid w:val="0"/>
          <w:color w:val="000000"/>
          <w:spacing w:val="2"/>
          <w:kern w:val="0"/>
          <w:sz w:val="24"/>
          <w:szCs w:val="24"/>
          <w:lang w:val="en-US" w:eastAsia="en-US" w:bidi="ar-SA"/>
        </w:rPr>
        <w:t>自评得分（百分制）从高到低划分为优、良、中、差四个档次，各个档次数量占比分别 为20%、20%、55%、5%，且不同档次间得分分值应体现差异化，同档次得分分值相同的比例不超  过该档次总数量的10%。</w:t>
      </w: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left="569"/>
        <w:rPr>
          <w:rFonts w:ascii="SimHei" w:hAnsi="SimHei" w:eastAsia="SimHei" w:cs="SimHei"/>
          <w:b/>
          <w:bCs/>
          <w:spacing w:val="4"/>
          <w:sz w:val="29"/>
          <w:szCs w:val="29"/>
        </w:rPr>
      </w:pPr>
    </w:p>
    <w:p>
      <w:pPr>
        <w:spacing w:before="94" w:line="223" w:lineRule="auto"/>
        <w:ind w:firstLine="188" w:firstLineChars="100"/>
        <w:rPr>
          <w:rFonts w:ascii="SimHei" w:hAnsi="SimHei" w:eastAsia="SimHei" w:cs="SimHei"/>
          <w:b/>
          <w:bCs/>
          <w:spacing w:val="4"/>
          <w:sz w:val="18"/>
          <w:szCs w:val="18"/>
        </w:rPr>
      </w:pPr>
    </w:p>
    <w:p>
      <w:pPr>
        <w:spacing w:before="84" w:line="206" w:lineRule="auto"/>
        <w:ind w:left="977"/>
        <w:rPr>
          <w:rFonts w:ascii="SimHei" w:hAnsi="SimHei" w:eastAsia="SimHei" w:cs="SimHei"/>
          <w:b/>
          <w:bCs/>
          <w:spacing w:val="5"/>
          <w:sz w:val="28"/>
          <w:szCs w:val="28"/>
        </w:rPr>
      </w:pPr>
      <w:r>
        <w:rPr>
          <w:rFonts w:ascii="SimHei" w:hAnsi="SimHei" w:eastAsia="SimHei" w:cs="SimHei"/>
          <w:b/>
          <w:bCs/>
          <w:spacing w:val="5"/>
          <w:sz w:val="28"/>
          <w:szCs w:val="28"/>
        </w:rPr>
        <w:t>附表2</w:t>
      </w:r>
    </w:p>
    <w:p>
      <w:pPr>
        <w:spacing w:before="150" w:line="219" w:lineRule="auto"/>
        <w:ind w:left="1479" w:firstLine="993" w:firstLineChars="500"/>
        <w:rPr>
          <w:rFonts w:ascii="宋体" w:hAnsi="宋体" w:eastAsia="宋体" w:cs="宋体"/>
          <w:sz w:val="20"/>
          <w:szCs w:val="20"/>
        </w:rPr>
      </w:pPr>
      <w:r>
        <w:rPr>
          <w:rFonts w:ascii="宋体" w:hAnsi="宋体" w:eastAsia="宋体" w:cs="宋体"/>
          <w:b/>
          <w:bCs/>
          <w:spacing w:val="-1"/>
          <w:sz w:val="20"/>
          <w:szCs w:val="20"/>
        </w:rPr>
        <w:t>专项预算项目绩效目标完成情况自评表</w:t>
      </w:r>
    </w:p>
    <w:p>
      <w:pPr>
        <w:spacing w:line="64" w:lineRule="exact"/>
        <w:rPr>
          <w:sz w:val="20"/>
          <w:szCs w:val="20"/>
        </w:rPr>
      </w:pPr>
    </w:p>
    <w:tbl>
      <w:tblPr>
        <w:tblStyle w:val="6"/>
        <w:tblW w:w="84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4"/>
        <w:gridCol w:w="919"/>
        <w:gridCol w:w="1058"/>
        <w:gridCol w:w="1079"/>
        <w:gridCol w:w="929"/>
        <w:gridCol w:w="789"/>
        <w:gridCol w:w="879"/>
        <w:gridCol w:w="769"/>
        <w:gridCol w:w="14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3610" w:type="dxa"/>
            <w:gridSpan w:val="4"/>
            <w:vAlign w:val="top"/>
          </w:tcPr>
          <w:p>
            <w:pPr>
              <w:spacing w:before="183" w:line="220" w:lineRule="auto"/>
              <w:ind w:left="15"/>
              <w:rPr>
                <w:rFonts w:ascii="宋体" w:hAnsi="宋体" w:eastAsia="宋体" w:cs="宋体"/>
                <w:sz w:val="20"/>
                <w:szCs w:val="20"/>
              </w:rPr>
            </w:pPr>
            <w:r>
              <w:rPr>
                <w:rFonts w:ascii="宋体" w:hAnsi="宋体" w:eastAsia="宋体" w:cs="宋体"/>
                <w:spacing w:val="2"/>
                <w:sz w:val="20"/>
                <w:szCs w:val="20"/>
              </w:rPr>
              <w:t>项目名称</w:t>
            </w:r>
          </w:p>
        </w:tc>
        <w:tc>
          <w:tcPr>
            <w:tcW w:w="4860" w:type="dxa"/>
            <w:gridSpan w:val="5"/>
            <w:vAlign w:val="top"/>
          </w:tcPr>
          <w:p>
            <w:pPr>
              <w:spacing w:before="12" w:line="250" w:lineRule="auto"/>
              <w:ind w:left="69" w:hanging="69"/>
              <w:rPr>
                <w:rFonts w:ascii="宋体" w:hAnsi="宋体" w:eastAsia="宋体" w:cs="宋体"/>
                <w:sz w:val="20"/>
                <w:szCs w:val="20"/>
              </w:rPr>
            </w:pPr>
            <w:r>
              <w:rPr>
                <w:rFonts w:ascii="宋体" w:hAnsi="宋体" w:eastAsia="宋体" w:cs="宋体"/>
                <w:spacing w:val="-2"/>
                <w:sz w:val="20"/>
                <w:szCs w:val="20"/>
              </w:rPr>
              <w:t>“浙里石榴红 嘉阿出海情”202</w:t>
            </w:r>
            <w:r>
              <w:rPr>
                <w:rFonts w:hint="eastAsia" w:ascii="宋体" w:hAnsi="宋体" w:eastAsia="宋体" w:cs="宋体"/>
                <w:spacing w:val="-2"/>
                <w:sz w:val="20"/>
                <w:szCs w:val="20"/>
                <w:lang w:val="en-US" w:eastAsia="zh-CN"/>
              </w:rPr>
              <w:t>4</w:t>
            </w:r>
            <w:r>
              <w:rPr>
                <w:rFonts w:ascii="宋体" w:hAnsi="宋体" w:eastAsia="宋体" w:cs="宋体"/>
                <w:spacing w:val="-2"/>
                <w:sz w:val="20"/>
                <w:szCs w:val="20"/>
              </w:rPr>
              <w:t>年黑水县青少年赴海宁</w:t>
            </w:r>
            <w:r>
              <w:rPr>
                <w:rFonts w:ascii="宋体" w:hAnsi="宋体" w:eastAsia="宋体" w:cs="宋体"/>
                <w:spacing w:val="3"/>
                <w:sz w:val="20"/>
                <w:szCs w:val="20"/>
              </w:rPr>
              <w:t xml:space="preserve"> </w:t>
            </w:r>
            <w:r>
              <w:rPr>
                <w:rFonts w:ascii="宋体" w:hAnsi="宋体" w:eastAsia="宋体" w:cs="宋体"/>
                <w:spacing w:val="-1"/>
                <w:sz w:val="20"/>
                <w:szCs w:val="20"/>
              </w:rPr>
              <w:t>交往交融交流研学活动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3610" w:type="dxa"/>
            <w:gridSpan w:val="4"/>
            <w:vAlign w:val="top"/>
          </w:tcPr>
          <w:p>
            <w:pPr>
              <w:spacing w:before="49" w:line="219" w:lineRule="auto"/>
              <w:ind w:left="15"/>
              <w:rPr>
                <w:rFonts w:ascii="宋体" w:hAnsi="宋体" w:eastAsia="宋体" w:cs="宋体"/>
                <w:sz w:val="20"/>
                <w:szCs w:val="20"/>
              </w:rPr>
            </w:pPr>
            <w:r>
              <w:rPr>
                <w:rFonts w:ascii="宋体" w:hAnsi="宋体" w:eastAsia="宋体" w:cs="宋体"/>
                <w:spacing w:val="-2"/>
                <w:sz w:val="20"/>
                <w:szCs w:val="20"/>
              </w:rPr>
              <w:t>预算单位</w:t>
            </w:r>
          </w:p>
        </w:tc>
        <w:tc>
          <w:tcPr>
            <w:tcW w:w="4860" w:type="dxa"/>
            <w:gridSpan w:val="5"/>
            <w:vAlign w:val="top"/>
          </w:tcPr>
          <w:p>
            <w:pPr>
              <w:spacing w:before="48" w:line="219" w:lineRule="auto"/>
              <w:ind w:left="15"/>
              <w:rPr>
                <w:rFonts w:ascii="宋体" w:hAnsi="宋体" w:eastAsia="宋体" w:cs="宋体"/>
                <w:sz w:val="20"/>
                <w:szCs w:val="20"/>
              </w:rPr>
            </w:pPr>
            <w:r>
              <w:rPr>
                <w:rFonts w:ascii="宋体" w:hAnsi="宋体" w:eastAsia="宋体" w:cs="宋体"/>
                <w:spacing w:val="-1"/>
                <w:sz w:val="20"/>
                <w:szCs w:val="20"/>
              </w:rPr>
              <w:t>共青团黑水县委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3610" w:type="dxa"/>
            <w:gridSpan w:val="4"/>
            <w:vAlign w:val="top"/>
          </w:tcPr>
          <w:p>
            <w:pPr>
              <w:spacing w:before="49" w:line="213" w:lineRule="auto"/>
              <w:ind w:left="15"/>
              <w:rPr>
                <w:rFonts w:ascii="宋体" w:hAnsi="宋体" w:eastAsia="宋体" w:cs="宋体"/>
                <w:sz w:val="20"/>
                <w:szCs w:val="20"/>
              </w:rPr>
            </w:pPr>
            <w:r>
              <w:rPr>
                <w:rFonts w:ascii="宋体" w:hAnsi="宋体" w:eastAsia="宋体" w:cs="宋体"/>
                <w:spacing w:val="3"/>
                <w:sz w:val="20"/>
                <w:szCs w:val="20"/>
              </w:rPr>
              <w:t>项目类型</w:t>
            </w:r>
          </w:p>
        </w:tc>
        <w:tc>
          <w:tcPr>
            <w:tcW w:w="4860" w:type="dxa"/>
            <w:gridSpan w:val="5"/>
            <w:vAlign w:val="top"/>
          </w:tcPr>
          <w:p>
            <w:pPr>
              <w:spacing w:before="48" w:line="214" w:lineRule="auto"/>
              <w:ind w:left="15"/>
              <w:rPr>
                <w:rFonts w:ascii="宋体" w:hAnsi="宋体" w:eastAsia="宋体" w:cs="宋体"/>
                <w:sz w:val="20"/>
                <w:szCs w:val="20"/>
              </w:rPr>
            </w:pPr>
            <w:r>
              <w:rPr>
                <w:rFonts w:ascii="宋体" w:hAnsi="宋体" w:eastAsia="宋体" w:cs="宋体"/>
                <w:spacing w:val="6"/>
                <w:sz w:val="20"/>
                <w:szCs w:val="20"/>
              </w:rPr>
              <w:t>政府采购项目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554" w:type="dxa"/>
            <w:vMerge w:val="restart"/>
            <w:tcBorders>
              <w:bottom w:val="nil"/>
            </w:tcBorders>
            <w:vAlign w:val="top"/>
          </w:tcPr>
          <w:p>
            <w:pPr>
              <w:pStyle w:val="7"/>
              <w:spacing w:line="272" w:lineRule="auto"/>
              <w:rPr>
                <w:sz w:val="20"/>
                <w:szCs w:val="20"/>
              </w:rPr>
            </w:pPr>
          </w:p>
          <w:p>
            <w:pPr>
              <w:pStyle w:val="7"/>
              <w:spacing w:line="272" w:lineRule="auto"/>
              <w:rPr>
                <w:sz w:val="20"/>
                <w:szCs w:val="20"/>
              </w:rPr>
            </w:pPr>
          </w:p>
          <w:p>
            <w:pPr>
              <w:pStyle w:val="7"/>
              <w:spacing w:line="272" w:lineRule="auto"/>
              <w:rPr>
                <w:sz w:val="20"/>
                <w:szCs w:val="20"/>
              </w:rPr>
            </w:pPr>
          </w:p>
          <w:p>
            <w:pPr>
              <w:pStyle w:val="7"/>
              <w:spacing w:line="272" w:lineRule="auto"/>
              <w:rPr>
                <w:sz w:val="20"/>
                <w:szCs w:val="20"/>
              </w:rPr>
            </w:pPr>
          </w:p>
          <w:p>
            <w:pPr>
              <w:pStyle w:val="7"/>
              <w:spacing w:line="273" w:lineRule="auto"/>
              <w:rPr>
                <w:sz w:val="20"/>
                <w:szCs w:val="20"/>
              </w:rPr>
            </w:pPr>
          </w:p>
          <w:p>
            <w:pPr>
              <w:pStyle w:val="7"/>
              <w:spacing w:line="273" w:lineRule="auto"/>
              <w:rPr>
                <w:sz w:val="20"/>
                <w:szCs w:val="20"/>
              </w:rPr>
            </w:pPr>
          </w:p>
          <w:p>
            <w:pPr>
              <w:spacing w:before="65" w:line="269" w:lineRule="auto"/>
              <w:ind w:left="65" w:right="40"/>
              <w:rPr>
                <w:rFonts w:ascii="宋体" w:hAnsi="宋体" w:eastAsia="宋体" w:cs="宋体"/>
                <w:sz w:val="20"/>
                <w:szCs w:val="20"/>
              </w:rPr>
            </w:pPr>
            <w:r>
              <w:rPr>
                <w:rFonts w:ascii="宋体" w:hAnsi="宋体" w:eastAsia="宋体" w:cs="宋体"/>
                <w:spacing w:val="-29"/>
                <w:sz w:val="20"/>
                <w:szCs w:val="20"/>
              </w:rPr>
              <w:t>项</w:t>
            </w:r>
            <w:r>
              <w:rPr>
                <w:rFonts w:ascii="宋体" w:hAnsi="宋体" w:eastAsia="宋体" w:cs="宋体"/>
                <w:spacing w:val="-5"/>
                <w:sz w:val="20"/>
                <w:szCs w:val="20"/>
              </w:rPr>
              <w:t xml:space="preserve"> </w:t>
            </w:r>
            <w:r>
              <w:rPr>
                <w:rFonts w:ascii="宋体" w:hAnsi="宋体" w:eastAsia="宋体" w:cs="宋体"/>
                <w:spacing w:val="-29"/>
                <w:sz w:val="20"/>
                <w:szCs w:val="20"/>
              </w:rPr>
              <w:t>目</w:t>
            </w:r>
            <w:r>
              <w:rPr>
                <w:rFonts w:ascii="宋体" w:hAnsi="宋体" w:eastAsia="宋体" w:cs="宋体"/>
                <w:sz w:val="20"/>
                <w:szCs w:val="20"/>
              </w:rPr>
              <w:t xml:space="preserve"> </w:t>
            </w:r>
            <w:r>
              <w:rPr>
                <w:rFonts w:ascii="宋体" w:hAnsi="宋体" w:eastAsia="宋体" w:cs="宋体"/>
                <w:spacing w:val="-2"/>
                <w:sz w:val="20"/>
                <w:szCs w:val="20"/>
              </w:rPr>
              <w:t>概况</w:t>
            </w:r>
          </w:p>
        </w:tc>
        <w:tc>
          <w:tcPr>
            <w:tcW w:w="3056" w:type="dxa"/>
            <w:gridSpan w:val="3"/>
            <w:vAlign w:val="top"/>
          </w:tcPr>
          <w:p>
            <w:pPr>
              <w:spacing w:before="29"/>
              <w:ind w:left="11" w:right="321"/>
              <w:rPr>
                <w:rFonts w:ascii="宋体" w:hAnsi="宋体" w:eastAsia="宋体" w:cs="宋体"/>
                <w:sz w:val="20"/>
                <w:szCs w:val="20"/>
              </w:rPr>
            </w:pPr>
            <w:r>
              <w:rPr>
                <w:rFonts w:ascii="宋体" w:hAnsi="宋体" w:eastAsia="宋体" w:cs="宋体"/>
                <w:sz w:val="20"/>
                <w:szCs w:val="20"/>
              </w:rPr>
              <w:t>中长期规划（名称、文号，仅指</w:t>
            </w:r>
            <w:r>
              <w:rPr>
                <w:rFonts w:ascii="宋体" w:hAnsi="宋体" w:eastAsia="宋体" w:cs="宋体"/>
                <w:spacing w:val="12"/>
                <w:sz w:val="20"/>
                <w:szCs w:val="20"/>
              </w:rPr>
              <w:t xml:space="preserve"> </w:t>
            </w:r>
            <w:r>
              <w:rPr>
                <w:rFonts w:ascii="宋体" w:hAnsi="宋体" w:eastAsia="宋体" w:cs="宋体"/>
                <w:spacing w:val="8"/>
                <w:sz w:val="20"/>
                <w:szCs w:val="20"/>
              </w:rPr>
              <w:t>常年项目）</w:t>
            </w:r>
          </w:p>
        </w:tc>
        <w:tc>
          <w:tcPr>
            <w:tcW w:w="4860" w:type="dxa"/>
            <w:gridSpan w:val="5"/>
            <w:vAlign w:val="top"/>
          </w:tcPr>
          <w:p>
            <w:pPr>
              <w:pStyle w:val="7"/>
              <w:rPr>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554" w:type="dxa"/>
            <w:vMerge w:val="continue"/>
            <w:tcBorders>
              <w:top w:val="nil"/>
              <w:bottom w:val="nil"/>
            </w:tcBorders>
            <w:vAlign w:val="top"/>
          </w:tcPr>
          <w:p>
            <w:pPr>
              <w:pStyle w:val="7"/>
              <w:rPr>
                <w:sz w:val="20"/>
                <w:szCs w:val="20"/>
              </w:rPr>
            </w:pPr>
          </w:p>
        </w:tc>
        <w:tc>
          <w:tcPr>
            <w:tcW w:w="3056" w:type="dxa"/>
            <w:gridSpan w:val="3"/>
            <w:vAlign w:val="top"/>
          </w:tcPr>
          <w:p>
            <w:pPr>
              <w:pStyle w:val="7"/>
              <w:spacing w:line="373" w:lineRule="auto"/>
              <w:rPr>
                <w:sz w:val="20"/>
                <w:szCs w:val="20"/>
              </w:rPr>
            </w:pPr>
          </w:p>
          <w:p>
            <w:pPr>
              <w:spacing w:before="65" w:line="219" w:lineRule="auto"/>
              <w:ind w:left="11"/>
              <w:rPr>
                <w:rFonts w:ascii="宋体" w:hAnsi="宋体" w:eastAsia="宋体" w:cs="宋体"/>
                <w:sz w:val="20"/>
                <w:szCs w:val="20"/>
              </w:rPr>
            </w:pPr>
            <w:r>
              <w:rPr>
                <w:rFonts w:ascii="宋体" w:hAnsi="宋体" w:eastAsia="宋体" w:cs="宋体"/>
                <w:spacing w:val="3"/>
                <w:sz w:val="20"/>
                <w:szCs w:val="20"/>
              </w:rPr>
              <w:t>资金管理办法（名称、文号）</w:t>
            </w:r>
          </w:p>
        </w:tc>
        <w:tc>
          <w:tcPr>
            <w:tcW w:w="4860" w:type="dxa"/>
            <w:gridSpan w:val="5"/>
            <w:vAlign w:val="top"/>
          </w:tcPr>
          <w:p>
            <w:pPr>
              <w:spacing w:before="20" w:line="242" w:lineRule="auto"/>
              <w:ind w:firstLine="88"/>
              <w:jc w:val="both"/>
              <w:rPr>
                <w:rFonts w:ascii="宋体" w:hAnsi="宋体" w:eastAsia="宋体" w:cs="宋体"/>
                <w:sz w:val="20"/>
                <w:szCs w:val="20"/>
              </w:rPr>
            </w:pPr>
            <w:r>
              <w:rPr>
                <w:rFonts w:ascii="宋体" w:hAnsi="宋体" w:eastAsia="宋体" w:cs="宋体"/>
                <w:spacing w:val="-3"/>
                <w:sz w:val="20"/>
                <w:szCs w:val="20"/>
              </w:rPr>
              <w:t>黑水县东西部扶贫协作和对口支援及省内对口帮扶工作</w:t>
            </w:r>
            <w:r>
              <w:rPr>
                <w:rFonts w:ascii="宋体" w:hAnsi="宋体" w:eastAsia="宋体" w:cs="宋体"/>
                <w:spacing w:val="4"/>
                <w:sz w:val="20"/>
                <w:szCs w:val="20"/>
              </w:rPr>
              <w:t xml:space="preserve"> </w:t>
            </w:r>
            <w:r>
              <w:rPr>
                <w:rFonts w:ascii="宋体" w:hAnsi="宋体" w:eastAsia="宋体" w:cs="宋体"/>
                <w:spacing w:val="-6"/>
                <w:sz w:val="20"/>
                <w:szCs w:val="20"/>
              </w:rPr>
              <w:t>领导小组办公室关于印发《黑水县东</w:t>
            </w:r>
            <w:r>
              <w:rPr>
                <w:rFonts w:ascii="宋体" w:hAnsi="宋体" w:eastAsia="宋体" w:cs="宋体"/>
                <w:spacing w:val="-7"/>
                <w:sz w:val="20"/>
                <w:szCs w:val="20"/>
              </w:rPr>
              <w:t>西部</w:t>
            </w:r>
            <w:r>
              <w:rPr>
                <w:rFonts w:ascii="宋体" w:hAnsi="宋体" w:eastAsia="宋体" w:cs="宋体"/>
                <w:sz w:val="20"/>
                <w:szCs w:val="20"/>
              </w:rPr>
              <w:t xml:space="preserve"> </w:t>
            </w:r>
            <w:r>
              <w:rPr>
                <w:rFonts w:ascii="宋体" w:hAnsi="宋体" w:eastAsia="宋体" w:cs="宋体"/>
                <w:spacing w:val="-2"/>
                <w:sz w:val="20"/>
                <w:szCs w:val="20"/>
              </w:rPr>
              <w:t>扶贫协作社会捐赠资金使用管理办法》的通知 黑受援办</w:t>
            </w:r>
            <w:r>
              <w:rPr>
                <w:rFonts w:ascii="宋体" w:hAnsi="宋体" w:eastAsia="宋体" w:cs="宋体"/>
                <w:sz w:val="20"/>
                <w:szCs w:val="20"/>
              </w:rPr>
              <w:t xml:space="preserve"> </w:t>
            </w:r>
            <w:r>
              <w:rPr>
                <w:rFonts w:ascii="宋体" w:hAnsi="宋体" w:eastAsia="宋体" w:cs="宋体"/>
                <w:spacing w:val="8"/>
                <w:sz w:val="20"/>
                <w:szCs w:val="20"/>
              </w:rPr>
              <w:t>〔2019〕14号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554" w:type="dxa"/>
            <w:vMerge w:val="continue"/>
            <w:tcBorders>
              <w:top w:val="nil"/>
              <w:bottom w:val="nil"/>
            </w:tcBorders>
            <w:vAlign w:val="top"/>
          </w:tcPr>
          <w:p>
            <w:pPr>
              <w:pStyle w:val="7"/>
              <w:rPr>
                <w:sz w:val="20"/>
                <w:szCs w:val="20"/>
              </w:rPr>
            </w:pPr>
          </w:p>
        </w:tc>
        <w:tc>
          <w:tcPr>
            <w:tcW w:w="3056" w:type="dxa"/>
            <w:gridSpan w:val="3"/>
            <w:vAlign w:val="top"/>
          </w:tcPr>
          <w:p>
            <w:pPr>
              <w:spacing w:before="171" w:line="220" w:lineRule="auto"/>
              <w:ind w:left="11"/>
              <w:rPr>
                <w:rFonts w:ascii="宋体" w:hAnsi="宋体" w:eastAsia="宋体" w:cs="宋体"/>
                <w:sz w:val="20"/>
                <w:szCs w:val="20"/>
              </w:rPr>
            </w:pPr>
            <w:r>
              <w:rPr>
                <w:rFonts w:ascii="宋体" w:hAnsi="宋体" w:eastAsia="宋体" w:cs="宋体"/>
                <w:spacing w:val="-2"/>
                <w:sz w:val="20"/>
                <w:szCs w:val="20"/>
              </w:rPr>
              <w:t>绩效分配方式</w:t>
            </w:r>
          </w:p>
        </w:tc>
        <w:tc>
          <w:tcPr>
            <w:tcW w:w="929" w:type="dxa"/>
            <w:vAlign w:val="top"/>
          </w:tcPr>
          <w:p>
            <w:pPr>
              <w:spacing w:before="171" w:line="219" w:lineRule="auto"/>
              <w:ind w:left="55"/>
              <w:rPr>
                <w:rFonts w:ascii="宋体" w:hAnsi="宋体" w:eastAsia="宋体" w:cs="宋体"/>
                <w:sz w:val="20"/>
                <w:szCs w:val="20"/>
              </w:rPr>
            </w:pPr>
            <w:r>
              <w:rPr>
                <w:rFonts w:ascii="宋体" w:hAnsi="宋体" w:eastAsia="宋体" w:cs="宋体"/>
                <w:spacing w:val="1"/>
                <w:sz w:val="20"/>
                <w:szCs w:val="20"/>
              </w:rPr>
              <w:t>□因素法</w:t>
            </w:r>
          </w:p>
        </w:tc>
        <w:tc>
          <w:tcPr>
            <w:tcW w:w="1668" w:type="dxa"/>
            <w:gridSpan w:val="2"/>
            <w:vAlign w:val="top"/>
          </w:tcPr>
          <w:p>
            <w:pPr>
              <w:spacing w:before="171" w:line="220" w:lineRule="auto"/>
              <w:ind w:left="416"/>
              <w:rPr>
                <w:rFonts w:ascii="宋体" w:hAnsi="宋体" w:eastAsia="宋体" w:cs="宋体"/>
                <w:sz w:val="20"/>
                <w:szCs w:val="20"/>
              </w:rPr>
            </w:pPr>
            <w:r>
              <w:rPr>
                <w:rFonts w:ascii="MS Gothic" w:hAnsi="MS Gothic" w:eastAsia="MS Gothic" w:cs="MS Gothic"/>
                <w:spacing w:val="-1"/>
                <w:sz w:val="20"/>
                <w:szCs w:val="20"/>
              </w:rPr>
              <w:t>☑</w:t>
            </w:r>
            <w:r>
              <w:rPr>
                <w:rFonts w:ascii="宋体" w:hAnsi="宋体" w:eastAsia="宋体" w:cs="宋体"/>
                <w:spacing w:val="-1"/>
                <w:sz w:val="20"/>
                <w:szCs w:val="20"/>
              </w:rPr>
              <w:t>项目法</w:t>
            </w:r>
          </w:p>
        </w:tc>
        <w:tc>
          <w:tcPr>
            <w:tcW w:w="769" w:type="dxa"/>
            <w:vAlign w:val="top"/>
          </w:tcPr>
          <w:p>
            <w:pPr>
              <w:spacing w:before="31" w:line="230" w:lineRule="auto"/>
              <w:ind w:left="178" w:right="70" w:hanging="100"/>
              <w:rPr>
                <w:rFonts w:ascii="宋体" w:hAnsi="宋体" w:eastAsia="宋体" w:cs="宋体"/>
                <w:sz w:val="20"/>
                <w:szCs w:val="20"/>
              </w:rPr>
            </w:pPr>
            <w:r>
              <w:rPr>
                <w:rFonts w:ascii="宋体" w:hAnsi="宋体" w:eastAsia="宋体" w:cs="宋体"/>
                <w:spacing w:val="3"/>
                <w:sz w:val="20"/>
                <w:szCs w:val="20"/>
              </w:rPr>
              <w:t>据实</w:t>
            </w:r>
            <w:r>
              <w:rPr>
                <w:rFonts w:ascii="宋体" w:hAnsi="宋体" w:eastAsia="宋体" w:cs="宋体"/>
                <w:sz w:val="20"/>
                <w:szCs w:val="20"/>
              </w:rPr>
              <w:t xml:space="preserve"> </w:t>
            </w:r>
            <w:r>
              <w:rPr>
                <w:rFonts w:ascii="宋体" w:hAnsi="宋体" w:eastAsia="宋体" w:cs="宋体"/>
                <w:spacing w:val="-2"/>
                <w:sz w:val="20"/>
                <w:szCs w:val="20"/>
              </w:rPr>
              <w:t>据效</w:t>
            </w:r>
          </w:p>
        </w:tc>
        <w:tc>
          <w:tcPr>
            <w:tcW w:w="1494" w:type="dxa"/>
            <w:vAlign w:val="top"/>
          </w:tcPr>
          <w:p>
            <w:pPr>
              <w:spacing w:before="20" w:line="235" w:lineRule="auto"/>
              <w:ind w:left="339" w:right="6" w:hanging="300"/>
              <w:rPr>
                <w:rFonts w:ascii="宋体" w:hAnsi="宋体" w:eastAsia="宋体" w:cs="宋体"/>
                <w:sz w:val="20"/>
                <w:szCs w:val="20"/>
              </w:rPr>
            </w:pPr>
            <w:r>
              <w:rPr>
                <w:rFonts w:ascii="宋体" w:hAnsi="宋体" w:eastAsia="宋体" w:cs="宋体"/>
                <w:spacing w:val="5"/>
                <w:sz w:val="20"/>
                <w:szCs w:val="20"/>
              </w:rPr>
              <w:t>□因素法与项目</w:t>
            </w:r>
            <w:r>
              <w:rPr>
                <w:rFonts w:ascii="宋体" w:hAnsi="宋体" w:eastAsia="宋体" w:cs="宋体"/>
                <w:spacing w:val="2"/>
                <w:sz w:val="20"/>
                <w:szCs w:val="20"/>
              </w:rPr>
              <w:t xml:space="preserve"> </w:t>
            </w:r>
            <w:r>
              <w:rPr>
                <w:rFonts w:ascii="宋体" w:hAnsi="宋体" w:eastAsia="宋体" w:cs="宋体"/>
                <w:spacing w:val="-2"/>
                <w:sz w:val="20"/>
                <w:szCs w:val="20"/>
              </w:rPr>
              <w:t>法相结合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54" w:type="dxa"/>
            <w:vMerge w:val="continue"/>
            <w:tcBorders>
              <w:top w:val="nil"/>
              <w:bottom w:val="nil"/>
            </w:tcBorders>
            <w:vAlign w:val="top"/>
          </w:tcPr>
          <w:p>
            <w:pPr>
              <w:pStyle w:val="7"/>
              <w:rPr>
                <w:sz w:val="20"/>
                <w:szCs w:val="20"/>
              </w:rPr>
            </w:pPr>
          </w:p>
        </w:tc>
        <w:tc>
          <w:tcPr>
            <w:tcW w:w="3056" w:type="dxa"/>
            <w:gridSpan w:val="3"/>
            <w:vAlign w:val="top"/>
          </w:tcPr>
          <w:p>
            <w:pPr>
              <w:spacing w:before="169" w:line="219" w:lineRule="auto"/>
              <w:ind w:left="11"/>
              <w:rPr>
                <w:rFonts w:ascii="宋体" w:hAnsi="宋体" w:eastAsia="宋体" w:cs="宋体"/>
                <w:sz w:val="20"/>
                <w:szCs w:val="20"/>
              </w:rPr>
            </w:pPr>
            <w:r>
              <w:rPr>
                <w:rFonts w:ascii="宋体" w:hAnsi="宋体" w:eastAsia="宋体" w:cs="宋体"/>
                <w:spacing w:val="-2"/>
                <w:sz w:val="20"/>
                <w:szCs w:val="20"/>
              </w:rPr>
              <w:t>立项依据</w:t>
            </w:r>
          </w:p>
        </w:tc>
        <w:tc>
          <w:tcPr>
            <w:tcW w:w="4860" w:type="dxa"/>
            <w:gridSpan w:val="5"/>
            <w:vAlign w:val="top"/>
          </w:tcPr>
          <w:p>
            <w:pPr>
              <w:spacing w:before="11" w:line="234" w:lineRule="auto"/>
              <w:ind w:left="15" w:right="25"/>
              <w:rPr>
                <w:rFonts w:ascii="宋体" w:hAnsi="宋体" w:eastAsia="宋体" w:cs="宋体"/>
                <w:sz w:val="20"/>
                <w:szCs w:val="20"/>
              </w:rPr>
            </w:pPr>
            <w:r>
              <w:rPr>
                <w:rFonts w:ascii="宋体" w:hAnsi="宋体" w:eastAsia="宋体" w:cs="宋体"/>
                <w:sz w:val="20"/>
                <w:szCs w:val="20"/>
              </w:rPr>
              <w:t>黑水县财政局《关于下达浙江省202</w:t>
            </w:r>
            <w:r>
              <w:rPr>
                <w:rFonts w:hint="eastAsia" w:ascii="宋体" w:hAnsi="宋体" w:eastAsia="宋体" w:cs="宋体"/>
                <w:sz w:val="20"/>
                <w:szCs w:val="20"/>
                <w:lang w:val="en-US" w:eastAsia="zh-CN"/>
              </w:rPr>
              <w:t>4</w:t>
            </w:r>
            <w:r>
              <w:rPr>
                <w:rFonts w:ascii="宋体" w:hAnsi="宋体" w:eastAsia="宋体" w:cs="宋体"/>
                <w:sz w:val="20"/>
                <w:szCs w:val="20"/>
              </w:rPr>
              <w:t>年对口支援黑水县</w:t>
            </w:r>
            <w:r>
              <w:rPr>
                <w:rFonts w:ascii="宋体" w:hAnsi="宋体" w:eastAsia="宋体" w:cs="宋体"/>
                <w:spacing w:val="8"/>
                <w:sz w:val="20"/>
                <w:szCs w:val="20"/>
              </w:rPr>
              <w:t xml:space="preserve"> </w:t>
            </w:r>
            <w:r>
              <w:rPr>
                <w:rFonts w:ascii="宋体" w:hAnsi="宋体" w:eastAsia="宋体" w:cs="宋体"/>
                <w:sz w:val="20"/>
                <w:szCs w:val="20"/>
              </w:rPr>
              <w:t>资金的通知》黑财综〔202</w:t>
            </w:r>
            <w:r>
              <w:rPr>
                <w:rFonts w:hint="eastAsia" w:ascii="宋体" w:hAnsi="宋体" w:eastAsia="宋体" w:cs="宋体"/>
                <w:sz w:val="20"/>
                <w:szCs w:val="20"/>
                <w:lang w:val="en-US" w:eastAsia="zh-CN"/>
              </w:rPr>
              <w:t>4</w:t>
            </w:r>
            <w:r>
              <w:rPr>
                <w:rFonts w:ascii="宋体" w:hAnsi="宋体" w:eastAsia="宋体" w:cs="宋体"/>
                <w:sz w:val="20"/>
                <w:szCs w:val="20"/>
              </w:rPr>
              <w:t>〕7号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554" w:type="dxa"/>
            <w:vMerge w:val="continue"/>
            <w:tcBorders>
              <w:top w:val="nil"/>
              <w:bottom w:val="nil"/>
            </w:tcBorders>
            <w:vAlign w:val="top"/>
          </w:tcPr>
          <w:p>
            <w:pPr>
              <w:pStyle w:val="7"/>
              <w:rPr>
                <w:sz w:val="20"/>
                <w:szCs w:val="20"/>
              </w:rPr>
            </w:pPr>
          </w:p>
        </w:tc>
        <w:tc>
          <w:tcPr>
            <w:tcW w:w="3056" w:type="dxa"/>
            <w:gridSpan w:val="3"/>
            <w:vAlign w:val="top"/>
          </w:tcPr>
          <w:p>
            <w:pPr>
              <w:spacing w:before="172" w:line="219" w:lineRule="auto"/>
              <w:ind w:left="11"/>
              <w:rPr>
                <w:rFonts w:ascii="宋体" w:hAnsi="宋体" w:eastAsia="宋体" w:cs="宋体"/>
                <w:sz w:val="20"/>
                <w:szCs w:val="20"/>
              </w:rPr>
            </w:pPr>
            <w:r>
              <w:rPr>
                <w:rFonts w:ascii="宋体" w:hAnsi="宋体" w:eastAsia="宋体" w:cs="宋体"/>
                <w:spacing w:val="4"/>
                <w:sz w:val="20"/>
                <w:szCs w:val="20"/>
              </w:rPr>
              <w:t>适用范围</w:t>
            </w:r>
          </w:p>
        </w:tc>
        <w:tc>
          <w:tcPr>
            <w:tcW w:w="4860" w:type="dxa"/>
            <w:gridSpan w:val="5"/>
            <w:vAlign w:val="top"/>
          </w:tcPr>
          <w:p>
            <w:pPr>
              <w:spacing w:before="12" w:line="234" w:lineRule="auto"/>
              <w:ind w:left="88" w:hanging="88"/>
              <w:rPr>
                <w:rFonts w:ascii="宋体" w:hAnsi="宋体" w:eastAsia="宋体" w:cs="宋体"/>
                <w:sz w:val="20"/>
                <w:szCs w:val="20"/>
              </w:rPr>
            </w:pPr>
            <w:r>
              <w:rPr>
                <w:rFonts w:ascii="宋体" w:hAnsi="宋体" w:eastAsia="宋体" w:cs="宋体"/>
                <w:spacing w:val="-2"/>
                <w:sz w:val="20"/>
                <w:szCs w:val="20"/>
              </w:rPr>
              <w:t>“浙里石榴红 嘉阿山海情”202</w:t>
            </w:r>
            <w:r>
              <w:rPr>
                <w:rFonts w:hint="eastAsia" w:ascii="宋体" w:hAnsi="宋体" w:eastAsia="宋体" w:cs="宋体"/>
                <w:spacing w:val="-2"/>
                <w:sz w:val="20"/>
                <w:szCs w:val="20"/>
                <w:lang w:val="en-US" w:eastAsia="zh-CN"/>
              </w:rPr>
              <w:t>4</w:t>
            </w:r>
            <w:r>
              <w:rPr>
                <w:rFonts w:ascii="宋体" w:hAnsi="宋体" w:eastAsia="宋体" w:cs="宋体"/>
                <w:spacing w:val="-2"/>
                <w:sz w:val="20"/>
                <w:szCs w:val="20"/>
              </w:rPr>
              <w:t>年黑水县青少年赴海宁</w:t>
            </w:r>
            <w:r>
              <w:rPr>
                <w:rFonts w:ascii="宋体" w:hAnsi="宋体" w:eastAsia="宋体" w:cs="宋体"/>
                <w:spacing w:val="3"/>
                <w:sz w:val="20"/>
                <w:szCs w:val="20"/>
              </w:rPr>
              <w:t xml:space="preserve"> </w:t>
            </w:r>
            <w:r>
              <w:rPr>
                <w:rFonts w:ascii="宋体" w:hAnsi="宋体" w:eastAsia="宋体" w:cs="宋体"/>
                <w:spacing w:val="-2"/>
                <w:sz w:val="20"/>
                <w:szCs w:val="20"/>
              </w:rPr>
              <w:t>交往交融交流研学活动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54" w:type="dxa"/>
            <w:vMerge w:val="continue"/>
            <w:tcBorders>
              <w:top w:val="nil"/>
              <w:bottom w:val="nil"/>
            </w:tcBorders>
            <w:vAlign w:val="top"/>
          </w:tcPr>
          <w:p>
            <w:pPr>
              <w:pStyle w:val="7"/>
              <w:rPr>
                <w:sz w:val="20"/>
                <w:szCs w:val="20"/>
              </w:rPr>
            </w:pPr>
          </w:p>
        </w:tc>
        <w:tc>
          <w:tcPr>
            <w:tcW w:w="3056" w:type="dxa"/>
            <w:gridSpan w:val="3"/>
            <w:vAlign w:val="top"/>
          </w:tcPr>
          <w:p>
            <w:pPr>
              <w:spacing w:before="42" w:line="210" w:lineRule="auto"/>
              <w:ind w:left="11"/>
              <w:rPr>
                <w:rFonts w:ascii="宋体" w:hAnsi="宋体" w:eastAsia="宋体" w:cs="宋体"/>
                <w:sz w:val="20"/>
                <w:szCs w:val="20"/>
              </w:rPr>
            </w:pPr>
            <w:r>
              <w:rPr>
                <w:rFonts w:ascii="宋体" w:hAnsi="宋体" w:eastAsia="宋体" w:cs="宋体"/>
                <w:spacing w:val="1"/>
                <w:sz w:val="20"/>
                <w:szCs w:val="20"/>
              </w:rPr>
              <w:t>申报（补助）条件</w:t>
            </w:r>
          </w:p>
        </w:tc>
        <w:tc>
          <w:tcPr>
            <w:tcW w:w="4860" w:type="dxa"/>
            <w:gridSpan w:val="5"/>
            <w:vAlign w:val="top"/>
          </w:tcPr>
          <w:p>
            <w:pPr>
              <w:pStyle w:val="7"/>
              <w:rPr>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54" w:type="dxa"/>
            <w:vMerge w:val="continue"/>
            <w:tcBorders>
              <w:top w:val="nil"/>
            </w:tcBorders>
            <w:vAlign w:val="top"/>
          </w:tcPr>
          <w:p>
            <w:pPr>
              <w:pStyle w:val="7"/>
              <w:rPr>
                <w:sz w:val="20"/>
                <w:szCs w:val="20"/>
              </w:rPr>
            </w:pPr>
          </w:p>
        </w:tc>
        <w:tc>
          <w:tcPr>
            <w:tcW w:w="3056" w:type="dxa"/>
            <w:gridSpan w:val="3"/>
            <w:vAlign w:val="top"/>
          </w:tcPr>
          <w:p>
            <w:pPr>
              <w:spacing w:before="42" w:line="210" w:lineRule="auto"/>
              <w:ind w:left="11"/>
              <w:rPr>
                <w:rFonts w:ascii="宋体" w:hAnsi="宋体" w:eastAsia="宋体" w:cs="宋体"/>
                <w:sz w:val="20"/>
                <w:szCs w:val="20"/>
              </w:rPr>
            </w:pPr>
            <w:r>
              <w:rPr>
                <w:rFonts w:ascii="宋体" w:hAnsi="宋体" w:eastAsia="宋体" w:cs="宋体"/>
                <w:spacing w:val="1"/>
                <w:sz w:val="20"/>
                <w:szCs w:val="20"/>
              </w:rPr>
              <w:t>项目起止年限</w:t>
            </w:r>
          </w:p>
        </w:tc>
        <w:tc>
          <w:tcPr>
            <w:tcW w:w="4860" w:type="dxa"/>
            <w:gridSpan w:val="5"/>
            <w:vAlign w:val="top"/>
          </w:tcPr>
          <w:p>
            <w:pPr>
              <w:spacing w:before="42" w:line="210" w:lineRule="auto"/>
              <w:ind w:left="15"/>
              <w:rPr>
                <w:rFonts w:ascii="宋体" w:hAnsi="宋体" w:eastAsia="宋体" w:cs="宋体"/>
                <w:sz w:val="20"/>
                <w:szCs w:val="20"/>
              </w:rPr>
            </w:pPr>
            <w:r>
              <w:rPr>
                <w:rFonts w:ascii="宋体" w:hAnsi="宋体" w:eastAsia="宋体" w:cs="宋体"/>
                <w:spacing w:val="-2"/>
                <w:sz w:val="20"/>
                <w:szCs w:val="20"/>
              </w:rPr>
              <w:t>202</w:t>
            </w:r>
            <w:r>
              <w:rPr>
                <w:rFonts w:hint="eastAsia" w:ascii="宋体" w:hAnsi="宋体" w:eastAsia="宋体" w:cs="宋体"/>
                <w:spacing w:val="-2"/>
                <w:sz w:val="20"/>
                <w:szCs w:val="20"/>
                <w:lang w:val="en-US" w:eastAsia="zh-CN"/>
              </w:rPr>
              <w:t>4</w:t>
            </w:r>
            <w:r>
              <w:rPr>
                <w:rFonts w:ascii="宋体" w:hAnsi="宋体" w:eastAsia="宋体" w:cs="宋体"/>
                <w:spacing w:val="-2"/>
                <w:sz w:val="20"/>
                <w:szCs w:val="20"/>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473" w:type="dxa"/>
            <w:gridSpan w:val="2"/>
            <w:vMerge w:val="restart"/>
            <w:tcBorders>
              <w:bottom w:val="nil"/>
            </w:tcBorders>
            <w:vAlign w:val="top"/>
          </w:tcPr>
          <w:p>
            <w:pPr>
              <w:spacing w:before="193" w:line="220" w:lineRule="auto"/>
              <w:ind w:left="325"/>
              <w:rPr>
                <w:rFonts w:ascii="宋体" w:hAnsi="宋体" w:eastAsia="宋体" w:cs="宋体"/>
                <w:sz w:val="20"/>
                <w:szCs w:val="20"/>
              </w:rPr>
            </w:pPr>
            <w:r>
              <w:rPr>
                <w:rFonts w:ascii="宋体" w:hAnsi="宋体" w:eastAsia="宋体" w:cs="宋体"/>
                <w:spacing w:val="-3"/>
                <w:sz w:val="20"/>
                <w:szCs w:val="20"/>
              </w:rPr>
              <w:t>项目资金</w:t>
            </w:r>
          </w:p>
          <w:p>
            <w:pPr>
              <w:spacing w:before="11" w:line="220" w:lineRule="auto"/>
              <w:ind w:left="425"/>
              <w:rPr>
                <w:rFonts w:ascii="宋体" w:hAnsi="宋体" w:eastAsia="宋体" w:cs="宋体"/>
                <w:sz w:val="20"/>
                <w:szCs w:val="20"/>
              </w:rPr>
            </w:pPr>
            <w:r>
              <w:rPr>
                <w:rFonts w:ascii="宋体" w:hAnsi="宋体" w:eastAsia="宋体" w:cs="宋体"/>
                <w:spacing w:val="10"/>
                <w:sz w:val="20"/>
                <w:szCs w:val="20"/>
              </w:rPr>
              <w:t>（万元）</w:t>
            </w:r>
          </w:p>
        </w:tc>
        <w:tc>
          <w:tcPr>
            <w:tcW w:w="2137" w:type="dxa"/>
            <w:gridSpan w:val="2"/>
            <w:vAlign w:val="top"/>
          </w:tcPr>
          <w:p>
            <w:pPr>
              <w:spacing w:before="43" w:line="200" w:lineRule="auto"/>
              <w:ind w:left="202"/>
              <w:rPr>
                <w:rFonts w:ascii="宋体" w:hAnsi="宋体" w:eastAsia="宋体" w:cs="宋体"/>
                <w:sz w:val="20"/>
                <w:szCs w:val="20"/>
              </w:rPr>
            </w:pPr>
            <w:r>
              <w:rPr>
                <w:rFonts w:ascii="宋体" w:hAnsi="宋体" w:eastAsia="宋体" w:cs="宋体"/>
                <w:sz w:val="20"/>
                <w:szCs w:val="20"/>
              </w:rPr>
              <w:t>年度资金总额：</w:t>
            </w:r>
          </w:p>
        </w:tc>
        <w:tc>
          <w:tcPr>
            <w:tcW w:w="4860" w:type="dxa"/>
            <w:gridSpan w:val="5"/>
            <w:vAlign w:val="top"/>
          </w:tcPr>
          <w:p>
            <w:pPr>
              <w:spacing w:before="62" w:line="182" w:lineRule="auto"/>
              <w:ind w:left="15"/>
              <w:rPr>
                <w:rFonts w:hint="default" w:ascii="宋体" w:hAnsi="宋体" w:eastAsia="宋体" w:cs="宋体"/>
                <w:sz w:val="20"/>
                <w:szCs w:val="20"/>
                <w:lang w:val="en-US" w:eastAsia="zh-CN"/>
              </w:rPr>
            </w:pPr>
            <w:r>
              <w:rPr>
                <w:rFonts w:ascii="宋体" w:hAnsi="宋体" w:eastAsia="宋体" w:cs="宋体"/>
                <w:spacing w:val="-2"/>
                <w:sz w:val="20"/>
                <w:szCs w:val="20"/>
              </w:rPr>
              <w:t>9</w:t>
            </w:r>
            <w:r>
              <w:rPr>
                <w:rFonts w:hint="eastAsia" w:ascii="宋体" w:hAnsi="宋体" w:eastAsia="宋体" w:cs="宋体"/>
                <w:spacing w:val="-2"/>
                <w:sz w:val="20"/>
                <w:szCs w:val="20"/>
                <w:lang w:val="en-US" w:eastAsia="zh-CN"/>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473" w:type="dxa"/>
            <w:gridSpan w:val="2"/>
            <w:vMerge w:val="continue"/>
            <w:tcBorders>
              <w:top w:val="nil"/>
              <w:bottom w:val="nil"/>
            </w:tcBorders>
            <w:vAlign w:val="top"/>
          </w:tcPr>
          <w:p>
            <w:pPr>
              <w:pStyle w:val="7"/>
              <w:rPr>
                <w:sz w:val="20"/>
                <w:szCs w:val="20"/>
              </w:rPr>
            </w:pPr>
          </w:p>
        </w:tc>
        <w:tc>
          <w:tcPr>
            <w:tcW w:w="2137" w:type="dxa"/>
            <w:gridSpan w:val="2"/>
            <w:vAlign w:val="top"/>
          </w:tcPr>
          <w:p>
            <w:pPr>
              <w:spacing w:before="43" w:line="200" w:lineRule="auto"/>
              <w:ind w:left="632"/>
              <w:rPr>
                <w:rFonts w:ascii="宋体" w:hAnsi="宋体" w:eastAsia="宋体" w:cs="宋体"/>
                <w:sz w:val="20"/>
                <w:szCs w:val="20"/>
              </w:rPr>
            </w:pPr>
            <w:r>
              <w:rPr>
                <w:rFonts w:ascii="宋体" w:hAnsi="宋体" w:eastAsia="宋体" w:cs="宋体"/>
                <w:spacing w:val="-2"/>
                <w:sz w:val="20"/>
                <w:szCs w:val="20"/>
              </w:rPr>
              <w:t>其中：财政拨款</w:t>
            </w:r>
          </w:p>
        </w:tc>
        <w:tc>
          <w:tcPr>
            <w:tcW w:w="4860" w:type="dxa"/>
            <w:gridSpan w:val="5"/>
            <w:vAlign w:val="top"/>
          </w:tcPr>
          <w:p>
            <w:pPr>
              <w:pStyle w:val="7"/>
              <w:rPr>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473" w:type="dxa"/>
            <w:gridSpan w:val="2"/>
            <w:vMerge w:val="continue"/>
            <w:tcBorders>
              <w:top w:val="nil"/>
            </w:tcBorders>
            <w:vAlign w:val="top"/>
          </w:tcPr>
          <w:p>
            <w:pPr>
              <w:pStyle w:val="7"/>
              <w:rPr>
                <w:sz w:val="20"/>
                <w:szCs w:val="20"/>
              </w:rPr>
            </w:pPr>
          </w:p>
        </w:tc>
        <w:tc>
          <w:tcPr>
            <w:tcW w:w="2137" w:type="dxa"/>
            <w:gridSpan w:val="2"/>
            <w:vAlign w:val="top"/>
          </w:tcPr>
          <w:p>
            <w:pPr>
              <w:spacing w:before="43" w:line="200" w:lineRule="auto"/>
              <w:ind w:left="1232"/>
              <w:rPr>
                <w:rFonts w:ascii="宋体" w:hAnsi="宋体" w:eastAsia="宋体" w:cs="宋体"/>
                <w:sz w:val="20"/>
                <w:szCs w:val="20"/>
              </w:rPr>
            </w:pPr>
            <w:r>
              <w:rPr>
                <w:rFonts w:ascii="宋体" w:hAnsi="宋体" w:eastAsia="宋体" w:cs="宋体"/>
                <w:spacing w:val="-2"/>
                <w:sz w:val="20"/>
                <w:szCs w:val="20"/>
              </w:rPr>
              <w:t>其他资金</w:t>
            </w:r>
          </w:p>
        </w:tc>
        <w:tc>
          <w:tcPr>
            <w:tcW w:w="4860" w:type="dxa"/>
            <w:gridSpan w:val="5"/>
            <w:vAlign w:val="top"/>
          </w:tcPr>
          <w:p>
            <w:pPr>
              <w:pStyle w:val="7"/>
              <w:rPr>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54" w:type="dxa"/>
            <w:vMerge w:val="restart"/>
            <w:tcBorders>
              <w:bottom w:val="nil"/>
            </w:tcBorders>
            <w:vAlign w:val="top"/>
          </w:tcPr>
          <w:p>
            <w:pPr>
              <w:spacing w:before="44" w:line="221" w:lineRule="auto"/>
              <w:ind w:left="65"/>
              <w:rPr>
                <w:rFonts w:ascii="宋体" w:hAnsi="宋体" w:eastAsia="宋体" w:cs="宋体"/>
                <w:sz w:val="20"/>
                <w:szCs w:val="20"/>
              </w:rPr>
            </w:pPr>
            <w:r>
              <w:rPr>
                <w:rFonts w:ascii="宋体" w:hAnsi="宋体" w:eastAsia="宋体" w:cs="宋体"/>
                <w:spacing w:val="4"/>
                <w:sz w:val="20"/>
                <w:szCs w:val="20"/>
              </w:rPr>
              <w:t>总体</w:t>
            </w:r>
          </w:p>
          <w:p>
            <w:pPr>
              <w:spacing w:before="20" w:line="220" w:lineRule="auto"/>
              <w:ind w:left="65"/>
              <w:rPr>
                <w:rFonts w:ascii="宋体" w:hAnsi="宋体" w:eastAsia="宋体" w:cs="宋体"/>
                <w:sz w:val="20"/>
                <w:szCs w:val="20"/>
              </w:rPr>
            </w:pPr>
            <w:r>
              <w:rPr>
                <w:rFonts w:ascii="宋体" w:hAnsi="宋体" w:eastAsia="宋体" w:cs="宋体"/>
                <w:spacing w:val="8"/>
                <w:sz w:val="20"/>
                <w:szCs w:val="20"/>
              </w:rPr>
              <w:t>目标</w:t>
            </w:r>
          </w:p>
        </w:tc>
        <w:tc>
          <w:tcPr>
            <w:tcW w:w="7916" w:type="dxa"/>
            <w:gridSpan w:val="8"/>
            <w:vAlign w:val="top"/>
          </w:tcPr>
          <w:p>
            <w:pPr>
              <w:spacing w:before="43" w:line="209" w:lineRule="auto"/>
              <w:ind w:left="3601"/>
              <w:rPr>
                <w:rFonts w:ascii="宋体" w:hAnsi="宋体" w:eastAsia="宋体" w:cs="宋体"/>
                <w:sz w:val="20"/>
                <w:szCs w:val="20"/>
              </w:rPr>
            </w:pPr>
            <w:r>
              <w:rPr>
                <w:rFonts w:ascii="宋体" w:hAnsi="宋体" w:eastAsia="宋体" w:cs="宋体"/>
                <w:spacing w:val="-2"/>
                <w:sz w:val="20"/>
                <w:szCs w:val="20"/>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54" w:type="dxa"/>
            <w:vMerge w:val="continue"/>
            <w:tcBorders>
              <w:top w:val="nil"/>
            </w:tcBorders>
            <w:vAlign w:val="top"/>
          </w:tcPr>
          <w:p>
            <w:pPr>
              <w:pStyle w:val="7"/>
              <w:rPr>
                <w:sz w:val="20"/>
                <w:szCs w:val="20"/>
              </w:rPr>
            </w:pPr>
          </w:p>
        </w:tc>
        <w:tc>
          <w:tcPr>
            <w:tcW w:w="7916" w:type="dxa"/>
            <w:gridSpan w:val="8"/>
            <w:vAlign w:val="top"/>
          </w:tcPr>
          <w:p>
            <w:pPr>
              <w:pStyle w:val="7"/>
              <w:rPr>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54" w:type="dxa"/>
            <w:vMerge w:val="restart"/>
            <w:tcBorders>
              <w:bottom w:val="nil"/>
            </w:tcBorders>
            <w:vAlign w:val="top"/>
          </w:tcPr>
          <w:p>
            <w:pPr>
              <w:pStyle w:val="7"/>
              <w:rPr>
                <w:sz w:val="20"/>
                <w:szCs w:val="20"/>
              </w:rPr>
            </w:pPr>
          </w:p>
          <w:p>
            <w:pPr>
              <w:pStyle w:val="7"/>
              <w:rPr>
                <w:sz w:val="20"/>
                <w:szCs w:val="20"/>
              </w:rPr>
            </w:pPr>
          </w:p>
          <w:p>
            <w:pPr>
              <w:pStyle w:val="7"/>
              <w:rPr>
                <w:sz w:val="20"/>
                <w:szCs w:val="20"/>
              </w:rPr>
            </w:pPr>
          </w:p>
          <w:p>
            <w:pPr>
              <w:pStyle w:val="7"/>
              <w:rPr>
                <w:sz w:val="20"/>
                <w:szCs w:val="20"/>
              </w:rPr>
            </w:pPr>
          </w:p>
          <w:p>
            <w:pPr>
              <w:pStyle w:val="7"/>
              <w:spacing w:line="241" w:lineRule="auto"/>
              <w:rPr>
                <w:sz w:val="20"/>
                <w:szCs w:val="20"/>
              </w:rPr>
            </w:pPr>
          </w:p>
          <w:p>
            <w:pPr>
              <w:spacing w:before="65" w:line="220" w:lineRule="auto"/>
              <w:ind w:left="65"/>
              <w:rPr>
                <w:rFonts w:ascii="宋体" w:hAnsi="宋体" w:eastAsia="宋体" w:cs="宋体"/>
                <w:sz w:val="20"/>
                <w:szCs w:val="20"/>
              </w:rPr>
            </w:pPr>
            <w:r>
              <w:rPr>
                <w:rFonts w:ascii="宋体" w:hAnsi="宋体" w:eastAsia="宋体" w:cs="宋体"/>
                <w:spacing w:val="-3"/>
                <w:sz w:val="20"/>
                <w:szCs w:val="20"/>
              </w:rPr>
              <w:t>绩效</w:t>
            </w:r>
          </w:p>
          <w:p>
            <w:pPr>
              <w:spacing w:before="31" w:line="220" w:lineRule="auto"/>
              <w:ind w:left="65"/>
              <w:rPr>
                <w:rFonts w:ascii="宋体" w:hAnsi="宋体" w:eastAsia="宋体" w:cs="宋体"/>
                <w:sz w:val="20"/>
                <w:szCs w:val="20"/>
              </w:rPr>
            </w:pPr>
            <w:r>
              <w:rPr>
                <w:rFonts w:ascii="宋体" w:hAnsi="宋体" w:eastAsia="宋体" w:cs="宋体"/>
                <w:spacing w:val="-3"/>
                <w:sz w:val="20"/>
                <w:szCs w:val="20"/>
              </w:rPr>
              <w:t>指标</w:t>
            </w:r>
          </w:p>
        </w:tc>
        <w:tc>
          <w:tcPr>
            <w:tcW w:w="919" w:type="dxa"/>
            <w:vAlign w:val="top"/>
          </w:tcPr>
          <w:p>
            <w:pPr>
              <w:spacing w:before="43" w:line="200" w:lineRule="auto"/>
              <w:ind w:left="51"/>
              <w:rPr>
                <w:rFonts w:ascii="宋体" w:hAnsi="宋体" w:eastAsia="宋体" w:cs="宋体"/>
                <w:sz w:val="20"/>
                <w:szCs w:val="20"/>
              </w:rPr>
            </w:pPr>
            <w:r>
              <w:rPr>
                <w:rFonts w:ascii="宋体" w:hAnsi="宋体" w:eastAsia="宋体" w:cs="宋体"/>
                <w:spacing w:val="-3"/>
                <w:sz w:val="20"/>
                <w:szCs w:val="20"/>
              </w:rPr>
              <w:t>一级指标</w:t>
            </w:r>
          </w:p>
        </w:tc>
        <w:tc>
          <w:tcPr>
            <w:tcW w:w="1058" w:type="dxa"/>
            <w:vAlign w:val="top"/>
          </w:tcPr>
          <w:p>
            <w:pPr>
              <w:spacing w:before="43" w:line="200" w:lineRule="auto"/>
              <w:ind w:left="122"/>
              <w:rPr>
                <w:rFonts w:ascii="宋体" w:hAnsi="宋体" w:eastAsia="宋体" w:cs="宋体"/>
                <w:sz w:val="20"/>
                <w:szCs w:val="20"/>
              </w:rPr>
            </w:pPr>
            <w:r>
              <w:rPr>
                <w:rFonts w:ascii="宋体" w:hAnsi="宋体" w:eastAsia="宋体" w:cs="宋体"/>
                <w:spacing w:val="-3"/>
                <w:sz w:val="20"/>
                <w:szCs w:val="20"/>
              </w:rPr>
              <w:t>二级指标</w:t>
            </w:r>
          </w:p>
        </w:tc>
        <w:tc>
          <w:tcPr>
            <w:tcW w:w="1079" w:type="dxa"/>
            <w:vAlign w:val="top"/>
          </w:tcPr>
          <w:p>
            <w:pPr>
              <w:spacing w:before="43" w:line="200" w:lineRule="auto"/>
              <w:ind w:left="134"/>
              <w:rPr>
                <w:rFonts w:ascii="宋体" w:hAnsi="宋体" w:eastAsia="宋体" w:cs="宋体"/>
                <w:sz w:val="20"/>
                <w:szCs w:val="20"/>
              </w:rPr>
            </w:pPr>
            <w:r>
              <w:rPr>
                <w:rFonts w:ascii="宋体" w:hAnsi="宋体" w:eastAsia="宋体" w:cs="宋体"/>
                <w:spacing w:val="-2"/>
                <w:sz w:val="20"/>
                <w:szCs w:val="20"/>
              </w:rPr>
              <w:t>三级指标</w:t>
            </w:r>
          </w:p>
        </w:tc>
        <w:tc>
          <w:tcPr>
            <w:tcW w:w="929" w:type="dxa"/>
            <w:vAlign w:val="top"/>
          </w:tcPr>
          <w:p>
            <w:pPr>
              <w:spacing w:before="61" w:line="220" w:lineRule="auto"/>
              <w:ind w:left="155"/>
              <w:rPr>
                <w:rFonts w:ascii="宋体" w:hAnsi="宋体" w:eastAsia="宋体" w:cs="宋体"/>
                <w:sz w:val="20"/>
                <w:szCs w:val="20"/>
              </w:rPr>
            </w:pPr>
            <w:r>
              <w:rPr>
                <w:rFonts w:ascii="宋体" w:hAnsi="宋体" w:eastAsia="宋体" w:cs="宋体"/>
                <w:spacing w:val="4"/>
                <w:sz w:val="20"/>
                <w:szCs w:val="20"/>
              </w:rPr>
              <w:t>指标性质</w:t>
            </w:r>
          </w:p>
        </w:tc>
        <w:tc>
          <w:tcPr>
            <w:tcW w:w="789" w:type="dxa"/>
            <w:vAlign w:val="top"/>
          </w:tcPr>
          <w:p>
            <w:pPr>
              <w:spacing w:before="43" w:line="200" w:lineRule="auto"/>
              <w:ind w:left="86"/>
              <w:rPr>
                <w:rFonts w:ascii="宋体" w:hAnsi="宋体" w:eastAsia="宋体" w:cs="宋体"/>
                <w:sz w:val="20"/>
                <w:szCs w:val="20"/>
              </w:rPr>
            </w:pPr>
            <w:r>
              <w:rPr>
                <w:rFonts w:ascii="宋体" w:hAnsi="宋体" w:eastAsia="宋体" w:cs="宋体"/>
                <w:spacing w:val="-3"/>
                <w:sz w:val="20"/>
                <w:szCs w:val="20"/>
              </w:rPr>
              <w:t>指标值</w:t>
            </w:r>
          </w:p>
        </w:tc>
        <w:tc>
          <w:tcPr>
            <w:tcW w:w="879" w:type="dxa"/>
            <w:vAlign w:val="top"/>
          </w:tcPr>
          <w:p>
            <w:pPr>
              <w:spacing w:before="43" w:line="200" w:lineRule="auto"/>
              <w:ind w:left="37"/>
              <w:rPr>
                <w:rFonts w:ascii="宋体" w:hAnsi="宋体" w:eastAsia="宋体" w:cs="宋体"/>
                <w:sz w:val="20"/>
                <w:szCs w:val="20"/>
              </w:rPr>
            </w:pPr>
            <w:r>
              <w:rPr>
                <w:rFonts w:ascii="宋体" w:hAnsi="宋体" w:eastAsia="宋体" w:cs="宋体"/>
                <w:spacing w:val="-2"/>
                <w:sz w:val="20"/>
                <w:szCs w:val="20"/>
              </w:rPr>
              <w:t>度量单位</w:t>
            </w:r>
          </w:p>
        </w:tc>
        <w:tc>
          <w:tcPr>
            <w:tcW w:w="769" w:type="dxa"/>
            <w:vAlign w:val="top"/>
          </w:tcPr>
          <w:p>
            <w:pPr>
              <w:spacing w:before="43" w:line="200" w:lineRule="auto"/>
              <w:ind w:left="178"/>
              <w:rPr>
                <w:rFonts w:ascii="宋体" w:hAnsi="宋体" w:eastAsia="宋体" w:cs="宋体"/>
                <w:sz w:val="20"/>
                <w:szCs w:val="20"/>
              </w:rPr>
            </w:pPr>
            <w:r>
              <w:rPr>
                <w:rFonts w:ascii="宋体" w:hAnsi="宋体" w:eastAsia="宋体" w:cs="宋体"/>
                <w:spacing w:val="-2"/>
                <w:sz w:val="20"/>
                <w:szCs w:val="20"/>
              </w:rPr>
              <w:t>权重</w:t>
            </w:r>
          </w:p>
        </w:tc>
        <w:tc>
          <w:tcPr>
            <w:tcW w:w="1494" w:type="dxa"/>
            <w:vAlign w:val="top"/>
          </w:tcPr>
          <w:p>
            <w:pPr>
              <w:spacing w:before="43" w:line="200" w:lineRule="auto"/>
              <w:ind w:left="39"/>
              <w:rPr>
                <w:rFonts w:ascii="宋体" w:hAnsi="宋体" w:eastAsia="宋体" w:cs="宋体"/>
                <w:sz w:val="20"/>
                <w:szCs w:val="20"/>
              </w:rPr>
            </w:pPr>
            <w:r>
              <w:rPr>
                <w:rFonts w:ascii="宋体" w:hAnsi="宋体" w:eastAsia="宋体" w:cs="宋体"/>
                <w:spacing w:val="1"/>
                <w:sz w:val="20"/>
                <w:szCs w:val="20"/>
              </w:rPr>
              <w:t>实际完成指标值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54" w:type="dxa"/>
            <w:vMerge w:val="continue"/>
            <w:tcBorders>
              <w:top w:val="nil"/>
              <w:bottom w:val="nil"/>
            </w:tcBorders>
            <w:vAlign w:val="top"/>
          </w:tcPr>
          <w:p>
            <w:pPr>
              <w:pStyle w:val="7"/>
              <w:rPr>
                <w:sz w:val="20"/>
                <w:szCs w:val="20"/>
              </w:rPr>
            </w:pPr>
          </w:p>
        </w:tc>
        <w:tc>
          <w:tcPr>
            <w:tcW w:w="919" w:type="dxa"/>
            <w:vMerge w:val="restart"/>
            <w:tcBorders>
              <w:bottom w:val="nil"/>
            </w:tcBorders>
            <w:vAlign w:val="top"/>
          </w:tcPr>
          <w:p>
            <w:pPr>
              <w:pStyle w:val="7"/>
              <w:spacing w:line="385" w:lineRule="auto"/>
              <w:rPr>
                <w:sz w:val="20"/>
                <w:szCs w:val="20"/>
              </w:rPr>
            </w:pPr>
          </w:p>
          <w:p>
            <w:pPr>
              <w:spacing w:before="65" w:line="219" w:lineRule="auto"/>
              <w:ind w:left="51"/>
              <w:rPr>
                <w:rFonts w:ascii="宋体" w:hAnsi="宋体" w:eastAsia="宋体" w:cs="宋体"/>
                <w:sz w:val="20"/>
                <w:szCs w:val="20"/>
              </w:rPr>
            </w:pPr>
            <w:r>
              <w:rPr>
                <w:rFonts w:ascii="宋体" w:hAnsi="宋体" w:eastAsia="宋体" w:cs="宋体"/>
                <w:spacing w:val="-2"/>
                <w:sz w:val="20"/>
                <w:szCs w:val="20"/>
              </w:rPr>
              <w:t>产出指标</w:t>
            </w:r>
          </w:p>
        </w:tc>
        <w:tc>
          <w:tcPr>
            <w:tcW w:w="1058" w:type="dxa"/>
            <w:vAlign w:val="top"/>
          </w:tcPr>
          <w:p>
            <w:pPr>
              <w:spacing w:before="173" w:line="219" w:lineRule="auto"/>
              <w:ind w:left="122"/>
              <w:rPr>
                <w:rFonts w:ascii="宋体" w:hAnsi="宋体" w:eastAsia="宋体" w:cs="宋体"/>
                <w:sz w:val="20"/>
                <w:szCs w:val="20"/>
              </w:rPr>
            </w:pPr>
            <w:r>
              <w:rPr>
                <w:rFonts w:ascii="宋体" w:hAnsi="宋体" w:eastAsia="宋体" w:cs="宋体"/>
                <w:spacing w:val="-2"/>
                <w:sz w:val="20"/>
                <w:szCs w:val="20"/>
              </w:rPr>
              <w:t>数量指标</w:t>
            </w:r>
          </w:p>
        </w:tc>
        <w:tc>
          <w:tcPr>
            <w:tcW w:w="1079" w:type="dxa"/>
            <w:vAlign w:val="top"/>
          </w:tcPr>
          <w:p>
            <w:pPr>
              <w:spacing w:before="201" w:line="219" w:lineRule="auto"/>
              <w:ind w:left="234"/>
              <w:rPr>
                <w:rFonts w:ascii="宋体" w:hAnsi="宋体" w:eastAsia="宋体" w:cs="宋体"/>
                <w:sz w:val="20"/>
                <w:szCs w:val="20"/>
              </w:rPr>
            </w:pPr>
            <w:r>
              <w:rPr>
                <w:rFonts w:ascii="宋体" w:hAnsi="宋体" w:eastAsia="宋体" w:cs="宋体"/>
                <w:spacing w:val="-2"/>
                <w:sz w:val="20"/>
                <w:szCs w:val="20"/>
              </w:rPr>
              <w:t>数量指标</w:t>
            </w:r>
          </w:p>
        </w:tc>
        <w:tc>
          <w:tcPr>
            <w:tcW w:w="929" w:type="dxa"/>
            <w:vAlign w:val="top"/>
          </w:tcPr>
          <w:p>
            <w:pPr>
              <w:spacing w:before="61" w:line="221" w:lineRule="auto"/>
              <w:ind w:left="5"/>
              <w:rPr>
                <w:rFonts w:ascii="宋体" w:hAnsi="宋体" w:eastAsia="宋体" w:cs="宋体"/>
                <w:sz w:val="20"/>
                <w:szCs w:val="20"/>
              </w:rPr>
            </w:pPr>
            <w:r>
              <w:rPr>
                <w:rFonts w:ascii="宋体" w:hAnsi="宋体" w:eastAsia="宋体" w:cs="宋体"/>
                <w:spacing w:val="-1"/>
                <w:sz w:val="20"/>
                <w:szCs w:val="20"/>
              </w:rPr>
              <w:t>赴海宁研学人</w:t>
            </w:r>
          </w:p>
          <w:p>
            <w:pPr>
              <w:spacing w:before="79" w:line="219" w:lineRule="auto"/>
              <w:ind w:left="385"/>
              <w:rPr>
                <w:rFonts w:ascii="宋体" w:hAnsi="宋体" w:eastAsia="宋体" w:cs="宋体"/>
                <w:sz w:val="20"/>
                <w:szCs w:val="20"/>
              </w:rPr>
            </w:pPr>
            <w:r>
              <w:rPr>
                <w:rFonts w:ascii="宋体" w:hAnsi="宋体" w:eastAsia="宋体" w:cs="宋体"/>
                <w:sz w:val="20"/>
                <w:szCs w:val="20"/>
              </w:rPr>
              <w:t>数</w:t>
            </w:r>
          </w:p>
        </w:tc>
        <w:tc>
          <w:tcPr>
            <w:tcW w:w="789" w:type="dxa"/>
            <w:vAlign w:val="top"/>
          </w:tcPr>
          <w:p>
            <w:pPr>
              <w:spacing w:before="268" w:line="155" w:lineRule="exact"/>
              <w:ind w:left="336"/>
              <w:rPr>
                <w:rFonts w:ascii="宋体" w:hAnsi="宋体" w:eastAsia="宋体" w:cs="宋体"/>
                <w:sz w:val="20"/>
                <w:szCs w:val="20"/>
              </w:rPr>
            </w:pPr>
            <w:r>
              <w:rPr>
                <w:rFonts w:ascii="宋体" w:hAnsi="宋体" w:eastAsia="宋体" w:cs="宋体"/>
                <w:position w:val="-3"/>
                <w:sz w:val="20"/>
                <w:szCs w:val="20"/>
              </w:rPr>
              <w:t>=</w:t>
            </w:r>
          </w:p>
        </w:tc>
        <w:tc>
          <w:tcPr>
            <w:tcW w:w="879" w:type="dxa"/>
            <w:vAlign w:val="top"/>
          </w:tcPr>
          <w:p>
            <w:pPr>
              <w:spacing w:before="215"/>
              <w:ind w:left="317"/>
              <w:rPr>
                <w:rFonts w:ascii="宋体" w:hAnsi="宋体" w:eastAsia="宋体" w:cs="宋体"/>
                <w:sz w:val="20"/>
                <w:szCs w:val="20"/>
              </w:rPr>
            </w:pPr>
            <w:r>
              <w:rPr>
                <w:rFonts w:ascii="宋体" w:hAnsi="宋体" w:eastAsia="宋体" w:cs="宋体"/>
                <w:spacing w:val="-4"/>
                <w:sz w:val="20"/>
                <w:szCs w:val="20"/>
              </w:rPr>
              <w:t>100</w:t>
            </w:r>
          </w:p>
        </w:tc>
        <w:tc>
          <w:tcPr>
            <w:tcW w:w="769" w:type="dxa"/>
            <w:vAlign w:val="top"/>
          </w:tcPr>
          <w:p>
            <w:pPr>
              <w:spacing w:before="192"/>
              <w:ind w:left="278"/>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20</w:t>
            </w:r>
          </w:p>
        </w:tc>
        <w:tc>
          <w:tcPr>
            <w:tcW w:w="1494" w:type="dxa"/>
            <w:vAlign w:val="top"/>
          </w:tcPr>
          <w:p>
            <w:pPr>
              <w:spacing w:before="192"/>
              <w:ind w:left="639"/>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54" w:type="dxa"/>
            <w:vMerge w:val="continue"/>
            <w:tcBorders>
              <w:top w:val="nil"/>
              <w:bottom w:val="nil"/>
            </w:tcBorders>
            <w:vAlign w:val="top"/>
          </w:tcPr>
          <w:p>
            <w:pPr>
              <w:pStyle w:val="7"/>
              <w:rPr>
                <w:sz w:val="20"/>
                <w:szCs w:val="20"/>
              </w:rPr>
            </w:pPr>
          </w:p>
        </w:tc>
        <w:tc>
          <w:tcPr>
            <w:tcW w:w="919" w:type="dxa"/>
            <w:vMerge w:val="continue"/>
            <w:tcBorders>
              <w:top w:val="nil"/>
            </w:tcBorders>
            <w:vAlign w:val="top"/>
          </w:tcPr>
          <w:p>
            <w:pPr>
              <w:pStyle w:val="7"/>
              <w:rPr>
                <w:sz w:val="20"/>
                <w:szCs w:val="20"/>
              </w:rPr>
            </w:pPr>
          </w:p>
        </w:tc>
        <w:tc>
          <w:tcPr>
            <w:tcW w:w="1058" w:type="dxa"/>
            <w:vAlign w:val="top"/>
          </w:tcPr>
          <w:p>
            <w:pPr>
              <w:spacing w:before="174" w:line="220" w:lineRule="auto"/>
              <w:ind w:left="122"/>
              <w:rPr>
                <w:rFonts w:ascii="宋体" w:hAnsi="宋体" w:eastAsia="宋体" w:cs="宋体"/>
                <w:sz w:val="20"/>
                <w:szCs w:val="20"/>
              </w:rPr>
            </w:pPr>
            <w:r>
              <w:rPr>
                <w:rFonts w:ascii="宋体" w:hAnsi="宋体" w:eastAsia="宋体" w:cs="宋体"/>
                <w:spacing w:val="1"/>
                <w:sz w:val="20"/>
                <w:szCs w:val="20"/>
              </w:rPr>
              <w:t>时效指标</w:t>
            </w:r>
          </w:p>
        </w:tc>
        <w:tc>
          <w:tcPr>
            <w:tcW w:w="1079" w:type="dxa"/>
            <w:vAlign w:val="top"/>
          </w:tcPr>
          <w:p>
            <w:pPr>
              <w:spacing w:before="202" w:line="220" w:lineRule="auto"/>
              <w:ind w:left="234"/>
              <w:rPr>
                <w:rFonts w:ascii="宋体" w:hAnsi="宋体" w:eastAsia="宋体" w:cs="宋体"/>
                <w:sz w:val="20"/>
                <w:szCs w:val="20"/>
              </w:rPr>
            </w:pPr>
            <w:r>
              <w:rPr>
                <w:rFonts w:ascii="宋体" w:hAnsi="宋体" w:eastAsia="宋体" w:cs="宋体"/>
                <w:spacing w:val="-3"/>
                <w:sz w:val="20"/>
                <w:szCs w:val="20"/>
              </w:rPr>
              <w:t>时效指标</w:t>
            </w:r>
          </w:p>
        </w:tc>
        <w:tc>
          <w:tcPr>
            <w:tcW w:w="929" w:type="dxa"/>
            <w:vAlign w:val="top"/>
          </w:tcPr>
          <w:p>
            <w:pPr>
              <w:spacing w:before="72" w:line="219" w:lineRule="auto"/>
              <w:ind w:left="5"/>
              <w:rPr>
                <w:rFonts w:ascii="宋体" w:hAnsi="宋体" w:eastAsia="宋体" w:cs="宋体"/>
                <w:sz w:val="20"/>
                <w:szCs w:val="20"/>
              </w:rPr>
            </w:pPr>
            <w:r>
              <w:rPr>
                <w:rFonts w:ascii="宋体" w:hAnsi="宋体" w:eastAsia="宋体" w:cs="宋体"/>
                <w:spacing w:val="-1"/>
                <w:sz w:val="20"/>
                <w:szCs w:val="20"/>
              </w:rPr>
              <w:t>三交活动完成</w:t>
            </w:r>
          </w:p>
          <w:p>
            <w:pPr>
              <w:spacing w:before="72" w:line="220" w:lineRule="auto"/>
              <w:ind w:left="305"/>
              <w:rPr>
                <w:rFonts w:ascii="宋体" w:hAnsi="宋体" w:eastAsia="宋体" w:cs="宋体"/>
                <w:sz w:val="20"/>
                <w:szCs w:val="20"/>
              </w:rPr>
            </w:pPr>
            <w:r>
              <w:rPr>
                <w:rFonts w:ascii="宋体" w:hAnsi="宋体" w:eastAsia="宋体" w:cs="宋体"/>
                <w:spacing w:val="4"/>
                <w:sz w:val="20"/>
                <w:szCs w:val="20"/>
              </w:rPr>
              <w:t>时限</w:t>
            </w:r>
          </w:p>
        </w:tc>
        <w:tc>
          <w:tcPr>
            <w:tcW w:w="789" w:type="dxa"/>
            <w:vAlign w:val="top"/>
          </w:tcPr>
          <w:p>
            <w:pPr>
              <w:spacing w:before="222" w:line="236" w:lineRule="auto"/>
              <w:ind w:left="326"/>
              <w:rPr>
                <w:rFonts w:ascii="宋体" w:hAnsi="宋体" w:eastAsia="宋体" w:cs="宋体"/>
                <w:sz w:val="20"/>
                <w:szCs w:val="20"/>
              </w:rPr>
            </w:pPr>
            <w:r>
              <w:rPr>
                <w:rFonts w:ascii="宋体" w:hAnsi="宋体" w:eastAsia="宋体" w:cs="宋体"/>
                <w:sz w:val="20"/>
                <w:szCs w:val="20"/>
              </w:rPr>
              <w:t>≤</w:t>
            </w:r>
          </w:p>
        </w:tc>
        <w:tc>
          <w:tcPr>
            <w:tcW w:w="879" w:type="dxa"/>
            <w:vAlign w:val="top"/>
          </w:tcPr>
          <w:p>
            <w:pPr>
              <w:spacing w:before="216"/>
              <w:ind w:left="397"/>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9</w:t>
            </w:r>
          </w:p>
        </w:tc>
        <w:tc>
          <w:tcPr>
            <w:tcW w:w="769" w:type="dxa"/>
            <w:vAlign w:val="top"/>
          </w:tcPr>
          <w:p>
            <w:pPr>
              <w:spacing w:before="193"/>
              <w:ind w:left="278"/>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30</w:t>
            </w:r>
          </w:p>
        </w:tc>
        <w:tc>
          <w:tcPr>
            <w:tcW w:w="1494" w:type="dxa"/>
            <w:vAlign w:val="top"/>
          </w:tcPr>
          <w:p>
            <w:pPr>
              <w:spacing w:before="193"/>
              <w:ind w:left="639"/>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554" w:type="dxa"/>
            <w:vMerge w:val="continue"/>
            <w:tcBorders>
              <w:top w:val="nil"/>
              <w:bottom w:val="nil"/>
            </w:tcBorders>
            <w:vAlign w:val="top"/>
          </w:tcPr>
          <w:p>
            <w:pPr>
              <w:pStyle w:val="7"/>
              <w:rPr>
                <w:sz w:val="20"/>
                <w:szCs w:val="20"/>
              </w:rPr>
            </w:pPr>
          </w:p>
        </w:tc>
        <w:tc>
          <w:tcPr>
            <w:tcW w:w="919" w:type="dxa"/>
            <w:vAlign w:val="top"/>
          </w:tcPr>
          <w:p>
            <w:pPr>
              <w:spacing w:before="185" w:line="220" w:lineRule="auto"/>
              <w:ind w:left="51"/>
              <w:rPr>
                <w:rFonts w:ascii="宋体" w:hAnsi="宋体" w:eastAsia="宋体" w:cs="宋体"/>
                <w:sz w:val="20"/>
                <w:szCs w:val="20"/>
              </w:rPr>
            </w:pPr>
            <w:r>
              <w:rPr>
                <w:rFonts w:ascii="宋体" w:hAnsi="宋体" w:eastAsia="宋体" w:cs="宋体"/>
                <w:spacing w:val="1"/>
                <w:sz w:val="20"/>
                <w:szCs w:val="20"/>
              </w:rPr>
              <w:t>效益指标</w:t>
            </w:r>
          </w:p>
        </w:tc>
        <w:tc>
          <w:tcPr>
            <w:tcW w:w="1058" w:type="dxa"/>
            <w:vAlign w:val="top"/>
          </w:tcPr>
          <w:p>
            <w:pPr>
              <w:spacing w:before="65" w:line="220" w:lineRule="auto"/>
              <w:ind w:left="122"/>
              <w:rPr>
                <w:rFonts w:ascii="宋体" w:hAnsi="宋体" w:eastAsia="宋体" w:cs="宋体"/>
                <w:sz w:val="20"/>
                <w:szCs w:val="20"/>
              </w:rPr>
            </w:pPr>
            <w:r>
              <w:rPr>
                <w:rFonts w:ascii="宋体" w:hAnsi="宋体" w:eastAsia="宋体" w:cs="宋体"/>
                <w:spacing w:val="-2"/>
                <w:sz w:val="20"/>
                <w:szCs w:val="20"/>
              </w:rPr>
              <w:t>经济效益</w:t>
            </w:r>
          </w:p>
          <w:p>
            <w:pPr>
              <w:spacing w:before="11" w:line="215" w:lineRule="auto"/>
              <w:ind w:left="322"/>
              <w:rPr>
                <w:rFonts w:ascii="宋体" w:hAnsi="宋体" w:eastAsia="宋体" w:cs="宋体"/>
                <w:sz w:val="20"/>
                <w:szCs w:val="20"/>
              </w:rPr>
            </w:pPr>
            <w:r>
              <w:rPr>
                <w:rFonts w:ascii="宋体" w:hAnsi="宋体" w:eastAsia="宋体" w:cs="宋体"/>
                <w:spacing w:val="-3"/>
                <w:sz w:val="20"/>
                <w:szCs w:val="20"/>
              </w:rPr>
              <w:t>指标</w:t>
            </w:r>
          </w:p>
        </w:tc>
        <w:tc>
          <w:tcPr>
            <w:tcW w:w="1079" w:type="dxa"/>
            <w:vAlign w:val="top"/>
          </w:tcPr>
          <w:p>
            <w:pPr>
              <w:spacing w:before="212" w:line="219" w:lineRule="auto"/>
              <w:ind w:left="84"/>
              <w:rPr>
                <w:rFonts w:ascii="宋体" w:hAnsi="宋体" w:eastAsia="宋体" w:cs="宋体"/>
                <w:sz w:val="20"/>
                <w:szCs w:val="20"/>
              </w:rPr>
            </w:pPr>
            <w:r>
              <w:rPr>
                <w:rFonts w:ascii="宋体" w:hAnsi="宋体" w:eastAsia="宋体" w:cs="宋体"/>
                <w:spacing w:val="-1"/>
                <w:sz w:val="20"/>
                <w:szCs w:val="20"/>
              </w:rPr>
              <w:t>社会效益指标</w:t>
            </w:r>
          </w:p>
        </w:tc>
        <w:tc>
          <w:tcPr>
            <w:tcW w:w="929" w:type="dxa"/>
            <w:vAlign w:val="top"/>
          </w:tcPr>
          <w:p>
            <w:pPr>
              <w:spacing w:before="72" w:line="219" w:lineRule="auto"/>
              <w:ind w:left="5"/>
            </w:pPr>
            <w:r>
              <w:rPr>
                <w:rFonts w:ascii="宋体" w:hAnsi="宋体" w:eastAsia="宋体" w:cs="宋体"/>
                <w:spacing w:val="-1"/>
                <w:sz w:val="20"/>
                <w:szCs w:val="20"/>
              </w:rPr>
              <w:t>提升社会发展</w:t>
            </w:r>
            <w:r>
              <w:rPr>
                <w:rFonts w:ascii="宋体" w:hAnsi="宋体" w:eastAsia="宋体" w:cs="宋体"/>
                <w:sz w:val="20"/>
                <w:szCs w:val="20"/>
              </w:rPr>
              <w:t>水平</w:t>
            </w:r>
          </w:p>
          <w:p>
            <w:pPr>
              <w:spacing w:before="83" w:line="219" w:lineRule="auto"/>
              <w:ind w:left="305"/>
              <w:rPr>
                <w:rFonts w:ascii="宋体" w:hAnsi="宋体" w:eastAsia="宋体" w:cs="宋体"/>
                <w:sz w:val="20"/>
                <w:szCs w:val="20"/>
              </w:rPr>
            </w:pPr>
            <w:r>
              <w:rPr>
                <w:rFonts w:ascii="宋体" w:hAnsi="宋体" w:eastAsia="宋体" w:cs="宋体"/>
                <w:spacing w:val="-2"/>
                <w:sz w:val="20"/>
                <w:szCs w:val="20"/>
              </w:rPr>
              <w:t>服务</w:t>
            </w:r>
          </w:p>
        </w:tc>
        <w:tc>
          <w:tcPr>
            <w:tcW w:w="789" w:type="dxa"/>
            <w:vAlign w:val="top"/>
          </w:tcPr>
          <w:p>
            <w:pPr>
              <w:spacing w:before="213" w:line="220" w:lineRule="auto"/>
              <w:ind w:left="236"/>
              <w:rPr>
                <w:rFonts w:ascii="宋体" w:hAnsi="宋体" w:eastAsia="宋体" w:cs="宋体"/>
                <w:sz w:val="20"/>
                <w:szCs w:val="20"/>
              </w:rPr>
            </w:pPr>
            <w:r>
              <w:rPr>
                <w:rFonts w:ascii="宋体" w:hAnsi="宋体" w:eastAsia="宋体" w:cs="宋体"/>
                <w:spacing w:val="-3"/>
                <w:sz w:val="20"/>
                <w:szCs w:val="20"/>
              </w:rPr>
              <w:t>定性</w:t>
            </w:r>
          </w:p>
        </w:tc>
        <w:tc>
          <w:tcPr>
            <w:tcW w:w="879" w:type="dxa"/>
            <w:vAlign w:val="top"/>
          </w:tcPr>
          <w:p>
            <w:pPr>
              <w:spacing w:before="213" w:line="219" w:lineRule="auto"/>
              <w:ind w:left="357"/>
              <w:rPr>
                <w:rFonts w:hint="eastAsia" w:ascii="宋体" w:hAnsi="宋体" w:eastAsia="宋体" w:cs="宋体"/>
                <w:sz w:val="20"/>
                <w:szCs w:val="20"/>
                <w:lang w:eastAsia="zh-CN"/>
              </w:rPr>
            </w:pPr>
            <w:r>
              <w:rPr>
                <w:rFonts w:hint="eastAsia" w:ascii="宋体" w:hAnsi="宋体" w:eastAsia="宋体" w:cs="宋体"/>
                <w:sz w:val="20"/>
                <w:szCs w:val="20"/>
                <w:lang w:eastAsia="zh-CN"/>
              </w:rPr>
              <w:t>良</w:t>
            </w:r>
          </w:p>
        </w:tc>
        <w:tc>
          <w:tcPr>
            <w:tcW w:w="769" w:type="dxa"/>
            <w:vAlign w:val="top"/>
          </w:tcPr>
          <w:p>
            <w:pPr>
              <w:spacing w:before="204"/>
              <w:ind w:left="278"/>
              <w:rPr>
                <w:rFonts w:ascii="宋体" w:hAnsi="宋体" w:eastAsia="宋体" w:cs="宋体"/>
                <w:sz w:val="20"/>
                <w:szCs w:val="20"/>
              </w:rPr>
            </w:pPr>
            <w:r>
              <w:rPr>
                <w:rFonts w:ascii="宋体" w:hAnsi="宋体" w:eastAsia="宋体" w:cs="宋体"/>
                <w:spacing w:val="-3"/>
                <w:sz w:val="20"/>
                <w:szCs w:val="20"/>
              </w:rPr>
              <w:t>20</w:t>
            </w:r>
          </w:p>
        </w:tc>
        <w:tc>
          <w:tcPr>
            <w:tcW w:w="1494" w:type="dxa"/>
            <w:vAlign w:val="top"/>
          </w:tcPr>
          <w:p>
            <w:pPr>
              <w:spacing w:before="204"/>
              <w:ind w:left="639"/>
              <w:rPr>
                <w:rFonts w:ascii="宋体" w:hAnsi="宋体" w:eastAsia="宋体" w:cs="宋体"/>
                <w:sz w:val="20"/>
                <w:szCs w:val="20"/>
              </w:rPr>
            </w:pPr>
            <w:r>
              <w:rPr>
                <w:rFonts w:ascii="宋体" w:hAnsi="宋体" w:eastAsia="宋体" w:cs="宋体"/>
                <w:spacing w:val="-3"/>
                <w:sz w:val="20"/>
                <w:szCs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554" w:type="dxa"/>
            <w:vMerge w:val="continue"/>
            <w:tcBorders>
              <w:top w:val="nil"/>
              <w:bottom w:val="nil"/>
            </w:tcBorders>
            <w:vAlign w:val="top"/>
          </w:tcPr>
          <w:p>
            <w:pPr>
              <w:pStyle w:val="7"/>
              <w:rPr>
                <w:sz w:val="20"/>
                <w:szCs w:val="20"/>
              </w:rPr>
            </w:pPr>
          </w:p>
        </w:tc>
        <w:tc>
          <w:tcPr>
            <w:tcW w:w="919" w:type="dxa"/>
            <w:vAlign w:val="top"/>
          </w:tcPr>
          <w:p>
            <w:pPr>
              <w:spacing w:before="54" w:line="228" w:lineRule="auto"/>
              <w:ind w:left="251" w:right="165" w:hanging="100"/>
              <w:rPr>
                <w:rFonts w:ascii="宋体" w:hAnsi="宋体" w:eastAsia="宋体" w:cs="宋体"/>
                <w:sz w:val="20"/>
                <w:szCs w:val="20"/>
              </w:rPr>
            </w:pPr>
            <w:r>
              <w:rPr>
                <w:rFonts w:ascii="宋体" w:hAnsi="宋体" w:eastAsia="宋体" w:cs="宋体"/>
                <w:spacing w:val="-3"/>
                <w:sz w:val="20"/>
                <w:szCs w:val="20"/>
              </w:rPr>
              <w:t>满意度</w:t>
            </w:r>
            <w:r>
              <w:rPr>
                <w:rFonts w:ascii="宋体" w:hAnsi="宋体" w:eastAsia="宋体" w:cs="宋体"/>
                <w:sz w:val="20"/>
                <w:szCs w:val="20"/>
              </w:rPr>
              <w:t xml:space="preserve"> </w:t>
            </w:r>
            <w:r>
              <w:rPr>
                <w:rFonts w:ascii="宋体" w:hAnsi="宋体" w:eastAsia="宋体" w:cs="宋体"/>
                <w:spacing w:val="-3"/>
                <w:sz w:val="20"/>
                <w:szCs w:val="20"/>
              </w:rPr>
              <w:t>指标</w:t>
            </w:r>
          </w:p>
        </w:tc>
        <w:tc>
          <w:tcPr>
            <w:tcW w:w="1058" w:type="dxa"/>
            <w:vAlign w:val="top"/>
          </w:tcPr>
          <w:p>
            <w:pPr>
              <w:spacing w:before="65" w:line="223" w:lineRule="auto"/>
              <w:ind w:left="22" w:right="33" w:firstLine="100"/>
              <w:rPr>
                <w:rFonts w:ascii="宋体" w:hAnsi="宋体" w:eastAsia="宋体" w:cs="宋体"/>
                <w:sz w:val="20"/>
                <w:szCs w:val="20"/>
              </w:rPr>
            </w:pPr>
            <w:r>
              <w:rPr>
                <w:rFonts w:ascii="宋体" w:hAnsi="宋体" w:eastAsia="宋体" w:cs="宋体"/>
                <w:spacing w:val="-2"/>
                <w:sz w:val="20"/>
                <w:szCs w:val="20"/>
              </w:rPr>
              <w:t>服务对象</w:t>
            </w:r>
            <w:r>
              <w:rPr>
                <w:rFonts w:ascii="宋体" w:hAnsi="宋体" w:eastAsia="宋体" w:cs="宋体"/>
                <w:sz w:val="20"/>
                <w:szCs w:val="20"/>
              </w:rPr>
              <w:t xml:space="preserve">  </w:t>
            </w:r>
            <w:r>
              <w:rPr>
                <w:rFonts w:ascii="宋体" w:hAnsi="宋体" w:eastAsia="宋体" w:cs="宋体"/>
                <w:spacing w:val="-2"/>
                <w:sz w:val="20"/>
                <w:szCs w:val="20"/>
              </w:rPr>
              <w:t>满意度指标</w:t>
            </w:r>
          </w:p>
        </w:tc>
        <w:tc>
          <w:tcPr>
            <w:tcW w:w="1079" w:type="dxa"/>
            <w:vAlign w:val="top"/>
          </w:tcPr>
          <w:p>
            <w:pPr>
              <w:spacing w:before="84" w:line="219" w:lineRule="auto"/>
              <w:ind w:left="4"/>
              <w:rPr>
                <w:rFonts w:ascii="宋体" w:hAnsi="宋体" w:eastAsia="宋体" w:cs="宋体"/>
                <w:sz w:val="20"/>
                <w:szCs w:val="20"/>
              </w:rPr>
            </w:pPr>
            <w:r>
              <w:rPr>
                <w:rFonts w:ascii="宋体" w:hAnsi="宋体" w:eastAsia="宋体" w:cs="宋体"/>
                <w:spacing w:val="-1"/>
                <w:sz w:val="20"/>
                <w:szCs w:val="20"/>
              </w:rPr>
              <w:t>服务对象满意度</w:t>
            </w:r>
          </w:p>
          <w:p>
            <w:pPr>
              <w:spacing w:before="72" w:line="220" w:lineRule="auto"/>
              <w:ind w:left="384"/>
              <w:rPr>
                <w:rFonts w:ascii="宋体" w:hAnsi="宋体" w:eastAsia="宋体" w:cs="宋体"/>
                <w:sz w:val="20"/>
                <w:szCs w:val="20"/>
              </w:rPr>
            </w:pPr>
            <w:r>
              <w:rPr>
                <w:rFonts w:ascii="宋体" w:hAnsi="宋体" w:eastAsia="宋体" w:cs="宋体"/>
                <w:spacing w:val="-2"/>
                <w:sz w:val="20"/>
                <w:szCs w:val="20"/>
              </w:rPr>
              <w:t>指标</w:t>
            </w:r>
          </w:p>
        </w:tc>
        <w:tc>
          <w:tcPr>
            <w:tcW w:w="929" w:type="dxa"/>
            <w:vAlign w:val="top"/>
          </w:tcPr>
          <w:p>
            <w:pPr>
              <w:spacing w:before="84" w:line="219" w:lineRule="auto"/>
              <w:ind w:left="5"/>
              <w:rPr>
                <w:rFonts w:ascii="宋体" w:hAnsi="宋体" w:eastAsia="宋体" w:cs="宋体"/>
                <w:sz w:val="20"/>
                <w:szCs w:val="20"/>
              </w:rPr>
            </w:pPr>
            <w:r>
              <w:rPr>
                <w:rFonts w:ascii="宋体" w:hAnsi="宋体" w:eastAsia="宋体" w:cs="宋体"/>
                <w:spacing w:val="-2"/>
                <w:sz w:val="20"/>
                <w:szCs w:val="20"/>
              </w:rPr>
              <w:t>受众师生满意</w:t>
            </w:r>
          </w:p>
          <w:p>
            <w:pPr>
              <w:spacing w:before="82" w:line="220" w:lineRule="auto"/>
              <w:ind w:left="385"/>
              <w:rPr>
                <w:rFonts w:ascii="宋体" w:hAnsi="宋体" w:eastAsia="宋体" w:cs="宋体"/>
                <w:sz w:val="20"/>
                <w:szCs w:val="20"/>
              </w:rPr>
            </w:pPr>
            <w:r>
              <w:rPr>
                <w:rFonts w:ascii="宋体" w:hAnsi="宋体" w:eastAsia="宋体" w:cs="宋体"/>
                <w:sz w:val="20"/>
                <w:szCs w:val="20"/>
              </w:rPr>
              <w:t>度</w:t>
            </w:r>
          </w:p>
        </w:tc>
        <w:tc>
          <w:tcPr>
            <w:tcW w:w="789" w:type="dxa"/>
            <w:vAlign w:val="top"/>
          </w:tcPr>
          <w:p>
            <w:pPr>
              <w:spacing w:before="236" w:line="237" w:lineRule="auto"/>
              <w:ind w:left="326"/>
              <w:rPr>
                <w:rFonts w:ascii="宋体" w:hAnsi="宋体" w:eastAsia="宋体" w:cs="宋体"/>
                <w:sz w:val="20"/>
                <w:szCs w:val="20"/>
              </w:rPr>
            </w:pPr>
            <w:r>
              <w:rPr>
                <w:rFonts w:ascii="宋体" w:hAnsi="宋体" w:eastAsia="宋体" w:cs="宋体"/>
                <w:sz w:val="20"/>
                <w:szCs w:val="20"/>
              </w:rPr>
              <w:t>≥</w:t>
            </w:r>
          </w:p>
        </w:tc>
        <w:tc>
          <w:tcPr>
            <w:tcW w:w="879" w:type="dxa"/>
            <w:vAlign w:val="top"/>
          </w:tcPr>
          <w:p>
            <w:pPr>
              <w:spacing w:before="228"/>
              <w:ind w:left="357"/>
              <w:rPr>
                <w:rFonts w:ascii="宋体" w:hAnsi="宋体" w:eastAsia="宋体" w:cs="宋体"/>
                <w:sz w:val="20"/>
                <w:szCs w:val="20"/>
              </w:rPr>
            </w:pPr>
            <w:r>
              <w:rPr>
                <w:rFonts w:ascii="宋体" w:hAnsi="宋体" w:eastAsia="宋体" w:cs="宋体"/>
                <w:spacing w:val="-2"/>
                <w:sz w:val="20"/>
                <w:szCs w:val="20"/>
              </w:rPr>
              <w:t>95</w:t>
            </w:r>
          </w:p>
        </w:tc>
        <w:tc>
          <w:tcPr>
            <w:tcW w:w="769" w:type="dxa"/>
            <w:vAlign w:val="top"/>
          </w:tcPr>
          <w:p>
            <w:pPr>
              <w:spacing w:before="205"/>
              <w:ind w:left="278"/>
              <w:rPr>
                <w:rFonts w:ascii="宋体" w:hAnsi="宋体" w:eastAsia="宋体" w:cs="宋体"/>
                <w:sz w:val="20"/>
                <w:szCs w:val="20"/>
              </w:rPr>
            </w:pPr>
            <w:r>
              <w:rPr>
                <w:rFonts w:ascii="宋体" w:hAnsi="宋体" w:eastAsia="宋体" w:cs="宋体"/>
                <w:spacing w:val="-6"/>
                <w:sz w:val="20"/>
                <w:szCs w:val="20"/>
              </w:rPr>
              <w:t>10</w:t>
            </w:r>
          </w:p>
        </w:tc>
        <w:tc>
          <w:tcPr>
            <w:tcW w:w="1494" w:type="dxa"/>
            <w:vAlign w:val="top"/>
          </w:tcPr>
          <w:p>
            <w:pPr>
              <w:spacing w:before="205"/>
              <w:ind w:left="639"/>
              <w:rPr>
                <w:rFonts w:ascii="宋体" w:hAnsi="宋体" w:eastAsia="宋体" w:cs="宋体"/>
                <w:sz w:val="20"/>
                <w:szCs w:val="20"/>
              </w:rPr>
            </w:pPr>
            <w:r>
              <w:rPr>
                <w:rFonts w:ascii="宋体" w:hAnsi="宋体" w:eastAsia="宋体" w:cs="宋体"/>
                <w:spacing w:val="-6"/>
                <w:sz w:val="20"/>
                <w:szCs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554" w:type="dxa"/>
            <w:vMerge w:val="continue"/>
            <w:tcBorders>
              <w:top w:val="nil"/>
            </w:tcBorders>
            <w:vAlign w:val="top"/>
          </w:tcPr>
          <w:p>
            <w:pPr>
              <w:pStyle w:val="7"/>
              <w:rPr>
                <w:sz w:val="20"/>
                <w:szCs w:val="20"/>
              </w:rPr>
            </w:pPr>
          </w:p>
        </w:tc>
        <w:tc>
          <w:tcPr>
            <w:tcW w:w="919" w:type="dxa"/>
            <w:vAlign w:val="top"/>
          </w:tcPr>
          <w:p>
            <w:pPr>
              <w:spacing w:before="185" w:line="219" w:lineRule="auto"/>
              <w:ind w:left="51"/>
              <w:rPr>
                <w:rFonts w:ascii="宋体" w:hAnsi="宋体" w:eastAsia="宋体" w:cs="宋体"/>
                <w:sz w:val="20"/>
                <w:szCs w:val="20"/>
              </w:rPr>
            </w:pPr>
            <w:r>
              <w:rPr>
                <w:rFonts w:ascii="宋体" w:hAnsi="宋体" w:eastAsia="宋体" w:cs="宋体"/>
                <w:spacing w:val="-2"/>
                <w:sz w:val="20"/>
                <w:szCs w:val="20"/>
              </w:rPr>
              <w:t>成本指标</w:t>
            </w:r>
          </w:p>
        </w:tc>
        <w:tc>
          <w:tcPr>
            <w:tcW w:w="1058" w:type="dxa"/>
            <w:vAlign w:val="top"/>
          </w:tcPr>
          <w:p>
            <w:pPr>
              <w:spacing w:before="45" w:line="219" w:lineRule="auto"/>
              <w:ind w:left="122"/>
              <w:rPr>
                <w:rFonts w:ascii="宋体" w:hAnsi="宋体" w:eastAsia="宋体" w:cs="宋体"/>
                <w:sz w:val="20"/>
                <w:szCs w:val="20"/>
              </w:rPr>
            </w:pPr>
            <w:r>
              <w:rPr>
                <w:rFonts w:ascii="宋体" w:hAnsi="宋体" w:eastAsia="宋体" w:cs="宋体"/>
                <w:spacing w:val="-2"/>
                <w:sz w:val="20"/>
                <w:szCs w:val="20"/>
              </w:rPr>
              <w:t>经济成本</w:t>
            </w:r>
          </w:p>
          <w:p>
            <w:pPr>
              <w:spacing w:before="34" w:line="218" w:lineRule="auto"/>
              <w:ind w:left="322"/>
              <w:rPr>
                <w:rFonts w:ascii="宋体" w:hAnsi="宋体" w:eastAsia="宋体" w:cs="宋体"/>
                <w:sz w:val="20"/>
                <w:szCs w:val="20"/>
              </w:rPr>
            </w:pPr>
            <w:r>
              <w:rPr>
                <w:rFonts w:ascii="宋体" w:hAnsi="宋体" w:eastAsia="宋体" w:cs="宋体"/>
                <w:spacing w:val="-3"/>
                <w:sz w:val="20"/>
                <w:szCs w:val="20"/>
              </w:rPr>
              <w:t>指标</w:t>
            </w:r>
          </w:p>
        </w:tc>
        <w:tc>
          <w:tcPr>
            <w:tcW w:w="1079" w:type="dxa"/>
            <w:vAlign w:val="top"/>
          </w:tcPr>
          <w:p>
            <w:pPr>
              <w:spacing w:before="214" w:line="219" w:lineRule="auto"/>
              <w:ind w:left="84"/>
              <w:rPr>
                <w:rFonts w:ascii="宋体" w:hAnsi="宋体" w:eastAsia="宋体" w:cs="宋体"/>
                <w:sz w:val="20"/>
                <w:szCs w:val="20"/>
              </w:rPr>
            </w:pPr>
            <w:r>
              <w:rPr>
                <w:rFonts w:ascii="宋体" w:hAnsi="宋体" w:eastAsia="宋体" w:cs="宋体"/>
                <w:spacing w:val="-1"/>
                <w:sz w:val="20"/>
                <w:szCs w:val="20"/>
              </w:rPr>
              <w:t>经济成本指标</w:t>
            </w:r>
          </w:p>
        </w:tc>
        <w:tc>
          <w:tcPr>
            <w:tcW w:w="929" w:type="dxa"/>
            <w:vAlign w:val="top"/>
          </w:tcPr>
          <w:p>
            <w:pPr>
              <w:spacing w:before="75" w:line="220" w:lineRule="auto"/>
              <w:ind w:left="5"/>
              <w:rPr>
                <w:rFonts w:ascii="宋体" w:hAnsi="宋体" w:eastAsia="宋体" w:cs="宋体"/>
                <w:sz w:val="20"/>
                <w:szCs w:val="20"/>
              </w:rPr>
            </w:pPr>
            <w:r>
              <w:rPr>
                <w:rFonts w:ascii="宋体" w:hAnsi="宋体" w:eastAsia="宋体" w:cs="宋体"/>
                <w:spacing w:val="-1"/>
                <w:sz w:val="20"/>
                <w:szCs w:val="20"/>
              </w:rPr>
              <w:t>三交活动经济</w:t>
            </w:r>
          </w:p>
          <w:p>
            <w:pPr>
              <w:spacing w:before="79" w:line="219" w:lineRule="auto"/>
              <w:ind w:left="305"/>
              <w:rPr>
                <w:rFonts w:ascii="宋体" w:hAnsi="宋体" w:eastAsia="宋体" w:cs="宋体"/>
                <w:sz w:val="20"/>
                <w:szCs w:val="20"/>
              </w:rPr>
            </w:pPr>
            <w:r>
              <w:rPr>
                <w:rFonts w:ascii="宋体" w:hAnsi="宋体" w:eastAsia="宋体" w:cs="宋体"/>
                <w:spacing w:val="-2"/>
                <w:sz w:val="20"/>
                <w:szCs w:val="20"/>
              </w:rPr>
              <w:t>成本</w:t>
            </w:r>
          </w:p>
        </w:tc>
        <w:tc>
          <w:tcPr>
            <w:tcW w:w="789" w:type="dxa"/>
            <w:vAlign w:val="top"/>
          </w:tcPr>
          <w:p>
            <w:pPr>
              <w:spacing w:before="243" w:line="236" w:lineRule="auto"/>
              <w:ind w:left="336"/>
              <w:rPr>
                <w:rFonts w:ascii="宋体" w:hAnsi="宋体" w:eastAsia="宋体" w:cs="宋体"/>
                <w:sz w:val="20"/>
                <w:szCs w:val="20"/>
              </w:rPr>
            </w:pPr>
            <w:r>
              <w:rPr>
                <w:rFonts w:ascii="宋体" w:hAnsi="宋体" w:eastAsia="宋体" w:cs="宋体"/>
                <w:sz w:val="20"/>
                <w:szCs w:val="20"/>
              </w:rPr>
              <w:t>≤</w:t>
            </w:r>
          </w:p>
        </w:tc>
        <w:tc>
          <w:tcPr>
            <w:tcW w:w="879" w:type="dxa"/>
            <w:vAlign w:val="top"/>
          </w:tcPr>
          <w:p>
            <w:pPr>
              <w:spacing w:before="229"/>
              <w:ind w:left="317"/>
              <w:rPr>
                <w:rFonts w:ascii="宋体" w:hAnsi="宋体" w:eastAsia="宋体" w:cs="宋体"/>
                <w:sz w:val="20"/>
                <w:szCs w:val="20"/>
              </w:rPr>
            </w:pPr>
            <w:r>
              <w:rPr>
                <w:rFonts w:ascii="宋体" w:hAnsi="宋体" w:eastAsia="宋体" w:cs="宋体"/>
                <w:spacing w:val="-4"/>
                <w:sz w:val="20"/>
                <w:szCs w:val="20"/>
              </w:rPr>
              <w:t>100</w:t>
            </w:r>
          </w:p>
        </w:tc>
        <w:tc>
          <w:tcPr>
            <w:tcW w:w="769" w:type="dxa"/>
            <w:vAlign w:val="top"/>
          </w:tcPr>
          <w:p>
            <w:pPr>
              <w:spacing w:before="206"/>
              <w:ind w:left="278"/>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10</w:t>
            </w:r>
          </w:p>
        </w:tc>
        <w:tc>
          <w:tcPr>
            <w:tcW w:w="1494" w:type="dxa"/>
            <w:vAlign w:val="top"/>
          </w:tcPr>
          <w:p>
            <w:pPr>
              <w:spacing w:before="206"/>
              <w:ind w:left="639"/>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10</w:t>
            </w:r>
          </w:p>
        </w:tc>
      </w:tr>
    </w:tbl>
    <w:p>
      <w:pPr>
        <w:numPr>
          <w:ilvl w:val="0"/>
          <w:numId w:val="0"/>
        </w:numPr>
        <w:spacing w:before="185" w:line="428" w:lineRule="auto"/>
        <w:ind w:left="1493" w:leftChars="0" w:right="610" w:rightChars="0"/>
        <w:rPr>
          <w:rFonts w:ascii="宋体" w:hAnsi="宋体" w:eastAsia="宋体" w:cs="宋体"/>
          <w:spacing w:val="2"/>
          <w:sz w:val="16"/>
          <w:szCs w:val="16"/>
        </w:rPr>
      </w:pPr>
    </w:p>
    <w:p>
      <w:pPr>
        <w:spacing w:line="428" w:lineRule="auto"/>
        <w:rPr>
          <w:rFonts w:ascii="宋体" w:hAnsi="宋体" w:eastAsia="宋体" w:cs="宋体"/>
          <w:sz w:val="16"/>
          <w:szCs w:val="16"/>
        </w:rPr>
        <w:sectPr>
          <w:footerReference r:id="rId5" w:type="default"/>
          <w:pgSz w:w="12240" w:h="15840"/>
          <w:pgMar w:top="1346" w:right="1836" w:bottom="1609" w:left="1836" w:header="0" w:footer="1323" w:gutter="0"/>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292" w:lineRule="auto"/>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p>
    <w:p>
      <w:pPr>
        <w:pStyle w:val="2"/>
        <w:keepNext w:val="0"/>
        <w:keepLines w:val="0"/>
        <w:pageBreakBefore w:val="0"/>
        <w:widowControl/>
        <w:kinsoku w:val="0"/>
        <w:wordWrap/>
        <w:overflowPunct/>
        <w:topLinePunct w:val="0"/>
        <w:autoSpaceDE w:val="0"/>
        <w:autoSpaceDN w:val="0"/>
        <w:bidi w:val="0"/>
        <w:adjustRightInd w:val="0"/>
        <w:snapToGrid w:val="0"/>
        <w:spacing w:before="155" w:line="297" w:lineRule="auto"/>
        <w:ind w:left="27" w:right="782" w:firstLine="628" w:firstLineChars="200"/>
        <w:textAlignment w:val="baseline"/>
        <w:rPr>
          <w:rFonts w:hint="default"/>
          <w:spacing w:val="2"/>
          <w:sz w:val="31"/>
          <w:szCs w:val="31"/>
          <w:lang w:val="en-US"/>
        </w:rPr>
      </w:pPr>
    </w:p>
    <w:p>
      <w:pPr>
        <w:spacing w:before="101" w:line="226" w:lineRule="auto"/>
        <w:ind w:left="667"/>
        <w:outlineLvl w:val="0"/>
        <w:rPr>
          <w:rFonts w:hint="eastAsia"/>
          <w:spacing w:val="2"/>
          <w:sz w:val="31"/>
          <w:szCs w:val="31"/>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FangSong">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SimHei">
    <w:altName w:val="方正黑体_GBK"/>
    <w:panose1 w:val="02010609060101010101"/>
    <w:charset w:val="86"/>
    <w:family w:val="auto"/>
    <w:pitch w:val="default"/>
    <w:sig w:usb0="00000000" w:usb1="00000000" w:usb2="00000016" w:usb3="00000000" w:csb0="00040001" w:csb1="00000000"/>
  </w:font>
  <w:font w:name="KaiTi">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S Gothic">
    <w:altName w:val="方正书宋_GBK"/>
    <w:panose1 w:val="020B0609070205080204"/>
    <w:charset w:val="86"/>
    <w:family w:val="auto"/>
    <w:pitch w:val="default"/>
    <w:sig w:usb0="00000000" w:usb1="00000000"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1" w:lineRule="auto"/>
      <w:ind w:left="974"/>
      <w:rPr>
        <w:rFonts w:ascii="宋体" w:hAnsi="宋体" w:eastAsia="宋体" w:cs="宋体"/>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F779AE"/>
    <w:rsid w:val="6FB1A7C4"/>
    <w:rsid w:val="BF776AEA"/>
    <w:rsid w:val="E9BF36B1"/>
    <w:rsid w:val="EDF97662"/>
    <w:rsid w:val="FE6B9831"/>
    <w:rsid w:val="FF9FB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26"/>
      <w:szCs w:val="26"/>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19"/>
      <w:szCs w:val="19"/>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2025-09-01T02:10:00Z</dcterms:created>
  <dc:creator>user</dc:creator>
  <cp:lastModifiedBy>user</cp:lastModifiedBy>
  <dcterms:modified xsi:type="dcterms:W3CDTF">2025-09-09T11:48:40Z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3C9A7DF48FD9C594270CB16813F554C7</vt:lpwstr>
  </property>
</Properties>
</file>