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2CE" w:rsidRDefault="00DA32CE" w:rsidP="00DA32CE">
      <w:pPr>
        <w:spacing w:line="600" w:lineRule="exact"/>
        <w:jc w:val="center"/>
        <w:outlineLvl w:val="1"/>
        <w:rPr>
          <w:rFonts w:ascii="仿宋_GB2312" w:eastAsia="仿宋_GB2312" w:hAnsi="黑体" w:cs="方正小标宋简体"/>
          <w:b/>
          <w:sz w:val="32"/>
          <w:szCs w:val="32"/>
        </w:rPr>
      </w:pPr>
      <w:bookmarkStart w:id="0" w:name="_Toc48506393"/>
      <w:r>
        <w:rPr>
          <w:rFonts w:ascii="仿宋_GB2312" w:eastAsia="仿宋_GB2312" w:hAnsi="黑体" w:cs="方正小标宋简体" w:hint="eastAsia"/>
          <w:b/>
          <w:sz w:val="32"/>
          <w:szCs w:val="32"/>
        </w:rPr>
        <w:t>黑水县妇女联合会</w:t>
      </w:r>
      <w:r>
        <w:rPr>
          <w:rFonts w:ascii="仿宋_GB2312" w:eastAsia="仿宋_GB2312" w:hAnsi="黑体" w:cs="方正小标宋简体"/>
          <w:b/>
          <w:sz w:val="32"/>
          <w:szCs w:val="32"/>
        </w:rPr>
        <w:t>2019</w:t>
      </w:r>
      <w:r>
        <w:rPr>
          <w:rFonts w:ascii="仿宋_GB2312" w:eastAsia="仿宋_GB2312" w:hAnsi="黑体" w:cs="方正小标宋简体" w:hint="eastAsia"/>
          <w:b/>
          <w:sz w:val="32"/>
          <w:szCs w:val="32"/>
        </w:rPr>
        <w:t>年部门</w:t>
      </w:r>
      <w:bookmarkEnd w:id="0"/>
    </w:p>
    <w:p w:rsidR="00DA32CE" w:rsidRDefault="00DA32CE" w:rsidP="00DA32CE">
      <w:pPr>
        <w:spacing w:line="600" w:lineRule="exact"/>
        <w:jc w:val="center"/>
        <w:outlineLvl w:val="1"/>
        <w:rPr>
          <w:rFonts w:ascii="仿宋_GB2312" w:eastAsia="仿宋_GB2312" w:hAnsi="黑体" w:cs="方正小标宋简体"/>
          <w:b/>
          <w:sz w:val="32"/>
          <w:szCs w:val="32"/>
        </w:rPr>
      </w:pPr>
      <w:r>
        <w:rPr>
          <w:rFonts w:ascii="仿宋_GB2312" w:eastAsia="仿宋_GB2312" w:hAnsi="黑体" w:cs="方正小标宋简体"/>
          <w:b/>
          <w:sz w:val="32"/>
          <w:szCs w:val="32"/>
        </w:rPr>
        <w:t xml:space="preserve">   </w:t>
      </w:r>
      <w:bookmarkStart w:id="1" w:name="_Toc48506394"/>
      <w:r>
        <w:rPr>
          <w:rFonts w:ascii="仿宋_GB2312" w:eastAsia="仿宋_GB2312" w:hAnsi="黑体" w:cs="方正小标宋简体" w:hint="eastAsia"/>
          <w:b/>
          <w:sz w:val="32"/>
          <w:szCs w:val="32"/>
        </w:rPr>
        <w:t>整体支出绩效评价报告</w:t>
      </w:r>
      <w:bookmarkEnd w:id="1"/>
    </w:p>
    <w:p w:rsidR="00DA32CE" w:rsidRDefault="00DA32CE" w:rsidP="00DA32CE">
      <w:pPr>
        <w:spacing w:line="580" w:lineRule="exact"/>
        <w:ind w:firstLineChars="200" w:firstLine="643"/>
        <w:rPr>
          <w:rFonts w:ascii="仿宋_GB2312" w:eastAsia="仿宋_GB2312" w:hAnsi="黑体" w:cs="黑体"/>
          <w:b/>
          <w:sz w:val="32"/>
          <w:szCs w:val="32"/>
        </w:rPr>
      </w:pPr>
    </w:p>
    <w:p w:rsidR="00DA32CE" w:rsidRDefault="00DA32CE" w:rsidP="00DA32C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一、部门（单位）概况</w:t>
      </w:r>
    </w:p>
    <w:p w:rsidR="00DA32CE" w:rsidRDefault="00DA32CE" w:rsidP="00DA32C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（一）机构组成。</w:t>
      </w:r>
    </w:p>
    <w:p w:rsidR="00DA32CE" w:rsidRDefault="00DA32CE" w:rsidP="00DA32C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县妇联属于党领导下的群众团体，没有下属二级预算单位。单位总编制</w:t>
      </w:r>
      <w:r>
        <w:rPr>
          <w:rFonts w:ascii="仿宋" w:eastAsia="仿宋" w:hAnsi="仿宋" w:cs="仿宋"/>
          <w:sz w:val="32"/>
          <w:szCs w:val="32"/>
        </w:rPr>
        <w:t>3</w:t>
      </w:r>
      <w:r>
        <w:rPr>
          <w:rFonts w:ascii="仿宋" w:eastAsia="仿宋" w:hAnsi="仿宋" w:cs="仿宋" w:hint="eastAsia"/>
          <w:sz w:val="32"/>
          <w:szCs w:val="32"/>
        </w:rPr>
        <w:t>名，其中：行政编制</w:t>
      </w:r>
      <w:r>
        <w:rPr>
          <w:rFonts w:ascii="仿宋" w:eastAsia="仿宋" w:hAnsi="仿宋" w:cs="仿宋"/>
          <w:sz w:val="32"/>
          <w:szCs w:val="32"/>
        </w:rPr>
        <w:t>2</w:t>
      </w:r>
      <w:r>
        <w:rPr>
          <w:rFonts w:ascii="仿宋" w:eastAsia="仿宋" w:hAnsi="仿宋" w:cs="仿宋" w:hint="eastAsia"/>
          <w:sz w:val="32"/>
          <w:szCs w:val="32"/>
        </w:rPr>
        <w:t>名，工勤</w:t>
      </w:r>
      <w:r>
        <w:rPr>
          <w:rFonts w:ascii="仿宋" w:eastAsia="仿宋" w:hAnsi="仿宋" w:cs="仿宋"/>
          <w:sz w:val="32"/>
          <w:szCs w:val="32"/>
        </w:rPr>
        <w:t>1</w:t>
      </w:r>
      <w:r>
        <w:rPr>
          <w:rFonts w:ascii="仿宋" w:eastAsia="仿宋" w:hAnsi="仿宋" w:cs="仿宋" w:hint="eastAsia"/>
          <w:sz w:val="32"/>
          <w:szCs w:val="32"/>
        </w:rPr>
        <w:t>名。在职人员总数</w:t>
      </w:r>
      <w:r>
        <w:rPr>
          <w:rFonts w:ascii="仿宋" w:eastAsia="仿宋" w:hAnsi="仿宋" w:cs="仿宋"/>
          <w:sz w:val="32"/>
          <w:szCs w:val="32"/>
        </w:rPr>
        <w:t>6</w:t>
      </w:r>
      <w:r>
        <w:rPr>
          <w:rFonts w:ascii="仿宋" w:eastAsia="仿宋" w:hAnsi="仿宋" w:cs="仿宋" w:hint="eastAsia"/>
          <w:sz w:val="32"/>
          <w:szCs w:val="32"/>
        </w:rPr>
        <w:t>人；退休人员</w:t>
      </w:r>
      <w:r>
        <w:rPr>
          <w:rFonts w:ascii="仿宋" w:eastAsia="仿宋" w:hAnsi="仿宋" w:cs="仿宋"/>
          <w:sz w:val="32"/>
          <w:szCs w:val="32"/>
        </w:rPr>
        <w:t>0</w:t>
      </w:r>
      <w:r>
        <w:rPr>
          <w:rFonts w:ascii="仿宋" w:eastAsia="仿宋" w:hAnsi="仿宋" w:cs="仿宋" w:hint="eastAsia"/>
          <w:sz w:val="32"/>
          <w:szCs w:val="32"/>
        </w:rPr>
        <w:t>人。</w:t>
      </w:r>
    </w:p>
    <w:p w:rsidR="00DA32CE" w:rsidRDefault="00DA32CE" w:rsidP="00DA32CE">
      <w:pPr>
        <w:spacing w:line="580" w:lineRule="exact"/>
        <w:ind w:firstLineChars="200" w:firstLine="640"/>
        <w:rPr>
          <w:rFonts w:ascii="仿宋" w:eastAsia="仿宋" w:hAnsi="仿宋" w:cs="仿宋"/>
          <w:sz w:val="32"/>
          <w:szCs w:val="32"/>
        </w:rPr>
      </w:pPr>
    </w:p>
    <w:p w:rsidR="00DA32CE" w:rsidRDefault="00DA32CE" w:rsidP="00DA32CE">
      <w:pPr>
        <w:numPr>
          <w:ilvl w:val="0"/>
          <w:numId w:val="1"/>
        </w:num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机构职能。</w:t>
      </w:r>
    </w:p>
    <w:p w:rsidR="00DA32CE" w:rsidRDefault="00DA32CE" w:rsidP="00DA32CE">
      <w:pPr>
        <w:spacing w:line="60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、指导基层妇联的宣传舆论工作。教育、引导广大妇女，开展妇女职业技术培训和多层次的妇女干部培训，全面提高素质，促进妇女人才成长。</w:t>
      </w:r>
    </w:p>
    <w:p w:rsidR="00DA32CE" w:rsidRDefault="00DA32CE" w:rsidP="00DA32CE">
      <w:pPr>
        <w:spacing w:line="60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、代表妇女参与国家和社会事务的民主管理、民主监督，促进妇女参政，维护妇女儿童的合法权益。为妇女儿童办实事、办好事。建立与各族各界妇女的联系，巩固妇女的大团结。</w:t>
      </w:r>
    </w:p>
    <w:p w:rsidR="00DA32CE" w:rsidRDefault="00DA32CE" w:rsidP="00DA32CE">
      <w:pPr>
        <w:spacing w:line="60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承办县委、县政府交办的有关事项。培养和造就有理想、有道德、有文化、有纪律的妇女队伍，推动全县五个黑水建设（活力黑水、法治黑水、生态黑水、开放黑水、幸福黑水）协调发展，为构建和谐黑水作出应有的贡献。</w:t>
      </w:r>
    </w:p>
    <w:p w:rsidR="00DA32CE" w:rsidRDefault="00DA32CE" w:rsidP="00DA32CE">
      <w:pPr>
        <w:snapToGrid w:val="0"/>
        <w:spacing w:line="520" w:lineRule="exact"/>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承担县委、县政府、州妇联交办的其他工作。</w:t>
      </w:r>
    </w:p>
    <w:p w:rsidR="00DA32CE" w:rsidRDefault="00DA32CE" w:rsidP="00DA32CE">
      <w:pPr>
        <w:spacing w:line="580" w:lineRule="exact"/>
        <w:ind w:firstLine="420"/>
        <w:rPr>
          <w:rFonts w:ascii="仿宋" w:eastAsia="仿宋" w:hAnsi="仿宋" w:cs="仿宋"/>
          <w:sz w:val="32"/>
          <w:szCs w:val="32"/>
        </w:rPr>
      </w:pPr>
    </w:p>
    <w:p w:rsidR="00DA32CE" w:rsidRDefault="00DA32CE" w:rsidP="00DA32CE">
      <w:pPr>
        <w:numPr>
          <w:ilvl w:val="0"/>
          <w:numId w:val="1"/>
        </w:num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人员概况。</w:t>
      </w:r>
    </w:p>
    <w:p w:rsidR="00DA32CE" w:rsidRDefault="00DA32CE" w:rsidP="00DA32C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单位总编制</w:t>
      </w:r>
      <w:r>
        <w:rPr>
          <w:rFonts w:ascii="仿宋" w:eastAsia="仿宋" w:hAnsi="仿宋" w:cs="仿宋"/>
          <w:sz w:val="32"/>
          <w:szCs w:val="32"/>
        </w:rPr>
        <w:t>3</w:t>
      </w:r>
      <w:r>
        <w:rPr>
          <w:rFonts w:ascii="仿宋" w:eastAsia="仿宋" w:hAnsi="仿宋" w:cs="仿宋" w:hint="eastAsia"/>
          <w:sz w:val="32"/>
          <w:szCs w:val="32"/>
        </w:rPr>
        <w:t>名，其中：行政编制</w:t>
      </w:r>
      <w:r>
        <w:rPr>
          <w:rFonts w:ascii="仿宋" w:eastAsia="仿宋" w:hAnsi="仿宋" w:cs="仿宋"/>
          <w:sz w:val="32"/>
          <w:szCs w:val="32"/>
        </w:rPr>
        <w:t>2</w:t>
      </w:r>
      <w:r>
        <w:rPr>
          <w:rFonts w:ascii="仿宋" w:eastAsia="仿宋" w:hAnsi="仿宋" w:cs="仿宋" w:hint="eastAsia"/>
          <w:sz w:val="32"/>
          <w:szCs w:val="32"/>
        </w:rPr>
        <w:t>名，工勤</w:t>
      </w:r>
      <w:r>
        <w:rPr>
          <w:rFonts w:ascii="仿宋" w:eastAsia="仿宋" w:hAnsi="仿宋" w:cs="仿宋"/>
          <w:sz w:val="32"/>
          <w:szCs w:val="32"/>
        </w:rPr>
        <w:t>1</w:t>
      </w:r>
      <w:r>
        <w:rPr>
          <w:rFonts w:ascii="仿宋" w:eastAsia="仿宋" w:hAnsi="仿宋" w:cs="仿宋" w:hint="eastAsia"/>
          <w:sz w:val="32"/>
          <w:szCs w:val="32"/>
        </w:rPr>
        <w:t>名。在职人员总数</w:t>
      </w:r>
      <w:r>
        <w:rPr>
          <w:rFonts w:ascii="仿宋" w:eastAsia="仿宋" w:hAnsi="仿宋" w:cs="仿宋"/>
          <w:sz w:val="32"/>
          <w:szCs w:val="32"/>
        </w:rPr>
        <w:t>6</w:t>
      </w:r>
      <w:r>
        <w:rPr>
          <w:rFonts w:ascii="仿宋" w:eastAsia="仿宋" w:hAnsi="仿宋" w:cs="仿宋" w:hint="eastAsia"/>
          <w:sz w:val="32"/>
          <w:szCs w:val="32"/>
        </w:rPr>
        <w:t>人；退休人员</w:t>
      </w:r>
      <w:r>
        <w:rPr>
          <w:rFonts w:ascii="仿宋" w:eastAsia="仿宋" w:hAnsi="仿宋" w:cs="仿宋"/>
          <w:sz w:val="32"/>
          <w:szCs w:val="32"/>
        </w:rPr>
        <w:t>0</w:t>
      </w:r>
      <w:r>
        <w:rPr>
          <w:rFonts w:ascii="仿宋" w:eastAsia="仿宋" w:hAnsi="仿宋" w:cs="仿宋" w:hint="eastAsia"/>
          <w:sz w:val="32"/>
          <w:szCs w:val="32"/>
        </w:rPr>
        <w:t>人。</w:t>
      </w:r>
    </w:p>
    <w:p w:rsidR="00DA32CE" w:rsidRDefault="00DA32CE" w:rsidP="00DA32CE">
      <w:pPr>
        <w:numPr>
          <w:ilvl w:val="0"/>
          <w:numId w:val="2"/>
        </w:num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部门财政资金收支情况</w:t>
      </w:r>
    </w:p>
    <w:p w:rsidR="00DA32CE" w:rsidRDefault="00DA32CE" w:rsidP="00DA32CE">
      <w:pPr>
        <w:numPr>
          <w:ilvl w:val="0"/>
          <w:numId w:val="3"/>
        </w:num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部门财政资金收入情况。</w:t>
      </w:r>
    </w:p>
    <w:p w:rsidR="00DA32CE" w:rsidRDefault="00DA32CE" w:rsidP="00DA32CE">
      <w:pPr>
        <w:snapToGrid w:val="0"/>
        <w:spacing w:line="360" w:lineRule="auto"/>
        <w:ind w:firstLineChars="200" w:firstLine="640"/>
        <w:jc w:val="left"/>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．收入与预算对比分析</w:t>
      </w:r>
    </w:p>
    <w:p w:rsidR="00DA32CE" w:rsidRDefault="00DA32CE" w:rsidP="00DA32CE">
      <w:pPr>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本单位</w:t>
      </w:r>
      <w:r>
        <w:rPr>
          <w:rFonts w:ascii="仿宋" w:eastAsia="仿宋" w:hAnsi="仿宋" w:cs="仿宋"/>
          <w:sz w:val="32"/>
          <w:szCs w:val="32"/>
        </w:rPr>
        <w:t>2018</w:t>
      </w:r>
      <w:r>
        <w:rPr>
          <w:rFonts w:ascii="仿宋" w:eastAsia="仿宋" w:hAnsi="仿宋" w:cs="仿宋" w:hint="eastAsia"/>
          <w:sz w:val="32"/>
          <w:szCs w:val="32"/>
        </w:rPr>
        <w:t>年年初预算安排收入</w:t>
      </w:r>
      <w:r>
        <w:rPr>
          <w:rFonts w:ascii="仿宋" w:eastAsia="仿宋" w:hAnsi="仿宋" w:cs="仿宋"/>
          <w:color w:val="000000"/>
          <w:sz w:val="32"/>
          <w:szCs w:val="32"/>
        </w:rPr>
        <w:t>117.76</w:t>
      </w:r>
      <w:r>
        <w:rPr>
          <w:rFonts w:ascii="仿宋" w:eastAsia="仿宋" w:hAnsi="仿宋" w:cs="仿宋" w:hint="eastAsia"/>
          <w:sz w:val="32"/>
          <w:szCs w:val="32"/>
        </w:rPr>
        <w:t>万元，本年实际收入</w:t>
      </w:r>
      <w:r>
        <w:rPr>
          <w:rFonts w:ascii="仿宋" w:eastAsia="仿宋" w:hAnsi="仿宋" w:cs="仿宋"/>
          <w:sz w:val="32"/>
          <w:szCs w:val="32"/>
        </w:rPr>
        <w:t>159.3</w:t>
      </w:r>
      <w:r>
        <w:rPr>
          <w:rFonts w:ascii="仿宋" w:eastAsia="仿宋" w:hAnsi="仿宋" w:cs="仿宋" w:hint="eastAsia"/>
          <w:sz w:val="32"/>
          <w:szCs w:val="32"/>
        </w:rPr>
        <w:t>万元，本年实际收入与年初预算增加</w:t>
      </w:r>
      <w:r>
        <w:rPr>
          <w:rFonts w:ascii="仿宋" w:eastAsia="仿宋" w:hAnsi="仿宋" w:cs="仿宋"/>
          <w:sz w:val="32"/>
          <w:szCs w:val="32"/>
        </w:rPr>
        <w:t>41.54</w:t>
      </w:r>
      <w:r>
        <w:rPr>
          <w:rFonts w:ascii="仿宋" w:eastAsia="仿宋" w:hAnsi="仿宋" w:cs="仿宋" w:hint="eastAsia"/>
          <w:sz w:val="32"/>
          <w:szCs w:val="32"/>
        </w:rPr>
        <w:t>万元，差异率</w:t>
      </w:r>
      <w:r>
        <w:rPr>
          <w:rFonts w:ascii="仿宋" w:eastAsia="仿宋" w:hAnsi="仿宋" w:cs="仿宋"/>
          <w:sz w:val="32"/>
          <w:szCs w:val="32"/>
        </w:rPr>
        <w:t>35.28%</w:t>
      </w:r>
      <w:r>
        <w:rPr>
          <w:rFonts w:ascii="仿宋" w:eastAsia="仿宋" w:hAnsi="仿宋" w:cs="仿宋" w:hint="eastAsia"/>
          <w:sz w:val="32"/>
          <w:szCs w:val="32"/>
        </w:rPr>
        <w:t>。差异主要原因是本年调资</w:t>
      </w:r>
      <w:r>
        <w:rPr>
          <w:rFonts w:ascii="仿宋" w:eastAsia="仿宋" w:hAnsi="仿宋" w:cs="仿宋"/>
          <w:sz w:val="32"/>
          <w:szCs w:val="32"/>
        </w:rPr>
        <w:t>,</w:t>
      </w:r>
      <w:r>
        <w:rPr>
          <w:rFonts w:ascii="仿宋" w:eastAsia="仿宋" w:hAnsi="仿宋" w:cs="仿宋" w:hint="eastAsia"/>
          <w:sz w:val="32"/>
          <w:szCs w:val="32"/>
        </w:rPr>
        <w:t>社保缴费基数提高。</w:t>
      </w:r>
    </w:p>
    <w:p w:rsidR="00DA32CE" w:rsidRDefault="00DA32CE" w:rsidP="00DA32CE">
      <w:pPr>
        <w:snapToGrid w:val="0"/>
        <w:spacing w:line="360" w:lineRule="auto"/>
        <w:ind w:firstLineChars="200" w:firstLine="640"/>
        <w:jc w:val="left"/>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．本年收入与上年收入的对比分析</w:t>
      </w:r>
    </w:p>
    <w:p w:rsidR="00DA32CE" w:rsidRDefault="00DA32CE" w:rsidP="00DA32CE">
      <w:pPr>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本年度实际收入</w:t>
      </w:r>
      <w:r>
        <w:rPr>
          <w:rFonts w:ascii="仿宋" w:eastAsia="仿宋" w:hAnsi="仿宋" w:cs="仿宋"/>
          <w:sz w:val="32"/>
          <w:szCs w:val="32"/>
        </w:rPr>
        <w:t>159.3</w:t>
      </w:r>
      <w:r>
        <w:rPr>
          <w:rFonts w:ascii="仿宋" w:eastAsia="仿宋" w:hAnsi="仿宋" w:cs="仿宋" w:hint="eastAsia"/>
          <w:sz w:val="32"/>
          <w:szCs w:val="32"/>
        </w:rPr>
        <w:t>万元，比上年度收入</w:t>
      </w:r>
      <w:r>
        <w:rPr>
          <w:rFonts w:ascii="仿宋" w:eastAsia="仿宋" w:hAnsi="仿宋" w:cs="仿宋"/>
          <w:sz w:val="32"/>
          <w:szCs w:val="32"/>
        </w:rPr>
        <w:t>149.79</w:t>
      </w:r>
      <w:r>
        <w:rPr>
          <w:rFonts w:ascii="仿宋" w:eastAsia="仿宋" w:hAnsi="仿宋" w:cs="仿宋" w:hint="eastAsia"/>
          <w:sz w:val="32"/>
          <w:szCs w:val="32"/>
        </w:rPr>
        <w:t>万元增加</w:t>
      </w:r>
      <w:r>
        <w:rPr>
          <w:rFonts w:ascii="仿宋" w:eastAsia="仿宋" w:hAnsi="仿宋" w:cs="仿宋"/>
          <w:sz w:val="32"/>
          <w:szCs w:val="32"/>
        </w:rPr>
        <w:t>9.51</w:t>
      </w:r>
      <w:r>
        <w:rPr>
          <w:rFonts w:ascii="仿宋" w:eastAsia="仿宋" w:hAnsi="仿宋" w:cs="仿宋" w:hint="eastAsia"/>
          <w:sz w:val="32"/>
          <w:szCs w:val="32"/>
        </w:rPr>
        <w:t>万元，增加幅度</w:t>
      </w:r>
      <w:r>
        <w:rPr>
          <w:rFonts w:ascii="仿宋" w:eastAsia="仿宋" w:hAnsi="仿宋" w:cs="仿宋"/>
          <w:sz w:val="32"/>
          <w:szCs w:val="32"/>
        </w:rPr>
        <w:t>6.35%</w:t>
      </w:r>
      <w:r>
        <w:rPr>
          <w:rFonts w:ascii="仿宋" w:eastAsia="仿宋" w:hAnsi="仿宋" w:cs="仿宋" w:hint="eastAsia"/>
          <w:sz w:val="32"/>
          <w:szCs w:val="32"/>
        </w:rPr>
        <w:t>。</w:t>
      </w:r>
    </w:p>
    <w:p w:rsidR="00DA32CE" w:rsidRDefault="00DA32CE" w:rsidP="00DA32CE">
      <w:pPr>
        <w:snapToGrid w:val="0"/>
        <w:spacing w:line="360" w:lineRule="auto"/>
        <w:ind w:firstLineChars="200" w:firstLine="640"/>
        <w:jc w:val="left"/>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．本年收入结构分析：本年收入</w:t>
      </w:r>
      <w:r>
        <w:rPr>
          <w:rFonts w:ascii="仿宋" w:eastAsia="仿宋" w:hAnsi="仿宋" w:cs="仿宋"/>
          <w:sz w:val="32"/>
          <w:szCs w:val="32"/>
        </w:rPr>
        <w:t>159.3</w:t>
      </w:r>
      <w:r>
        <w:rPr>
          <w:rFonts w:ascii="仿宋" w:eastAsia="仿宋" w:hAnsi="仿宋" w:cs="仿宋" w:hint="eastAsia"/>
          <w:sz w:val="32"/>
          <w:szCs w:val="32"/>
        </w:rPr>
        <w:t>万元，其中财政拨款收入</w:t>
      </w:r>
      <w:r>
        <w:rPr>
          <w:rFonts w:ascii="仿宋" w:eastAsia="仿宋" w:hAnsi="仿宋" w:cs="仿宋"/>
          <w:sz w:val="32"/>
          <w:szCs w:val="32"/>
        </w:rPr>
        <w:t>159.3</w:t>
      </w:r>
      <w:r>
        <w:rPr>
          <w:rFonts w:ascii="仿宋" w:eastAsia="仿宋" w:hAnsi="仿宋" w:cs="仿宋" w:hint="eastAsia"/>
          <w:sz w:val="32"/>
          <w:szCs w:val="32"/>
        </w:rPr>
        <w:t>万元，占本年收入的</w:t>
      </w:r>
      <w:r>
        <w:rPr>
          <w:rFonts w:ascii="仿宋" w:eastAsia="仿宋" w:hAnsi="仿宋" w:cs="仿宋"/>
          <w:sz w:val="32"/>
          <w:szCs w:val="32"/>
        </w:rPr>
        <w:t>100%</w:t>
      </w:r>
      <w:r>
        <w:rPr>
          <w:rFonts w:ascii="仿宋" w:eastAsia="仿宋" w:hAnsi="仿宋" w:cs="仿宋" w:hint="eastAsia"/>
          <w:sz w:val="32"/>
          <w:szCs w:val="32"/>
        </w:rPr>
        <w:t>。</w:t>
      </w:r>
    </w:p>
    <w:p w:rsidR="00DA32CE" w:rsidRDefault="00DA32CE" w:rsidP="00DA32CE">
      <w:pPr>
        <w:numPr>
          <w:ilvl w:val="0"/>
          <w:numId w:val="4"/>
        </w:num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部门财政资金支出情况。</w:t>
      </w:r>
    </w:p>
    <w:p w:rsidR="00DA32CE" w:rsidRDefault="00DA32CE" w:rsidP="00DA32CE">
      <w:pPr>
        <w:snapToGrid w:val="0"/>
        <w:spacing w:line="360" w:lineRule="auto"/>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．支出与预算对比分析：本年预算支出</w:t>
      </w:r>
      <w:r>
        <w:rPr>
          <w:rFonts w:ascii="仿宋" w:eastAsia="仿宋" w:hAnsi="仿宋" w:cs="仿宋"/>
          <w:sz w:val="32"/>
          <w:szCs w:val="32"/>
        </w:rPr>
        <w:t>117.76</w:t>
      </w:r>
      <w:r>
        <w:rPr>
          <w:rFonts w:ascii="仿宋" w:eastAsia="仿宋" w:hAnsi="仿宋" w:cs="仿宋" w:hint="eastAsia"/>
          <w:sz w:val="32"/>
          <w:szCs w:val="32"/>
        </w:rPr>
        <w:t>万元，本年决算数支出</w:t>
      </w:r>
      <w:r>
        <w:rPr>
          <w:rFonts w:ascii="仿宋" w:eastAsia="仿宋" w:hAnsi="仿宋" w:cs="仿宋"/>
          <w:sz w:val="32"/>
          <w:szCs w:val="32"/>
        </w:rPr>
        <w:t>178.8</w:t>
      </w:r>
      <w:r>
        <w:rPr>
          <w:rFonts w:ascii="仿宋" w:eastAsia="仿宋" w:hAnsi="仿宋" w:cs="仿宋" w:hint="eastAsia"/>
          <w:sz w:val="32"/>
          <w:szCs w:val="32"/>
        </w:rPr>
        <w:t>万元，本年实际支出比预算支出增加</w:t>
      </w:r>
      <w:r>
        <w:rPr>
          <w:rFonts w:ascii="仿宋" w:eastAsia="仿宋" w:hAnsi="仿宋" w:cs="仿宋"/>
          <w:sz w:val="32"/>
          <w:szCs w:val="32"/>
        </w:rPr>
        <w:lastRenderedPageBreak/>
        <w:t>61.04</w:t>
      </w:r>
      <w:r>
        <w:rPr>
          <w:rFonts w:ascii="仿宋" w:eastAsia="仿宋" w:hAnsi="仿宋" w:cs="仿宋" w:hint="eastAsia"/>
          <w:sz w:val="32"/>
          <w:szCs w:val="32"/>
        </w:rPr>
        <w:t>万元，差异率</w:t>
      </w:r>
      <w:r>
        <w:rPr>
          <w:rFonts w:ascii="仿宋" w:eastAsia="仿宋" w:hAnsi="仿宋" w:cs="仿宋"/>
          <w:sz w:val="32"/>
          <w:szCs w:val="32"/>
        </w:rPr>
        <w:t>51.83%</w:t>
      </w:r>
      <w:r>
        <w:rPr>
          <w:rFonts w:ascii="仿宋" w:eastAsia="仿宋" w:hAnsi="仿宋" w:cs="仿宋" w:hint="eastAsia"/>
          <w:sz w:val="32"/>
          <w:szCs w:val="32"/>
        </w:rPr>
        <w:t>。实际支出增加主要原因是本年调资及使用存量基金及财政返还。</w:t>
      </w:r>
      <w:r>
        <w:rPr>
          <w:rFonts w:ascii="仿宋" w:eastAsia="仿宋" w:hAnsi="仿宋" w:cs="仿宋"/>
          <w:sz w:val="32"/>
          <w:szCs w:val="32"/>
        </w:rPr>
        <w:t xml:space="preserve"> </w:t>
      </w:r>
    </w:p>
    <w:p w:rsidR="00DA32CE" w:rsidRDefault="00DA32CE" w:rsidP="00DA32CE">
      <w:pPr>
        <w:snapToGrid w:val="0"/>
        <w:spacing w:line="360" w:lineRule="auto"/>
        <w:ind w:firstLine="630"/>
        <w:jc w:val="left"/>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．本年支出与上年支出的对比分析</w:t>
      </w:r>
      <w:r>
        <w:rPr>
          <w:rFonts w:ascii="仿宋" w:eastAsia="仿宋" w:hAnsi="仿宋" w:cs="仿宋"/>
          <w:sz w:val="32"/>
          <w:szCs w:val="32"/>
        </w:rPr>
        <w:t xml:space="preserve">: </w:t>
      </w:r>
      <w:r>
        <w:rPr>
          <w:rFonts w:ascii="仿宋" w:eastAsia="仿宋" w:hAnsi="仿宋" w:cs="仿宋" w:hint="eastAsia"/>
          <w:sz w:val="32"/>
          <w:szCs w:val="32"/>
        </w:rPr>
        <w:t>本年度实际支出</w:t>
      </w:r>
      <w:r>
        <w:rPr>
          <w:rFonts w:ascii="仿宋" w:eastAsia="仿宋" w:hAnsi="仿宋" w:cs="仿宋"/>
          <w:sz w:val="32"/>
          <w:szCs w:val="32"/>
        </w:rPr>
        <w:t>178.8</w:t>
      </w:r>
      <w:r>
        <w:rPr>
          <w:rFonts w:ascii="仿宋" w:eastAsia="仿宋" w:hAnsi="仿宋" w:cs="仿宋" w:hint="eastAsia"/>
          <w:sz w:val="32"/>
          <w:szCs w:val="32"/>
        </w:rPr>
        <w:t>万元，比上年度</w:t>
      </w:r>
      <w:r>
        <w:rPr>
          <w:rFonts w:ascii="仿宋" w:eastAsia="仿宋" w:hAnsi="仿宋" w:cs="仿宋"/>
          <w:sz w:val="32"/>
          <w:szCs w:val="32"/>
        </w:rPr>
        <w:t>183.51</w:t>
      </w:r>
      <w:r>
        <w:rPr>
          <w:rFonts w:ascii="仿宋" w:eastAsia="仿宋" w:hAnsi="仿宋" w:cs="仿宋" w:hint="eastAsia"/>
          <w:sz w:val="32"/>
          <w:szCs w:val="32"/>
        </w:rPr>
        <w:t>万元，减少</w:t>
      </w:r>
      <w:r>
        <w:rPr>
          <w:rFonts w:ascii="仿宋" w:eastAsia="仿宋" w:hAnsi="仿宋" w:cs="仿宋"/>
          <w:sz w:val="32"/>
          <w:szCs w:val="32"/>
        </w:rPr>
        <w:t>4.71</w:t>
      </w:r>
      <w:r>
        <w:rPr>
          <w:rFonts w:ascii="仿宋" w:eastAsia="仿宋" w:hAnsi="仿宋" w:cs="仿宋" w:hint="eastAsia"/>
          <w:sz w:val="32"/>
          <w:szCs w:val="32"/>
        </w:rPr>
        <w:t>万元，增幅率</w:t>
      </w:r>
      <w:r>
        <w:rPr>
          <w:rFonts w:ascii="仿宋" w:eastAsia="仿宋" w:hAnsi="仿宋" w:cs="仿宋"/>
          <w:sz w:val="32"/>
          <w:szCs w:val="32"/>
        </w:rPr>
        <w:t>2.57%,</w:t>
      </w:r>
      <w:r>
        <w:rPr>
          <w:rFonts w:ascii="仿宋" w:eastAsia="仿宋" w:hAnsi="仿宋" w:cs="仿宋" w:hint="eastAsia"/>
          <w:sz w:val="32"/>
          <w:szCs w:val="32"/>
        </w:rPr>
        <w:t>差异原因主要是因为本年调资，目标奖使用财政统筹安排资金，未纳入本年安排。</w:t>
      </w:r>
    </w:p>
    <w:p w:rsidR="00DA32CE" w:rsidRDefault="00DA32CE" w:rsidP="00DA32CE">
      <w:pPr>
        <w:snapToGrid w:val="0"/>
        <w:spacing w:line="360" w:lineRule="auto"/>
        <w:ind w:firstLine="630"/>
        <w:jc w:val="left"/>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本年支出结构分析</w:t>
      </w:r>
      <w:r>
        <w:rPr>
          <w:rFonts w:ascii="仿宋" w:eastAsia="仿宋" w:hAnsi="仿宋" w:cs="仿宋"/>
          <w:sz w:val="32"/>
          <w:szCs w:val="32"/>
        </w:rPr>
        <w:t xml:space="preserve">: </w:t>
      </w:r>
      <w:r>
        <w:rPr>
          <w:rFonts w:ascii="仿宋" w:eastAsia="仿宋" w:hAnsi="仿宋" w:cs="仿宋" w:hint="eastAsia"/>
          <w:sz w:val="32"/>
          <w:szCs w:val="32"/>
        </w:rPr>
        <w:t>本年支出</w:t>
      </w:r>
      <w:r>
        <w:rPr>
          <w:rFonts w:ascii="仿宋" w:eastAsia="仿宋" w:hAnsi="仿宋" w:cs="仿宋"/>
          <w:sz w:val="32"/>
          <w:szCs w:val="32"/>
        </w:rPr>
        <w:t>178.8</w:t>
      </w:r>
      <w:r>
        <w:rPr>
          <w:rFonts w:ascii="仿宋" w:eastAsia="仿宋" w:hAnsi="仿宋" w:cs="仿宋" w:hint="eastAsia"/>
          <w:sz w:val="32"/>
          <w:szCs w:val="32"/>
        </w:rPr>
        <w:t>万元，按资金来源分析：其中财政拨款支出</w:t>
      </w:r>
      <w:r>
        <w:rPr>
          <w:rFonts w:ascii="仿宋" w:eastAsia="仿宋" w:hAnsi="仿宋" w:cs="仿宋"/>
          <w:sz w:val="32"/>
          <w:szCs w:val="32"/>
        </w:rPr>
        <w:t>178.8</w:t>
      </w:r>
      <w:r>
        <w:rPr>
          <w:rFonts w:ascii="仿宋" w:eastAsia="仿宋" w:hAnsi="仿宋" w:cs="仿宋" w:hint="eastAsia"/>
          <w:sz w:val="32"/>
          <w:szCs w:val="32"/>
        </w:rPr>
        <w:t>万元，占本年总支出的</w:t>
      </w:r>
      <w:r>
        <w:rPr>
          <w:rFonts w:ascii="仿宋" w:eastAsia="仿宋" w:hAnsi="仿宋" w:cs="仿宋"/>
          <w:sz w:val="32"/>
          <w:szCs w:val="32"/>
        </w:rPr>
        <w:t>100%</w:t>
      </w:r>
      <w:r>
        <w:rPr>
          <w:rFonts w:ascii="仿宋" w:eastAsia="仿宋" w:hAnsi="仿宋" w:cs="仿宋" w:hint="eastAsia"/>
          <w:sz w:val="32"/>
          <w:szCs w:val="32"/>
        </w:rPr>
        <w:t>，按支出性质分析：基本支出</w:t>
      </w:r>
      <w:r>
        <w:rPr>
          <w:rFonts w:ascii="仿宋" w:eastAsia="仿宋" w:hAnsi="仿宋" w:cs="仿宋"/>
          <w:sz w:val="32"/>
          <w:szCs w:val="32"/>
        </w:rPr>
        <w:t>144.65</w:t>
      </w:r>
      <w:r>
        <w:rPr>
          <w:rFonts w:ascii="仿宋" w:eastAsia="仿宋" w:hAnsi="仿宋" w:cs="仿宋" w:hint="eastAsia"/>
          <w:sz w:val="32"/>
          <w:szCs w:val="32"/>
        </w:rPr>
        <w:t>万元，占本年总支出的</w:t>
      </w:r>
      <w:r>
        <w:rPr>
          <w:rFonts w:ascii="仿宋" w:eastAsia="仿宋" w:hAnsi="仿宋" w:cs="仿宋"/>
          <w:sz w:val="32"/>
          <w:szCs w:val="32"/>
        </w:rPr>
        <w:t>80.9%</w:t>
      </w:r>
      <w:r>
        <w:rPr>
          <w:rFonts w:ascii="仿宋" w:eastAsia="仿宋" w:hAnsi="仿宋" w:cs="仿宋" w:hint="eastAsia"/>
          <w:sz w:val="32"/>
          <w:szCs w:val="32"/>
        </w:rPr>
        <w:t>；项目支出</w:t>
      </w:r>
      <w:r>
        <w:rPr>
          <w:rFonts w:ascii="仿宋" w:eastAsia="仿宋" w:hAnsi="仿宋" w:cs="仿宋"/>
          <w:sz w:val="32"/>
          <w:szCs w:val="32"/>
        </w:rPr>
        <w:t>34.15</w:t>
      </w:r>
      <w:r>
        <w:rPr>
          <w:rFonts w:ascii="仿宋" w:eastAsia="仿宋" w:hAnsi="仿宋" w:cs="仿宋" w:hint="eastAsia"/>
          <w:sz w:val="32"/>
          <w:szCs w:val="32"/>
        </w:rPr>
        <w:t>万元，占本年总支出的</w:t>
      </w:r>
      <w:r>
        <w:rPr>
          <w:rFonts w:ascii="仿宋" w:eastAsia="仿宋" w:hAnsi="仿宋" w:cs="仿宋"/>
          <w:sz w:val="32"/>
          <w:szCs w:val="32"/>
        </w:rPr>
        <w:t>19.1%</w:t>
      </w:r>
      <w:r>
        <w:rPr>
          <w:rFonts w:ascii="仿宋" w:eastAsia="仿宋" w:hAnsi="仿宋" w:cs="仿宋" w:hint="eastAsia"/>
          <w:sz w:val="32"/>
          <w:szCs w:val="32"/>
        </w:rPr>
        <w:t>按支出经济分类：工资福利支出</w:t>
      </w:r>
      <w:r>
        <w:rPr>
          <w:rFonts w:ascii="仿宋" w:eastAsia="仿宋" w:hAnsi="仿宋" w:cs="仿宋"/>
          <w:sz w:val="32"/>
          <w:szCs w:val="32"/>
        </w:rPr>
        <w:t>111.72</w:t>
      </w:r>
      <w:r>
        <w:rPr>
          <w:rFonts w:ascii="仿宋" w:eastAsia="仿宋" w:hAnsi="仿宋" w:cs="仿宋" w:hint="eastAsia"/>
          <w:sz w:val="32"/>
          <w:szCs w:val="32"/>
        </w:rPr>
        <w:t>万元，占总支出</w:t>
      </w:r>
      <w:r>
        <w:rPr>
          <w:rFonts w:ascii="仿宋" w:eastAsia="仿宋" w:hAnsi="仿宋" w:cs="仿宋"/>
          <w:sz w:val="32"/>
          <w:szCs w:val="32"/>
        </w:rPr>
        <w:t>62.48%</w:t>
      </w:r>
      <w:r>
        <w:rPr>
          <w:rFonts w:ascii="仿宋" w:eastAsia="仿宋" w:hAnsi="仿宋" w:cs="仿宋" w:hint="eastAsia"/>
          <w:sz w:val="32"/>
          <w:szCs w:val="32"/>
        </w:rPr>
        <w:t>，商品服务支出</w:t>
      </w:r>
      <w:r>
        <w:rPr>
          <w:rFonts w:ascii="仿宋" w:eastAsia="仿宋" w:hAnsi="仿宋" w:cs="仿宋"/>
          <w:sz w:val="32"/>
          <w:szCs w:val="32"/>
        </w:rPr>
        <w:t>23.65</w:t>
      </w:r>
      <w:r>
        <w:rPr>
          <w:rFonts w:ascii="仿宋" w:eastAsia="仿宋" w:hAnsi="仿宋" w:cs="仿宋" w:hint="eastAsia"/>
          <w:sz w:val="32"/>
          <w:szCs w:val="32"/>
        </w:rPr>
        <w:t>万元，占总支出</w:t>
      </w:r>
      <w:r>
        <w:rPr>
          <w:rFonts w:ascii="仿宋" w:eastAsia="仿宋" w:hAnsi="仿宋" w:cs="仿宋"/>
          <w:sz w:val="32"/>
          <w:szCs w:val="32"/>
        </w:rPr>
        <w:t>13.23%</w:t>
      </w:r>
      <w:r>
        <w:rPr>
          <w:rFonts w:ascii="仿宋" w:eastAsia="仿宋" w:hAnsi="仿宋" w:cs="仿宋" w:hint="eastAsia"/>
          <w:sz w:val="32"/>
          <w:szCs w:val="32"/>
        </w:rPr>
        <w:t>，对个人家庭补助支出</w:t>
      </w:r>
      <w:r>
        <w:rPr>
          <w:rFonts w:ascii="仿宋" w:eastAsia="仿宋" w:hAnsi="仿宋" w:cs="仿宋"/>
          <w:sz w:val="32"/>
          <w:szCs w:val="32"/>
        </w:rPr>
        <w:t>43.43</w:t>
      </w:r>
      <w:r>
        <w:rPr>
          <w:rFonts w:ascii="仿宋" w:eastAsia="仿宋" w:hAnsi="仿宋" w:cs="仿宋" w:hint="eastAsia"/>
          <w:sz w:val="32"/>
          <w:szCs w:val="32"/>
        </w:rPr>
        <w:t>万元，占总支出</w:t>
      </w:r>
      <w:r>
        <w:rPr>
          <w:rFonts w:ascii="仿宋" w:eastAsia="仿宋" w:hAnsi="仿宋" w:cs="仿宋"/>
          <w:sz w:val="32"/>
          <w:szCs w:val="32"/>
        </w:rPr>
        <w:t>24.29%</w:t>
      </w:r>
      <w:r>
        <w:rPr>
          <w:rFonts w:ascii="仿宋" w:eastAsia="仿宋" w:hAnsi="仿宋" w:cs="仿宋" w:hint="eastAsia"/>
          <w:sz w:val="32"/>
          <w:szCs w:val="32"/>
        </w:rPr>
        <w:t>。</w:t>
      </w:r>
      <w:r>
        <w:rPr>
          <w:rFonts w:ascii="仿宋" w:eastAsia="仿宋" w:hAnsi="仿宋" w:cs="仿宋"/>
          <w:sz w:val="32"/>
          <w:szCs w:val="32"/>
        </w:rPr>
        <w:t xml:space="preserve"> </w:t>
      </w:r>
    </w:p>
    <w:p w:rsidR="00DA32CE" w:rsidRDefault="00DA32CE" w:rsidP="00DA32C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三、部门整体预算绩效管理情况（根据适用指标体系进行调整）</w:t>
      </w:r>
    </w:p>
    <w:p w:rsidR="00DA32CE" w:rsidRDefault="00DA32CE" w:rsidP="00DA32C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（一）部门预算管理。</w:t>
      </w:r>
    </w:p>
    <w:p w:rsidR="00DA32CE" w:rsidRDefault="00DA32CE" w:rsidP="00DA32CE">
      <w:pPr>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color w:val="000000"/>
          <w:sz w:val="32"/>
          <w:szCs w:val="32"/>
        </w:rPr>
        <w:t>严格按照州、县预算编制要求，按时完成了基础信息、</w:t>
      </w:r>
      <w:r>
        <w:rPr>
          <w:rFonts w:ascii="仿宋" w:eastAsia="仿宋" w:hAnsi="仿宋" w:cs="仿宋" w:hint="eastAsia"/>
          <w:color w:val="000000"/>
          <w:sz w:val="32"/>
          <w:szCs w:val="32"/>
        </w:rPr>
        <w:lastRenderedPageBreak/>
        <w:t>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r>
        <w:rPr>
          <w:rFonts w:ascii="仿宋" w:eastAsia="仿宋" w:hAnsi="仿宋" w:cs="仿宋" w:hint="eastAsia"/>
          <w:sz w:val="32"/>
          <w:szCs w:val="32"/>
        </w:rPr>
        <w:t>本单位</w:t>
      </w:r>
      <w:r>
        <w:rPr>
          <w:rFonts w:ascii="仿宋" w:eastAsia="仿宋" w:hAnsi="仿宋" w:cs="仿宋"/>
          <w:sz w:val="32"/>
          <w:szCs w:val="32"/>
        </w:rPr>
        <w:t>2019</w:t>
      </w:r>
      <w:r>
        <w:rPr>
          <w:rFonts w:ascii="仿宋" w:eastAsia="仿宋" w:hAnsi="仿宋" w:cs="仿宋" w:hint="eastAsia"/>
          <w:sz w:val="32"/>
          <w:szCs w:val="32"/>
        </w:rPr>
        <w:t>年年初预算安排收入</w:t>
      </w:r>
      <w:r>
        <w:rPr>
          <w:rFonts w:ascii="仿宋" w:eastAsia="仿宋" w:hAnsi="仿宋" w:cs="仿宋"/>
          <w:sz w:val="32"/>
          <w:szCs w:val="32"/>
        </w:rPr>
        <w:t>117.76</w:t>
      </w:r>
      <w:r>
        <w:rPr>
          <w:rFonts w:ascii="仿宋" w:eastAsia="仿宋" w:hAnsi="仿宋" w:cs="仿宋" w:hint="eastAsia"/>
          <w:sz w:val="32"/>
          <w:szCs w:val="32"/>
        </w:rPr>
        <w:t>万元</w:t>
      </w:r>
      <w:r>
        <w:rPr>
          <w:rFonts w:ascii="仿宋" w:eastAsia="仿宋" w:hAnsi="仿宋" w:cs="仿宋"/>
          <w:sz w:val="32"/>
          <w:szCs w:val="32"/>
        </w:rPr>
        <w:t xml:space="preserve">, </w:t>
      </w:r>
      <w:r>
        <w:rPr>
          <w:rFonts w:ascii="仿宋" w:eastAsia="仿宋" w:hAnsi="仿宋" w:cs="仿宋" w:hint="eastAsia"/>
          <w:sz w:val="32"/>
          <w:szCs w:val="32"/>
        </w:rPr>
        <w:t>本年预算支出</w:t>
      </w:r>
      <w:r>
        <w:rPr>
          <w:rFonts w:ascii="仿宋" w:eastAsia="仿宋" w:hAnsi="仿宋" w:cs="仿宋"/>
          <w:sz w:val="32"/>
          <w:szCs w:val="32"/>
        </w:rPr>
        <w:t>117.76</w:t>
      </w:r>
      <w:r>
        <w:rPr>
          <w:rFonts w:ascii="仿宋" w:eastAsia="仿宋" w:hAnsi="仿宋" w:cs="仿宋" w:hint="eastAsia"/>
          <w:sz w:val="32"/>
          <w:szCs w:val="32"/>
        </w:rPr>
        <w:t>万元。</w:t>
      </w:r>
    </w:p>
    <w:p w:rsidR="00DA32CE" w:rsidRDefault="00DA32CE" w:rsidP="00DA32CE">
      <w:pPr>
        <w:snapToGrid w:val="0"/>
        <w:spacing w:line="360" w:lineRule="auto"/>
        <w:jc w:val="lef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包括部门绩效目标制定、目标完成、预算编制准确、支出控制、预算动态调整、执行进度、预算完成情况和违规记录等情况。</w:t>
      </w:r>
      <w:r>
        <w:rPr>
          <w:rFonts w:ascii="仿宋" w:eastAsia="仿宋" w:hAnsi="仿宋" w:cs="仿宋"/>
          <w:sz w:val="32"/>
          <w:szCs w:val="32"/>
        </w:rPr>
        <w:t>)</w:t>
      </w:r>
    </w:p>
    <w:p w:rsidR="00DA32CE" w:rsidRDefault="00DA32CE" w:rsidP="00DA32CE">
      <w:pPr>
        <w:numPr>
          <w:ilvl w:val="0"/>
          <w:numId w:val="4"/>
        </w:num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专项预算管理。</w:t>
      </w:r>
    </w:p>
    <w:p w:rsidR="00DA32CE" w:rsidRDefault="00DA32CE" w:rsidP="00DA32CE">
      <w:pPr>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sz w:val="32"/>
          <w:szCs w:val="32"/>
        </w:rPr>
        <w:t>严格执行“厉行节约、反对浪费”的规定，严格控制“三公”经费支出，加强公务用车管理，努力降低燃修费用，“三公”经费较上年有所下降。</w:t>
      </w:r>
      <w:r>
        <w:rPr>
          <w:rFonts w:ascii="仿宋" w:eastAsia="仿宋" w:hAnsi="仿宋" w:cs="仿宋" w:hint="eastAsia"/>
          <w:sz w:val="32"/>
          <w:szCs w:val="32"/>
        </w:rPr>
        <w:t>本年支出</w:t>
      </w:r>
      <w:r>
        <w:rPr>
          <w:rFonts w:ascii="仿宋" w:eastAsia="仿宋" w:hAnsi="仿宋" w:cs="仿宋"/>
          <w:sz w:val="32"/>
          <w:szCs w:val="32"/>
        </w:rPr>
        <w:t>178.8</w:t>
      </w:r>
      <w:r>
        <w:rPr>
          <w:rFonts w:ascii="仿宋" w:eastAsia="仿宋" w:hAnsi="仿宋" w:cs="仿宋" w:hint="eastAsia"/>
          <w:sz w:val="32"/>
          <w:szCs w:val="32"/>
        </w:rPr>
        <w:t>万元，按资金来源分析：其中财政拨款支出</w:t>
      </w:r>
      <w:r>
        <w:rPr>
          <w:rFonts w:ascii="仿宋" w:eastAsia="仿宋" w:hAnsi="仿宋" w:cs="仿宋"/>
          <w:sz w:val="32"/>
          <w:szCs w:val="32"/>
        </w:rPr>
        <w:t>178.8</w:t>
      </w:r>
      <w:r>
        <w:rPr>
          <w:rFonts w:ascii="仿宋" w:eastAsia="仿宋" w:hAnsi="仿宋" w:cs="仿宋" w:hint="eastAsia"/>
          <w:sz w:val="32"/>
          <w:szCs w:val="32"/>
        </w:rPr>
        <w:t>万元，占本年总支出的</w:t>
      </w:r>
      <w:r>
        <w:rPr>
          <w:rFonts w:ascii="仿宋" w:eastAsia="仿宋" w:hAnsi="仿宋" w:cs="仿宋"/>
          <w:sz w:val="32"/>
          <w:szCs w:val="32"/>
        </w:rPr>
        <w:t>100%</w:t>
      </w:r>
      <w:r>
        <w:rPr>
          <w:rFonts w:ascii="仿宋" w:eastAsia="仿宋" w:hAnsi="仿宋" w:cs="仿宋" w:hint="eastAsia"/>
          <w:sz w:val="32"/>
          <w:szCs w:val="32"/>
        </w:rPr>
        <w:t>，按支出性质分析：基本支出</w:t>
      </w:r>
      <w:r>
        <w:rPr>
          <w:rFonts w:ascii="仿宋" w:eastAsia="仿宋" w:hAnsi="仿宋" w:cs="仿宋"/>
          <w:sz w:val="32"/>
          <w:szCs w:val="32"/>
        </w:rPr>
        <w:t>144.65</w:t>
      </w:r>
      <w:r>
        <w:rPr>
          <w:rFonts w:ascii="仿宋" w:eastAsia="仿宋" w:hAnsi="仿宋" w:cs="仿宋" w:hint="eastAsia"/>
          <w:sz w:val="32"/>
          <w:szCs w:val="32"/>
        </w:rPr>
        <w:t>万元，占本年总支出的</w:t>
      </w:r>
      <w:r>
        <w:rPr>
          <w:rFonts w:ascii="仿宋" w:eastAsia="仿宋" w:hAnsi="仿宋" w:cs="仿宋"/>
          <w:sz w:val="32"/>
          <w:szCs w:val="32"/>
        </w:rPr>
        <w:t>80.9%</w:t>
      </w:r>
      <w:r>
        <w:rPr>
          <w:rFonts w:ascii="仿宋" w:eastAsia="仿宋" w:hAnsi="仿宋" w:cs="仿宋" w:hint="eastAsia"/>
          <w:sz w:val="32"/>
          <w:szCs w:val="32"/>
        </w:rPr>
        <w:t>；项目支出</w:t>
      </w:r>
      <w:r>
        <w:rPr>
          <w:rFonts w:ascii="仿宋" w:eastAsia="仿宋" w:hAnsi="仿宋" w:cs="仿宋"/>
          <w:sz w:val="32"/>
          <w:szCs w:val="32"/>
        </w:rPr>
        <w:t>34.15</w:t>
      </w:r>
      <w:r>
        <w:rPr>
          <w:rFonts w:ascii="仿宋" w:eastAsia="仿宋" w:hAnsi="仿宋" w:cs="仿宋" w:hint="eastAsia"/>
          <w:sz w:val="32"/>
          <w:szCs w:val="32"/>
        </w:rPr>
        <w:t>万元，占本年总支出的</w:t>
      </w:r>
      <w:r>
        <w:rPr>
          <w:rFonts w:ascii="仿宋" w:eastAsia="仿宋" w:hAnsi="仿宋" w:cs="仿宋"/>
          <w:sz w:val="32"/>
          <w:szCs w:val="32"/>
        </w:rPr>
        <w:t>19.1%</w:t>
      </w:r>
      <w:r>
        <w:rPr>
          <w:rFonts w:ascii="仿宋" w:eastAsia="仿宋" w:hAnsi="仿宋" w:cs="仿宋" w:hint="eastAsia"/>
          <w:sz w:val="32"/>
          <w:szCs w:val="32"/>
        </w:rPr>
        <w:t>按支出经济分类：工资福利支出</w:t>
      </w:r>
      <w:r>
        <w:rPr>
          <w:rFonts w:ascii="仿宋" w:eastAsia="仿宋" w:hAnsi="仿宋" w:cs="仿宋"/>
          <w:sz w:val="32"/>
          <w:szCs w:val="32"/>
        </w:rPr>
        <w:t>111.72</w:t>
      </w:r>
      <w:r>
        <w:rPr>
          <w:rFonts w:ascii="仿宋" w:eastAsia="仿宋" w:hAnsi="仿宋" w:cs="仿宋" w:hint="eastAsia"/>
          <w:sz w:val="32"/>
          <w:szCs w:val="32"/>
        </w:rPr>
        <w:t>万元，占总支出</w:t>
      </w:r>
      <w:r>
        <w:rPr>
          <w:rFonts w:ascii="仿宋" w:eastAsia="仿宋" w:hAnsi="仿宋" w:cs="仿宋"/>
          <w:sz w:val="32"/>
          <w:szCs w:val="32"/>
        </w:rPr>
        <w:t>62.48%</w:t>
      </w:r>
      <w:r>
        <w:rPr>
          <w:rFonts w:ascii="仿宋" w:eastAsia="仿宋" w:hAnsi="仿宋" w:cs="仿宋" w:hint="eastAsia"/>
          <w:sz w:val="32"/>
          <w:szCs w:val="32"/>
        </w:rPr>
        <w:t>，商品服务支出</w:t>
      </w:r>
      <w:r>
        <w:rPr>
          <w:rFonts w:ascii="仿宋" w:eastAsia="仿宋" w:hAnsi="仿宋" w:cs="仿宋"/>
          <w:sz w:val="32"/>
          <w:szCs w:val="32"/>
        </w:rPr>
        <w:t>23.65</w:t>
      </w:r>
      <w:r>
        <w:rPr>
          <w:rFonts w:ascii="仿宋" w:eastAsia="仿宋" w:hAnsi="仿宋" w:cs="仿宋" w:hint="eastAsia"/>
          <w:sz w:val="32"/>
          <w:szCs w:val="32"/>
        </w:rPr>
        <w:t>万元，占总支出</w:t>
      </w:r>
      <w:r>
        <w:rPr>
          <w:rFonts w:ascii="仿宋" w:eastAsia="仿宋" w:hAnsi="仿宋" w:cs="仿宋"/>
          <w:sz w:val="32"/>
          <w:szCs w:val="32"/>
        </w:rPr>
        <w:t>13.23%</w:t>
      </w:r>
      <w:r>
        <w:rPr>
          <w:rFonts w:ascii="仿宋" w:eastAsia="仿宋" w:hAnsi="仿宋" w:cs="仿宋" w:hint="eastAsia"/>
          <w:sz w:val="32"/>
          <w:szCs w:val="32"/>
        </w:rPr>
        <w:t>，对个人家庭</w:t>
      </w:r>
      <w:r>
        <w:rPr>
          <w:rFonts w:ascii="仿宋" w:eastAsia="仿宋" w:hAnsi="仿宋" w:cs="仿宋" w:hint="eastAsia"/>
          <w:sz w:val="32"/>
          <w:szCs w:val="32"/>
        </w:rPr>
        <w:lastRenderedPageBreak/>
        <w:t>补助支出</w:t>
      </w:r>
      <w:r>
        <w:rPr>
          <w:rFonts w:ascii="仿宋" w:eastAsia="仿宋" w:hAnsi="仿宋" w:cs="仿宋"/>
          <w:sz w:val="32"/>
          <w:szCs w:val="32"/>
        </w:rPr>
        <w:t>43.43</w:t>
      </w:r>
      <w:r>
        <w:rPr>
          <w:rFonts w:ascii="仿宋" w:eastAsia="仿宋" w:hAnsi="仿宋" w:cs="仿宋" w:hint="eastAsia"/>
          <w:sz w:val="32"/>
          <w:szCs w:val="32"/>
        </w:rPr>
        <w:t>万元，占总支出</w:t>
      </w:r>
      <w:r>
        <w:rPr>
          <w:rFonts w:ascii="仿宋" w:eastAsia="仿宋" w:hAnsi="仿宋" w:cs="仿宋"/>
          <w:sz w:val="32"/>
          <w:szCs w:val="32"/>
        </w:rPr>
        <w:t>24.29%</w:t>
      </w:r>
      <w:r>
        <w:rPr>
          <w:rFonts w:ascii="仿宋" w:eastAsia="仿宋" w:hAnsi="仿宋" w:cs="仿宋" w:hint="eastAsia"/>
          <w:sz w:val="32"/>
          <w:szCs w:val="32"/>
        </w:rPr>
        <w:t>。</w:t>
      </w:r>
    </w:p>
    <w:p w:rsidR="00DA32CE" w:rsidRDefault="00DA32CE" w:rsidP="00DA32CE">
      <w:pPr>
        <w:spacing w:line="580" w:lineRule="exact"/>
        <w:ind w:firstLineChars="200" w:firstLine="64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包括专项预算项目程序严密、规划合理、结果符合、分配科学、分配及时、专项预算绩效目标完成、实施绩效、违规记录等情况。</w:t>
      </w:r>
      <w:r>
        <w:rPr>
          <w:rFonts w:ascii="仿宋" w:eastAsia="仿宋" w:hAnsi="仿宋" w:cs="仿宋"/>
          <w:sz w:val="32"/>
          <w:szCs w:val="32"/>
        </w:rPr>
        <w:t>)</w:t>
      </w:r>
    </w:p>
    <w:p w:rsidR="00DA32CE" w:rsidRDefault="00DA32CE" w:rsidP="00DA32CE">
      <w:pPr>
        <w:numPr>
          <w:ilvl w:val="0"/>
          <w:numId w:val="4"/>
        </w:num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结果应用情况。</w:t>
      </w:r>
    </w:p>
    <w:p w:rsidR="00DA32CE" w:rsidRDefault="00DA32CE" w:rsidP="00DA32CE">
      <w:pPr>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预算支出在保障本局工作运转、履行职能职责上整体情况良好。具体有：</w:t>
      </w:r>
      <w:r>
        <w:rPr>
          <w:rFonts w:ascii="仿宋" w:eastAsia="仿宋" w:hAnsi="仿宋" w:cs="仿宋"/>
          <w:color w:val="000000"/>
          <w:sz w:val="32"/>
          <w:szCs w:val="32"/>
        </w:rPr>
        <w:t>2019</w:t>
      </w:r>
      <w:r>
        <w:rPr>
          <w:rFonts w:ascii="仿宋" w:eastAsia="仿宋" w:hAnsi="仿宋" w:cs="仿宋" w:hint="eastAsia"/>
          <w:color w:val="000000"/>
          <w:sz w:val="32"/>
          <w:szCs w:val="32"/>
        </w:rPr>
        <w:t>年度支出绩效较好，预算编制比较精确、合理</w:t>
      </w:r>
      <w:r>
        <w:rPr>
          <w:rFonts w:ascii="仿宋" w:eastAsia="仿宋" w:hAnsi="仿宋" w:cs="仿宋"/>
          <w:color w:val="000000"/>
          <w:sz w:val="32"/>
          <w:szCs w:val="32"/>
        </w:rPr>
        <w:t>;</w:t>
      </w:r>
      <w:r>
        <w:rPr>
          <w:rFonts w:ascii="仿宋" w:eastAsia="仿宋" w:hAnsi="仿宋" w:cs="仿宋" w:hint="eastAsia"/>
          <w:color w:val="000000"/>
          <w:sz w:val="32"/>
          <w:szCs w:val="32"/>
        </w:rPr>
        <w:t>为认真落实中央“八项”规定等厉行节约，反对浪费规定要求，压缩了部分培训费及一般性支出</w:t>
      </w:r>
      <w:r>
        <w:rPr>
          <w:rFonts w:ascii="仿宋" w:eastAsia="仿宋" w:hAnsi="仿宋" w:cs="仿宋"/>
          <w:color w:val="000000"/>
          <w:sz w:val="32"/>
          <w:szCs w:val="32"/>
        </w:rPr>
        <w:t>;</w:t>
      </w:r>
      <w:r>
        <w:rPr>
          <w:rFonts w:ascii="仿宋" w:eastAsia="仿宋" w:hAnsi="仿宋" w:cs="仿宋" w:hint="eastAsia"/>
          <w:color w:val="000000"/>
          <w:sz w:val="32"/>
          <w:szCs w:val="32"/>
        </w:rPr>
        <w:t>动态优化了年度预算安排，保障了在经费压缩情况下的高效运转</w:t>
      </w:r>
      <w:r>
        <w:rPr>
          <w:rFonts w:ascii="仿宋" w:eastAsia="仿宋" w:hAnsi="仿宋" w:cs="仿宋"/>
          <w:color w:val="000000"/>
          <w:sz w:val="32"/>
          <w:szCs w:val="32"/>
        </w:rPr>
        <w:t>;</w:t>
      </w:r>
      <w:r>
        <w:rPr>
          <w:rFonts w:ascii="仿宋" w:eastAsia="仿宋" w:hAnsi="仿宋" w:cs="仿宋" w:hint="eastAsia"/>
          <w:color w:val="000000"/>
          <w:sz w:val="32"/>
          <w:szCs w:val="32"/>
        </w:rPr>
        <w:t>各项目经费的支出有力保障了办公设备购置等项目所需，推动了改革和各类便民措施的实行</w:t>
      </w:r>
      <w:r>
        <w:rPr>
          <w:rFonts w:ascii="仿宋" w:eastAsia="仿宋" w:hAnsi="仿宋" w:cs="仿宋"/>
          <w:color w:val="000000"/>
          <w:sz w:val="32"/>
          <w:szCs w:val="32"/>
        </w:rPr>
        <w:t>;</w:t>
      </w:r>
      <w:r>
        <w:rPr>
          <w:rFonts w:ascii="仿宋" w:eastAsia="仿宋" w:hAnsi="仿宋" w:cs="仿宋" w:hint="eastAsia"/>
          <w:color w:val="000000"/>
          <w:sz w:val="32"/>
          <w:szCs w:val="32"/>
        </w:rPr>
        <w:t>提高了管理工作的规范化、信息化水平</w:t>
      </w:r>
      <w:r>
        <w:rPr>
          <w:rFonts w:ascii="仿宋" w:eastAsia="仿宋" w:hAnsi="仿宋" w:cs="仿宋"/>
          <w:color w:val="000000"/>
          <w:sz w:val="32"/>
          <w:szCs w:val="32"/>
        </w:rPr>
        <w:t>;</w:t>
      </w:r>
      <w:r>
        <w:rPr>
          <w:rFonts w:ascii="仿宋" w:eastAsia="仿宋" w:hAnsi="仿宋" w:cs="仿宋" w:hint="eastAsia"/>
          <w:color w:val="000000"/>
          <w:sz w:val="32"/>
          <w:szCs w:val="32"/>
        </w:rPr>
        <w:t>强化机关公用经费及日常运行经费管理，对于各科室日常公用经费按照相关政策进行管理，对于办公日常运行维护费用加强审核力度，公用经费及水、电等日常运行经费均有一定下降。</w:t>
      </w:r>
    </w:p>
    <w:p w:rsidR="00DA32CE" w:rsidRDefault="00DA32CE" w:rsidP="00DA32CE">
      <w:pPr>
        <w:spacing w:line="580" w:lineRule="exact"/>
        <w:ind w:firstLineChars="200" w:firstLine="64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包括部门自评质量、绩效目标公开和自评公开、评价结果整改和应用结果反馈等情况。</w:t>
      </w:r>
      <w:r>
        <w:rPr>
          <w:rFonts w:ascii="仿宋" w:eastAsia="仿宋" w:hAnsi="仿宋" w:cs="仿宋"/>
          <w:sz w:val="32"/>
          <w:szCs w:val="32"/>
        </w:rPr>
        <w:t>)</w:t>
      </w:r>
    </w:p>
    <w:p w:rsidR="00DA32CE" w:rsidRDefault="00DA32CE" w:rsidP="00DA32C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四、评价结论及建议</w:t>
      </w:r>
    </w:p>
    <w:p w:rsidR="00DA32CE" w:rsidRDefault="00DA32CE" w:rsidP="00DA32CE">
      <w:pPr>
        <w:spacing w:line="360" w:lineRule="auto"/>
        <w:ind w:firstLine="645"/>
        <w:jc w:val="left"/>
        <w:rPr>
          <w:rFonts w:ascii="仿宋" w:eastAsia="仿宋" w:hAnsi="仿宋" w:cs="仿宋"/>
          <w:color w:val="000000"/>
          <w:sz w:val="32"/>
          <w:szCs w:val="32"/>
        </w:rPr>
      </w:pPr>
      <w:r>
        <w:rPr>
          <w:rFonts w:ascii="仿宋" w:eastAsia="仿宋" w:hAnsi="仿宋" w:cs="仿宋" w:hint="eastAsia"/>
          <w:color w:val="000000"/>
          <w:sz w:val="32"/>
          <w:szCs w:val="32"/>
        </w:rPr>
        <w:t>（一）评价结论</w:t>
      </w:r>
    </w:p>
    <w:p w:rsidR="00DA32CE" w:rsidRDefault="00DA32CE" w:rsidP="00DA32CE">
      <w:pPr>
        <w:spacing w:line="360" w:lineRule="auto"/>
        <w:ind w:firstLine="645"/>
        <w:jc w:val="left"/>
        <w:rPr>
          <w:rFonts w:ascii="仿宋" w:eastAsia="仿宋" w:hAnsi="仿宋" w:cs="仿宋"/>
          <w:color w:val="000000"/>
          <w:sz w:val="32"/>
          <w:szCs w:val="32"/>
        </w:rPr>
      </w:pPr>
      <w:r>
        <w:rPr>
          <w:rFonts w:ascii="仿宋" w:eastAsia="仿宋" w:hAnsi="仿宋" w:cs="仿宋" w:hint="eastAsia"/>
          <w:color w:val="000000"/>
          <w:sz w:val="32"/>
          <w:szCs w:val="32"/>
        </w:rPr>
        <w:t>按照国家政策法规规定，结合本部门的实际情况，建立健全了财务管理制度和约束机制，依法、有效地使用财政资金，提高财政资金使用效率，合理分配人、财、物，完成了</w:t>
      </w:r>
      <w:r>
        <w:rPr>
          <w:rFonts w:ascii="仿宋" w:eastAsia="仿宋" w:hAnsi="仿宋" w:cs="仿宋" w:hint="eastAsia"/>
          <w:color w:val="000000"/>
          <w:sz w:val="32"/>
          <w:szCs w:val="32"/>
        </w:rPr>
        <w:lastRenderedPageBreak/>
        <w:t>部门职能目标，实现了较高的工作效率和支出绩效。</w:t>
      </w:r>
      <w:r>
        <w:rPr>
          <w:rFonts w:ascii="仿宋" w:eastAsia="仿宋" w:hAnsi="仿宋" w:cs="仿宋"/>
          <w:color w:val="000000"/>
          <w:sz w:val="32"/>
          <w:szCs w:val="32"/>
        </w:rPr>
        <w:t> </w:t>
      </w:r>
    </w:p>
    <w:p w:rsidR="00DA32CE" w:rsidRDefault="00DA32CE" w:rsidP="00DA32CE">
      <w:pPr>
        <w:spacing w:line="360" w:lineRule="auto"/>
        <w:ind w:firstLine="645"/>
        <w:jc w:val="left"/>
        <w:rPr>
          <w:rFonts w:ascii="仿宋" w:eastAsia="仿宋" w:hAnsi="仿宋" w:cs="仿宋"/>
          <w:color w:val="000000"/>
          <w:sz w:val="32"/>
          <w:szCs w:val="32"/>
        </w:rPr>
      </w:pPr>
      <w:r>
        <w:rPr>
          <w:rFonts w:ascii="仿宋" w:eastAsia="仿宋" w:hAnsi="仿宋" w:cs="仿宋" w:hint="eastAsia"/>
          <w:color w:val="000000"/>
          <w:sz w:val="32"/>
          <w:szCs w:val="32"/>
        </w:rPr>
        <w:t>结合评价得分评价结果为良好。</w:t>
      </w:r>
    </w:p>
    <w:p w:rsidR="00DA32CE" w:rsidRDefault="00DA32CE" w:rsidP="00DA32CE">
      <w:pPr>
        <w:pStyle w:val="a6"/>
        <w:shd w:val="clear" w:color="auto" w:fill="FFFFFF"/>
        <w:spacing w:before="0" w:beforeAutospacing="0" w:after="0" w:afterAutospacing="0"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（二）存在问题</w:t>
      </w:r>
    </w:p>
    <w:p w:rsidR="00DA32CE" w:rsidRDefault="00DA32CE" w:rsidP="00DA32CE">
      <w:pPr>
        <w:ind w:firstLineChars="200" w:firstLine="640"/>
        <w:rPr>
          <w:rFonts w:ascii="仿宋" w:eastAsia="仿宋" w:hAnsi="仿宋" w:cs="仿宋"/>
          <w:sz w:val="32"/>
          <w:szCs w:val="32"/>
          <w:lang w:val="zh-CN"/>
        </w:rPr>
      </w:pPr>
      <w:r>
        <w:rPr>
          <w:rFonts w:ascii="仿宋" w:eastAsia="仿宋" w:hAnsi="仿宋" w:cs="仿宋"/>
          <w:sz w:val="32"/>
          <w:szCs w:val="32"/>
        </w:rPr>
        <w:t> </w:t>
      </w:r>
      <w:r>
        <w:rPr>
          <w:rFonts w:ascii="仿宋" w:eastAsia="仿宋" w:hAnsi="仿宋" w:cs="仿宋" w:hint="eastAsia"/>
          <w:sz w:val="32"/>
          <w:szCs w:val="32"/>
        </w:rPr>
        <w:t>从绩效评价看，部门支出预算和绩效评价工作还存在部分项目无法用量化指标来进行考评的问题。</w:t>
      </w:r>
    </w:p>
    <w:p w:rsidR="00DA32CE" w:rsidRDefault="00DA32CE" w:rsidP="00DA32CE">
      <w:pPr>
        <w:pStyle w:val="a6"/>
        <w:shd w:val="clear" w:color="auto" w:fill="FFFFFF"/>
        <w:spacing w:before="0" w:beforeAutospacing="0" w:after="0" w:afterAutospacing="0"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（三）改进建议</w:t>
      </w:r>
      <w:r>
        <w:rPr>
          <w:rFonts w:ascii="仿宋" w:eastAsia="仿宋" w:hAnsi="仿宋" w:cs="仿宋"/>
          <w:color w:val="000000"/>
          <w:sz w:val="32"/>
          <w:szCs w:val="32"/>
        </w:rPr>
        <w:t> </w:t>
      </w:r>
    </w:p>
    <w:p w:rsidR="00DA32CE" w:rsidRDefault="00DA32CE" w:rsidP="00DA32CE">
      <w:pPr>
        <w:pStyle w:val="a6"/>
        <w:shd w:val="clear" w:color="auto" w:fill="FFFFFF"/>
        <w:spacing w:before="0" w:beforeAutospacing="0" w:after="0" w:afterAutospacing="0" w:line="360" w:lineRule="auto"/>
        <w:ind w:firstLine="640"/>
        <w:rPr>
          <w:rFonts w:ascii="仿宋" w:eastAsia="仿宋" w:hAnsi="仿宋" w:cs="仿宋"/>
          <w:color w:val="000000"/>
          <w:sz w:val="32"/>
          <w:szCs w:val="32"/>
        </w:rPr>
      </w:pPr>
      <w:r>
        <w:rPr>
          <w:rFonts w:ascii="仿宋" w:eastAsia="仿宋" w:hAnsi="仿宋" w:cs="仿宋" w:hint="eastAsia"/>
          <w:color w:val="000000"/>
          <w:sz w:val="32"/>
          <w:szCs w:val="32"/>
        </w:rPr>
        <w:t>我们将进一步重视预算的编制工作，提高预算编制的精确度，提高财政资金使用效率，尽量减少预算执行调整、结转和结余注销的情形。</w:t>
      </w:r>
      <w:r>
        <w:rPr>
          <w:rFonts w:ascii="仿宋" w:eastAsia="仿宋" w:hAnsi="仿宋" w:cs="仿宋"/>
          <w:color w:val="000000"/>
          <w:sz w:val="32"/>
          <w:szCs w:val="32"/>
        </w:rPr>
        <w:t> </w:t>
      </w:r>
    </w:p>
    <w:p w:rsidR="00DA32CE" w:rsidRDefault="00DA32CE" w:rsidP="00DA32CE">
      <w:pPr>
        <w:pStyle w:val="a6"/>
        <w:shd w:val="clear" w:color="auto" w:fill="FFFFFF"/>
        <w:spacing w:before="0" w:beforeAutospacing="0" w:after="0" w:afterAutospacing="0" w:line="360" w:lineRule="auto"/>
        <w:rPr>
          <w:rFonts w:ascii="仿宋" w:eastAsia="仿宋" w:hAnsi="仿宋" w:cs="仿宋"/>
          <w:color w:val="000000"/>
          <w:sz w:val="32"/>
          <w:szCs w:val="32"/>
        </w:rPr>
      </w:pPr>
    </w:p>
    <w:p w:rsidR="00DA32CE" w:rsidRDefault="00DA32CE" w:rsidP="00DA32CE">
      <w:pPr>
        <w:pStyle w:val="a6"/>
        <w:shd w:val="clear" w:color="auto" w:fill="FFFFFF"/>
        <w:spacing w:before="0" w:beforeAutospacing="0" w:after="0" w:afterAutospacing="0" w:line="360" w:lineRule="auto"/>
        <w:ind w:left="5040" w:firstLineChars="300" w:firstLine="960"/>
        <w:rPr>
          <w:rFonts w:ascii="仿宋" w:eastAsia="仿宋" w:hAnsi="仿宋" w:cs="仿宋"/>
          <w:color w:val="000000"/>
          <w:sz w:val="32"/>
          <w:szCs w:val="32"/>
        </w:rPr>
      </w:pPr>
      <w:r>
        <w:rPr>
          <w:rFonts w:ascii="仿宋" w:eastAsia="仿宋" w:hAnsi="仿宋" w:cs="仿宋" w:hint="eastAsia"/>
          <w:color w:val="000000"/>
          <w:sz w:val="32"/>
          <w:szCs w:val="32"/>
        </w:rPr>
        <w:t>黑水县妇联</w:t>
      </w:r>
    </w:p>
    <w:p w:rsidR="00DA32CE" w:rsidRDefault="00DA32CE" w:rsidP="00DA32CE">
      <w:pPr>
        <w:pStyle w:val="a6"/>
        <w:shd w:val="clear" w:color="auto" w:fill="FFFFFF"/>
        <w:spacing w:before="0" w:beforeAutospacing="0" w:after="0" w:afterAutospacing="0" w:line="360" w:lineRule="auto"/>
        <w:ind w:left="5040" w:firstLine="420"/>
        <w:rPr>
          <w:rFonts w:ascii="仿宋" w:eastAsia="仿宋" w:hAnsi="仿宋" w:cs="仿宋"/>
          <w:color w:val="000000"/>
          <w:sz w:val="32"/>
          <w:szCs w:val="32"/>
        </w:rPr>
      </w:pPr>
      <w:r>
        <w:rPr>
          <w:rFonts w:ascii="仿宋" w:eastAsia="仿宋" w:hAnsi="仿宋" w:cs="仿宋"/>
          <w:color w:val="000000"/>
          <w:sz w:val="32"/>
          <w:szCs w:val="32"/>
        </w:rPr>
        <w:t>2020</w:t>
      </w:r>
      <w:r>
        <w:rPr>
          <w:rFonts w:ascii="仿宋" w:eastAsia="仿宋" w:hAnsi="仿宋" w:cs="仿宋" w:hint="eastAsia"/>
          <w:color w:val="000000"/>
          <w:sz w:val="32"/>
          <w:szCs w:val="32"/>
        </w:rPr>
        <w:t>年</w:t>
      </w:r>
      <w:r>
        <w:rPr>
          <w:rFonts w:ascii="仿宋" w:eastAsia="仿宋" w:hAnsi="仿宋" w:cs="仿宋"/>
          <w:color w:val="000000"/>
          <w:sz w:val="32"/>
          <w:szCs w:val="32"/>
        </w:rPr>
        <w:t>8</w:t>
      </w:r>
      <w:r>
        <w:rPr>
          <w:rFonts w:ascii="仿宋" w:eastAsia="仿宋" w:hAnsi="仿宋" w:cs="仿宋" w:hint="eastAsia"/>
          <w:color w:val="000000"/>
          <w:sz w:val="32"/>
          <w:szCs w:val="32"/>
        </w:rPr>
        <w:t>月</w:t>
      </w:r>
      <w:r>
        <w:rPr>
          <w:rFonts w:ascii="仿宋" w:eastAsia="仿宋" w:hAnsi="仿宋" w:cs="仿宋"/>
          <w:color w:val="000000"/>
          <w:sz w:val="32"/>
          <w:szCs w:val="32"/>
        </w:rPr>
        <w:t>14</w:t>
      </w:r>
      <w:r>
        <w:rPr>
          <w:rFonts w:ascii="仿宋" w:eastAsia="仿宋" w:hAnsi="仿宋" w:cs="仿宋" w:hint="eastAsia"/>
          <w:color w:val="000000"/>
          <w:sz w:val="32"/>
          <w:szCs w:val="32"/>
        </w:rPr>
        <w:t>日</w:t>
      </w:r>
    </w:p>
    <w:p w:rsidR="004E7265" w:rsidRDefault="004E7265" w:rsidP="00DA32CE"/>
    <w:sectPr w:rsidR="004E7265" w:rsidSect="004845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F15" w:rsidRDefault="003A6F15" w:rsidP="00DA32CE">
      <w:r>
        <w:separator/>
      </w:r>
    </w:p>
  </w:endnote>
  <w:endnote w:type="continuationSeparator" w:id="1">
    <w:p w:rsidR="003A6F15" w:rsidRDefault="003A6F15" w:rsidP="00DA32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方正舒体"/>
    <w:charset w:val="86"/>
    <w:family w:val="auto"/>
    <w:pitch w:val="default"/>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F15" w:rsidRDefault="003A6F15" w:rsidP="00DA32CE">
      <w:r>
        <w:separator/>
      </w:r>
    </w:p>
  </w:footnote>
  <w:footnote w:type="continuationSeparator" w:id="1">
    <w:p w:rsidR="003A6F15" w:rsidRDefault="003A6F15" w:rsidP="00DA32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0DE5C0"/>
    <w:multiLevelType w:val="singleLevel"/>
    <w:tmpl w:val="D20DE5C0"/>
    <w:lvl w:ilvl="0">
      <w:start w:val="1"/>
      <w:numFmt w:val="chineseCounting"/>
      <w:suff w:val="nothing"/>
      <w:lvlText w:val="（%1）"/>
      <w:lvlJc w:val="left"/>
      <w:rPr>
        <w:rFonts w:cs="Times New Roman" w:hint="eastAsia"/>
      </w:rPr>
    </w:lvl>
  </w:abstractNum>
  <w:abstractNum w:abstractNumId="1">
    <w:nsid w:val="EC4DCA12"/>
    <w:multiLevelType w:val="singleLevel"/>
    <w:tmpl w:val="EC4DCA12"/>
    <w:lvl w:ilvl="0">
      <w:start w:val="2"/>
      <w:numFmt w:val="chineseCounting"/>
      <w:suff w:val="nothing"/>
      <w:lvlText w:val="%1、"/>
      <w:lvlJc w:val="left"/>
      <w:rPr>
        <w:rFonts w:cs="Times New Roman" w:hint="eastAsia"/>
      </w:rPr>
    </w:lvl>
  </w:abstractNum>
  <w:abstractNum w:abstractNumId="2">
    <w:nsid w:val="2F2301CB"/>
    <w:multiLevelType w:val="singleLevel"/>
    <w:tmpl w:val="2F2301CB"/>
    <w:lvl w:ilvl="0">
      <w:start w:val="2"/>
      <w:numFmt w:val="chineseCounting"/>
      <w:suff w:val="nothing"/>
      <w:lvlText w:val="（%1）"/>
      <w:lvlJc w:val="left"/>
      <w:rPr>
        <w:rFonts w:cs="Times New Roman" w:hint="eastAsia"/>
      </w:rPr>
    </w:lvl>
  </w:abstractNum>
  <w:abstractNum w:abstractNumId="3">
    <w:nsid w:val="772C9923"/>
    <w:multiLevelType w:val="singleLevel"/>
    <w:tmpl w:val="772C9923"/>
    <w:lvl w:ilvl="0">
      <w:start w:val="2"/>
      <w:numFmt w:val="chineseCounting"/>
      <w:suff w:val="nothing"/>
      <w:lvlText w:val="（%1）"/>
      <w:lvlJc w:val="left"/>
      <w:rPr>
        <w:rFonts w:cs="Times New Roman" w:hint="eastAsia"/>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32CE"/>
    <w:rsid w:val="0024108E"/>
    <w:rsid w:val="003A6F15"/>
    <w:rsid w:val="00484575"/>
    <w:rsid w:val="004E7265"/>
    <w:rsid w:val="00DA32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A32CE"/>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DA32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DA32CE"/>
    <w:rPr>
      <w:sz w:val="18"/>
      <w:szCs w:val="18"/>
    </w:rPr>
  </w:style>
  <w:style w:type="paragraph" w:styleId="a5">
    <w:name w:val="footer"/>
    <w:basedOn w:val="a"/>
    <w:link w:val="Char0"/>
    <w:uiPriority w:val="99"/>
    <w:semiHidden/>
    <w:unhideWhenUsed/>
    <w:rsid w:val="00DA32CE"/>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DA32CE"/>
    <w:rPr>
      <w:sz w:val="18"/>
      <w:szCs w:val="18"/>
    </w:rPr>
  </w:style>
  <w:style w:type="paragraph" w:styleId="a6">
    <w:name w:val="Normal (Web)"/>
    <w:basedOn w:val="a"/>
    <w:rsid w:val="00DA32CE"/>
    <w:pPr>
      <w:widowControl/>
      <w:spacing w:before="100" w:beforeAutospacing="1" w:after="100" w:afterAutospacing="1"/>
      <w:jc w:val="left"/>
    </w:pPr>
    <w:rPr>
      <w:rFonts w:ascii="宋体" w:hAnsi="宋体" w:cs="宋体"/>
      <w:kern w:val="0"/>
      <w:sz w:val="24"/>
    </w:rPr>
  </w:style>
  <w:style w:type="paragraph" w:styleId="a0">
    <w:name w:val="table of figures"/>
    <w:basedOn w:val="a"/>
    <w:next w:val="a"/>
    <w:uiPriority w:val="99"/>
    <w:semiHidden/>
    <w:unhideWhenUsed/>
    <w:rsid w:val="00DA32CE"/>
    <w:pPr>
      <w:ind w:leftChars="200" w:left="200" w:hangingChars="200" w:hanging="2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346</Words>
  <Characters>1974</Characters>
  <Application>Microsoft Office Word</Application>
  <DocSecurity>0</DocSecurity>
  <Lines>16</Lines>
  <Paragraphs>4</Paragraphs>
  <ScaleCrop>false</ScaleCrop>
  <Company>Sky123.Org</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2020-08-17T07:57:00Z</dcterms:created>
  <dcterms:modified xsi:type="dcterms:W3CDTF">2020-08-17T07:57:00Z</dcterms:modified>
</cp:coreProperties>
</file>