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rPr>
        <w:t>阿坝州黑水县妇女联合会部门</w:t>
      </w:r>
      <w:r>
        <w:rPr>
          <w:rFonts w:hint="eastAsia" w:ascii="仿宋_GB2312" w:hAnsi="黑体" w:eastAsia="仿宋_GB2312" w:cs="方正小标宋简体"/>
          <w:b/>
          <w:sz w:val="32"/>
          <w:szCs w:val="32"/>
          <w:lang w:eastAsia="zh-CN"/>
        </w:rPr>
        <w:t>2022</w:t>
      </w:r>
      <w:r>
        <w:rPr>
          <w:rFonts w:hint="eastAsia" w:ascii="仿宋_GB2312" w:hAnsi="黑体" w:eastAsia="仿宋_GB2312" w:cs="方正小标宋简体"/>
          <w:b/>
          <w:sz w:val="32"/>
          <w:szCs w:val="32"/>
        </w:rPr>
        <w:t>年部门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3"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_GB2312" w:eastAsia="仿宋_GB2312" w:cs="仿宋_GB2312"/>
          <w:color w:val="333333"/>
          <w:sz w:val="32"/>
          <w:szCs w:val="32"/>
        </w:rPr>
        <w:t>黑水县妇联属于</w:t>
      </w:r>
      <w:r>
        <w:rPr>
          <w:rFonts w:hint="eastAsia" w:ascii="仿宋_GB2312" w:hAnsi="仿宋_GB2312" w:eastAsia="仿宋_GB2312" w:cs="仿宋_GB2312"/>
          <w:sz w:val="32"/>
          <w:szCs w:val="32"/>
        </w:rPr>
        <w:t>党领导下的群众团体</w:t>
      </w:r>
      <w:r>
        <w:rPr>
          <w:rFonts w:hint="eastAsia" w:ascii="仿宋_GB2312" w:hAnsi="仿宋_GB2312" w:eastAsia="仿宋_GB2312" w:cs="仿宋_GB2312"/>
          <w:color w:val="333333"/>
          <w:sz w:val="32"/>
          <w:szCs w:val="32"/>
        </w:rPr>
        <w:t>，没有下属二级预算单位。</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1.指导全县各级妇联依据《中华全国妇女联合会章程》和妇女代表大会的决定、决议，开展妇女儿童工作，联系团体会员，并给予业务指导。</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2.指导和推动全县农村妇女“双学双比”活动、城镇妇女“巾帼建功”活动和“五好文明家庭”创建活动;为全县经济发展和三个文明建设发挥妇女生力军作用。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3.教育、引导广大妇女“自尊、自信、自立、自强”，调查、发现、总结、推荐妇女典型，开展女性成才研讨，实施女性素质工程，促进妇女人才成长，全面提高妇女素质。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维护妇女儿童合法权益，调查研究妇女、儿童问题，为县委、县政府决策提供依据，提出建议，动员妇女参与国家和社会事务的民主管理、民主监督，促进妇女参政议政，贯彻实施有关妇女儿童法律、法规、政策。</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5.加强城乡基层妇女组织建设，扩大组织网络，拓宽工作领域。</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6.负责与社会各族各界妇女的联络，加强与民主党派、工商联和团体会员之间的联系。</w:t>
      </w:r>
    </w:p>
    <w:p>
      <w:pPr>
        <w:ind w:firstLine="640" w:firstLineChars="200"/>
        <w:rPr>
          <w:rFonts w:hint="eastAsia" w:ascii="仿宋_GB2312" w:hAnsi="仿宋" w:eastAsia="仿宋_GB2312" w:cs="仿宋_GB2312"/>
          <w:sz w:val="32"/>
          <w:szCs w:val="32"/>
        </w:rPr>
      </w:pPr>
      <w:r>
        <w:rPr>
          <w:rFonts w:hint="eastAsia" w:ascii="仿宋_GB2312" w:hAnsi="仿宋_GB2312" w:eastAsia="仿宋_GB2312" w:cs="仿宋_GB2312"/>
          <w:sz w:val="32"/>
          <w:szCs w:val="32"/>
          <w:lang w:val="en-US" w:eastAsia="zh-CN"/>
        </w:rPr>
        <w:t>7.承办县委、县政府交办的其他事项。</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（三）人员概况。</w:t>
      </w:r>
    </w:p>
    <w:p>
      <w:pPr>
        <w:spacing w:line="360" w:lineRule="auto"/>
        <w:ind w:firstLine="640" w:firstLineChars="200"/>
        <w:rPr>
          <w:rFonts w:hint="eastAsia" w:ascii="仿宋_GB2312" w:hAnsi="仿宋" w:eastAsia="仿宋_GB2312" w:cs="仿宋_GB2312"/>
          <w:sz w:val="32"/>
          <w:szCs w:val="32"/>
        </w:rPr>
      </w:pPr>
      <w:r>
        <w:rPr>
          <w:rFonts w:hint="eastAsia" w:ascii="仿宋_GB2312" w:hAnsi="仿宋_GB2312" w:eastAsia="仿宋_GB2312" w:cs="仿宋_GB2312"/>
          <w:sz w:val="32"/>
          <w:szCs w:val="32"/>
        </w:rPr>
        <w:t>单位总</w:t>
      </w:r>
      <w:r>
        <w:rPr>
          <w:rFonts w:hint="eastAsia" w:ascii="仿宋_GB2312" w:hAnsi="仿宋_GB2312" w:eastAsia="仿宋_GB2312" w:cs="仿宋_GB2312"/>
          <w:sz w:val="32"/>
          <w:szCs w:val="32"/>
          <w:lang w:val="en-US" w:eastAsia="zh-CN"/>
        </w:rPr>
        <w:t>人数</w:t>
      </w:r>
      <w:r>
        <w:rPr>
          <w:rFonts w:hint="eastAsia" w:ascii="仿宋_GB2312" w:hAnsi="仿宋_GB2312" w:eastAsia="仿宋_GB2312" w:cs="仿宋_GB2312"/>
          <w:sz w:val="32"/>
          <w:szCs w:val="32"/>
        </w:rPr>
        <w:t>6名，其中：参公人员</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名，工勤</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名。退休人员</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收入与预算对比分析：本单位2022年年初预算安排收入121.49万元，本年实际收入177.03万元，本年实际收入与年初预算增加55.54万元，差异率45.72%。差异主要原因：一是：工资增加及社会缴费增加，使人员经费增加；二是：本年购置公务用车1辆。</w:t>
      </w:r>
    </w:p>
    <w:p>
      <w:pPr>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2．本年收入与上年收入的对比分析</w:t>
      </w:r>
    </w:p>
    <w:p>
      <w:pPr>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本年度实际收入177.03万元，比上年度收入153.20万元增加23.83万元，增幅15.55%。</w:t>
      </w:r>
    </w:p>
    <w:p>
      <w:pPr>
        <w:snapToGrid w:val="0"/>
        <w:spacing w:line="360" w:lineRule="auto"/>
        <w:ind w:firstLine="640" w:firstLineChars="200"/>
        <w:jc w:val="left"/>
        <w:rPr>
          <w:rFonts w:hint="eastAsia" w:ascii="仿宋_GB2312" w:hAnsi="仿宋"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3．本年收入结构分析：本年收入177.03万元，其中财政拨款收入177.03万元，占本年收入的100%。</w:t>
      </w:r>
    </w:p>
    <w:p>
      <w:pPr>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（二）部门财政资金支出情况</w:t>
      </w:r>
    </w:p>
    <w:p>
      <w:pPr>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支出与预算对比分析：本年预算支出121.49万元，本年决算数支出187.15万元，本年实际支出比预算支出增加65.66万元，差异率54.05%。差异主要原因：一是：工资增加及社会缴费增加，使人员经费增加；二是：本年购置公务用车1辆。</w:t>
      </w:r>
    </w:p>
    <w:p>
      <w:pPr>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本年支出与上年支出的对比分析: 本年度实际支出187.15万元，较上年度171.86万元，增加15.3万元，增幅8.90%,差异原因：差异主要原因：一是：工资增加及社会缴费增加，使人员经费增加；二是：本年购置公务用车1辆。   </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_GB2312" w:eastAsia="仿宋_GB2312" w:cs="仿宋_GB2312"/>
          <w:sz w:val="32"/>
          <w:szCs w:val="32"/>
        </w:rPr>
        <w:t>3.本年支出结构分析: 本年支出187.15万元，按资金来源分析：其中财政拨款支出187.15万元，占本年总支出的100%，按支出性质分析：基本支出177.15万元，占本年总支出的94.66%，项目支出10万元，占本年总支出的5.34%，按支出经济分类：工资福利支出127.75万元，占本年总支出68.26%，商品和服务支出20.88万元，占本年总支出11.16%，对个人和家庭的补助20.25万元，占本年总支出10.82%，资本性支出18.27万元，占本年总支出9.76%。</w:t>
      </w:r>
    </w:p>
    <w:p>
      <w:pPr>
        <w:spacing w:line="58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三、部门整体预算绩效管理情况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ind w:firstLine="643" w:firstLineChars="200"/>
        <w:rPr>
          <w:rFonts w:hint="eastAsia" w:ascii="楷体_GB2312" w:hAnsi="楷体_GB2312" w:eastAsia="楷体_GB2312" w:cs="楷体_GB2312"/>
          <w:b/>
          <w:kern w:val="0"/>
          <w:sz w:val="32"/>
          <w:szCs w:val="32"/>
          <w:lang w:val="zh-CN"/>
        </w:rPr>
      </w:pPr>
      <w:r>
        <w:rPr>
          <w:rFonts w:hint="eastAsia" w:ascii="楷体_GB2312" w:hAnsi="楷体_GB2312" w:eastAsia="楷体_GB2312" w:cs="楷体_GB2312"/>
          <w:b/>
          <w:kern w:val="0"/>
          <w:sz w:val="32"/>
          <w:szCs w:val="32"/>
          <w:lang w:val="zh-CN"/>
        </w:rPr>
        <w:t>（一）预算编制情况</w:t>
      </w:r>
    </w:p>
    <w:p>
      <w:pPr>
        <w:snapToGrid w:val="0"/>
        <w:spacing w:line="36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w:t>
      </w:r>
      <w:r>
        <w:rPr>
          <w:rFonts w:hint="eastAsia" w:ascii="仿宋_GB2312" w:hAnsi="仿宋_GB2312" w:eastAsia="仿宋_GB2312" w:cs="仿宋_GB2312"/>
          <w:sz w:val="32"/>
          <w:szCs w:val="32"/>
        </w:rPr>
        <w:t>本单位2022年年初预算安排收入121.49万元, 本年预算支出121.49万元。</w:t>
      </w:r>
    </w:p>
    <w:p>
      <w:pPr>
        <w:ind w:firstLine="643" w:firstLineChars="200"/>
        <w:rPr>
          <w:rFonts w:hint="eastAsia" w:ascii="楷体_GB2312" w:hAnsi="楷体_GB2312" w:eastAsia="楷体_GB2312" w:cs="楷体_GB2312"/>
          <w:b/>
          <w:kern w:val="0"/>
          <w:sz w:val="32"/>
          <w:szCs w:val="32"/>
          <w:lang w:val="zh-CN"/>
        </w:rPr>
      </w:pPr>
      <w:r>
        <w:rPr>
          <w:rFonts w:hint="eastAsia" w:ascii="楷体_GB2312" w:hAnsi="楷体_GB2312" w:eastAsia="楷体_GB2312" w:cs="楷体_GB2312"/>
          <w:b/>
          <w:kern w:val="0"/>
          <w:sz w:val="32"/>
          <w:szCs w:val="32"/>
          <w:lang w:val="zh-CN"/>
        </w:rPr>
        <w:t>（二）执行管理情况</w:t>
      </w:r>
    </w:p>
    <w:p>
      <w:pPr>
        <w:pStyle w:val="3"/>
        <w:shd w:val="clear" w:color="auto" w:fill="FFFFFF"/>
        <w:spacing w:before="0" w:beforeAutospacing="0" w:after="0" w:afterAutospacing="0" w:line="360" w:lineRule="auto"/>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严格执行“厉行节约、反对浪费”的规定，严格控制“三公”经费支出，加强公务用车管理，努力降低燃修费用。2022年“三公”经费21.94万元，其中：车辆购置费18.27万元，车辆运行维护费3.67万元，业务接待费0万元，较上年0.1万元，减少0.1万元，减幅100%。</w:t>
      </w:r>
    </w:p>
    <w:p>
      <w:pPr>
        <w:pStyle w:val="3"/>
        <w:shd w:val="clear" w:color="auto" w:fill="FFFFFF"/>
        <w:spacing w:before="0" w:beforeAutospacing="0" w:after="0" w:afterAutospacing="0" w:line="360" w:lineRule="auto"/>
        <w:ind w:firstLine="480" w:firstLineChars="1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年支出187.15万元，按资金来源分析：其中财政拨款支出187.15万元，占本年总支出的100%，按支出性质分析：基本支出177.15万元，占本年总支出的94.66%，项目支出10万元，占本年总支出的5.34%，按支出经济分类：工资福利支出127.75万元，占本年总支出68.26%，商品和服务支出20.88万元，占本年总支出11.16%，对个人和家庭的补助20.25万元，占本年总支出10.82%，资本性支出18.27万元，占本年总支出9.76%。</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napToGrid w:val="0"/>
        <w:spacing w:line="36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资金管理方面，各项资金均实行专款专用，严格依法依规执行资金支付依据和开支标准,严格执行政府采购制度。</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单位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ind w:firstLine="643"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自评公开：一是</w:t>
      </w:r>
      <w:r>
        <w:rPr>
          <w:rFonts w:hint="eastAsia" w:ascii="仿宋" w:hAnsi="仿宋" w:eastAsia="仿宋" w:cs="仿宋"/>
          <w:b w:val="0"/>
          <w:bCs w:val="0"/>
          <w:color w:val="auto"/>
          <w:sz w:val="32"/>
          <w:szCs w:val="32"/>
          <w:lang w:val="en-US" w:eastAsia="zh-CN"/>
        </w:rPr>
        <w:t>本单位在执行公务过程中严格执行“厉行节约、反对浪费”的规定，严格控制“三公”经费支出，加强公务用车管理，部门预算在财务部门审批后及时填报预算公开资料，经财政审核后在政府信息公开网上公示。</w:t>
      </w:r>
      <w:r>
        <w:rPr>
          <w:rFonts w:hint="eastAsia" w:ascii="仿宋" w:hAnsi="仿宋" w:eastAsia="仿宋" w:cs="仿宋"/>
          <w:b/>
          <w:bCs/>
          <w:color w:val="auto"/>
          <w:sz w:val="32"/>
          <w:szCs w:val="32"/>
          <w:lang w:val="en-US" w:eastAsia="zh-CN"/>
        </w:rPr>
        <w:t>二是</w:t>
      </w:r>
      <w:r>
        <w:rPr>
          <w:rFonts w:hint="eastAsia" w:ascii="仿宋" w:hAnsi="仿宋" w:eastAsia="仿宋" w:cs="仿宋"/>
          <w:b w:val="0"/>
          <w:bCs w:val="0"/>
          <w:color w:val="auto"/>
          <w:sz w:val="32"/>
          <w:szCs w:val="32"/>
          <w:lang w:val="en-US" w:eastAsia="zh-CN"/>
        </w:rPr>
        <w:t>我委高度重视整体绩效自评工作，由分管领导、财务人员组成评价小组，明确分工，落实责任，按照预算绩效评价指标体系对应指标对单位资金进行评价打分，综合得分92分，自评结果于单位内部进行公开，并报送财政相关股室备案。</w:t>
      </w:r>
    </w:p>
    <w:p>
      <w:pPr>
        <w:ind w:firstLine="643" w:firstLineChars="200"/>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评价结果整改：</w:t>
      </w:r>
      <w:r>
        <w:rPr>
          <w:rFonts w:hint="eastAsia" w:ascii="仿宋" w:hAnsi="仿宋" w:eastAsia="仿宋" w:cs="仿宋"/>
          <w:b w:val="0"/>
          <w:bCs w:val="0"/>
          <w:color w:val="auto"/>
          <w:sz w:val="32"/>
          <w:szCs w:val="32"/>
          <w:lang w:val="en-US" w:eastAsia="zh-CN"/>
        </w:rPr>
        <w:t>我单位</w:t>
      </w:r>
      <w:bookmarkStart w:id="1" w:name="_GoBack"/>
      <w:bookmarkEnd w:id="1"/>
      <w:r>
        <w:rPr>
          <w:rFonts w:hint="eastAsia" w:ascii="仿宋" w:hAnsi="仿宋" w:eastAsia="仿宋" w:cs="仿宋"/>
          <w:b w:val="0"/>
          <w:bCs w:val="0"/>
          <w:color w:val="auto"/>
          <w:sz w:val="32"/>
          <w:szCs w:val="32"/>
          <w:lang w:val="en-US" w:eastAsia="zh-CN"/>
        </w:rPr>
        <w:t>高度重视目标绩效管理工作，对自评结果进行研讨，对扣分项（部门年初绩效目标编制、数量指标、成本指标的完成情况、季度预算执行情况、绩效运行监控处置等）进行重点分析，并做出整改，在之后的工作中，要求部门绩效目标编制科学合理、规范完整、细化量化，及时拨付资金，争取使季度预算执行进度达到100%，在调整预算时及时同步调整绩效目标，按规定开展绩效运行监控，保障资金处置合理合规、及时拨付。</w:t>
      </w:r>
    </w:p>
    <w:p>
      <w:pPr>
        <w:keepNext w:val="0"/>
        <w:keepLines w:val="0"/>
        <w:pageBreakBefore w:val="0"/>
        <w:widowControl/>
        <w:kinsoku/>
        <w:wordWrap/>
        <w:overflowPunct/>
        <w:topLinePunct w:val="0"/>
        <w:autoSpaceDE/>
        <w:autoSpaceDN/>
        <w:bidi w:val="0"/>
        <w:adjustRightInd/>
        <w:snapToGrid/>
        <w:spacing w:line="480" w:lineRule="exact"/>
        <w:ind w:firstLine="643" w:firstLineChars="200"/>
        <w:jc w:val="both"/>
        <w:textAlignment w:val="auto"/>
        <w:outlineLvl w:val="0"/>
        <w:rPr>
          <w:rFonts w:hint="eastAsia" w:ascii="仿宋" w:hAnsi="仿宋" w:eastAsia="仿宋" w:cs="仿宋"/>
          <w:color w:val="000000"/>
          <w:sz w:val="28"/>
          <w:szCs w:val="28"/>
        </w:rPr>
      </w:pPr>
      <w:r>
        <w:rPr>
          <w:rFonts w:hint="eastAsia" w:ascii="仿宋" w:hAnsi="仿宋" w:eastAsia="仿宋" w:cs="仿宋"/>
          <w:b/>
          <w:bCs/>
          <w:color w:val="auto"/>
          <w:sz w:val="32"/>
          <w:szCs w:val="32"/>
          <w:lang w:val="en-US" w:eastAsia="zh-CN"/>
        </w:rPr>
        <w:t>应用结果反馈：</w:t>
      </w:r>
      <w:r>
        <w:rPr>
          <w:rFonts w:hint="eastAsia" w:ascii="仿宋" w:hAnsi="仿宋" w:eastAsia="仿宋" w:cs="仿宋"/>
          <w:color w:val="000000"/>
          <w:sz w:val="28"/>
          <w:szCs w:val="28"/>
        </w:rPr>
        <w:t>按上级要求对预算执行情况、项目开展情况进行结果反馈，有效反映了</w:t>
      </w:r>
      <w:r>
        <w:rPr>
          <w:rFonts w:hint="eastAsia" w:ascii="仿宋" w:hAnsi="仿宋" w:eastAsia="仿宋" w:cs="仿宋"/>
          <w:color w:val="000000"/>
          <w:sz w:val="28"/>
          <w:szCs w:val="28"/>
          <w:lang w:val="en-US" w:eastAsia="zh-CN"/>
        </w:rPr>
        <w:t>我</w:t>
      </w:r>
      <w:r>
        <w:rPr>
          <w:rFonts w:hint="eastAsia" w:ascii="仿宋" w:hAnsi="仿宋" w:eastAsia="仿宋" w:cs="仿宋"/>
          <w:color w:val="000000"/>
          <w:sz w:val="28"/>
          <w:szCs w:val="28"/>
        </w:rPr>
        <w:t>单位的绩效目标考核情况。</w:t>
      </w:r>
    </w:p>
    <w:p>
      <w:pPr>
        <w:ind w:firstLine="640" w:firstLineChars="200"/>
        <w:rPr>
          <w:rFonts w:ascii="仿宋_GB2312" w:hAnsi="仿宋" w:eastAsia="仿宋_GB2312" w:cs="仿宋_GB2312"/>
          <w:color w:val="C00000"/>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360" w:lineRule="auto"/>
        <w:ind w:firstLine="645"/>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国家政策法规规定，结合本部门的实际情况，建立健全了财务管理制度和约束机制，依法、有效地使用财政资金，提高财政资金使用效率，合理分配人、财、物，完成了部门职能目标，实现了较高的工作效率和支出绩效。 </w:t>
      </w:r>
    </w:p>
    <w:p>
      <w:pPr>
        <w:spacing w:line="360" w:lineRule="auto"/>
        <w:ind w:firstLine="645"/>
        <w:jc w:val="left"/>
        <w:rPr>
          <w:rFonts w:hint="eastAsia" w:ascii="仿宋_GB2312" w:hAnsi="仿宋" w:eastAsia="仿宋_GB2312" w:cs="仿宋_GB2312"/>
          <w:sz w:val="32"/>
          <w:szCs w:val="32"/>
        </w:rPr>
      </w:pPr>
      <w:r>
        <w:rPr>
          <w:rFonts w:hint="eastAsia" w:ascii="仿宋_GB2312" w:hAnsi="仿宋_GB2312" w:eastAsia="仿宋_GB2312" w:cs="仿宋_GB2312"/>
          <w:color w:val="000000"/>
          <w:sz w:val="32"/>
          <w:szCs w:val="32"/>
        </w:rPr>
        <w:t>结合评价得分评价结果为</w:t>
      </w:r>
      <w:r>
        <w:rPr>
          <w:rFonts w:hint="eastAsia" w:ascii="仿宋_GB2312" w:hAnsi="仿宋_GB2312" w:eastAsia="仿宋_GB2312" w:cs="仿宋_GB2312"/>
          <w:color w:val="000000"/>
          <w:sz w:val="32"/>
          <w:szCs w:val="32"/>
          <w:lang w:val="en-US" w:eastAsia="zh-CN"/>
        </w:rPr>
        <w:t>90分，处于</w:t>
      </w:r>
      <w:r>
        <w:rPr>
          <w:rFonts w:hint="eastAsia" w:ascii="仿宋_GB2312" w:hAnsi="仿宋_GB2312" w:eastAsia="仿宋_GB2312" w:cs="仿宋_GB2312"/>
          <w:color w:val="000000"/>
          <w:sz w:val="32"/>
          <w:szCs w:val="32"/>
        </w:rPr>
        <w:t>良好</w:t>
      </w:r>
      <w:r>
        <w:rPr>
          <w:rFonts w:hint="eastAsia" w:ascii="仿宋_GB2312" w:hAnsi="仿宋_GB2312" w:eastAsia="仿宋_GB2312" w:cs="仿宋_GB2312"/>
          <w:color w:val="000000"/>
          <w:sz w:val="32"/>
          <w:szCs w:val="32"/>
          <w:lang w:eastAsia="zh-CN"/>
        </w:rPr>
        <w:t>状态</w:t>
      </w:r>
      <w:r>
        <w:rPr>
          <w:rFonts w:hint="eastAsia" w:ascii="仿宋_GB2312" w:hAnsi="仿宋_GB2312" w:eastAsia="仿宋_GB2312" w:cs="仿宋_GB2312"/>
          <w:color w:val="000000"/>
          <w:sz w:val="32"/>
          <w:szCs w:val="32"/>
        </w:rPr>
        <w:t>。</w:t>
      </w:r>
    </w:p>
    <w:p>
      <w:pPr>
        <w:numPr>
          <w:ilvl w:val="0"/>
          <w:numId w:val="0"/>
        </w:numPr>
        <w:ind w:left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（二）存在问题。</w:t>
      </w:r>
    </w:p>
    <w:p>
      <w:pPr>
        <w:numPr>
          <w:ilvl w:val="0"/>
          <w:numId w:val="0"/>
        </w:num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从绩效评价看，部门支出预算和绩效评价工作还存在部分项目无法用量化指标来进行考评的问题。</w:t>
      </w:r>
    </w:p>
    <w:p>
      <w:pPr>
        <w:spacing w:line="580" w:lineRule="exact"/>
        <w:ind w:firstLine="320" w:firstLineChars="100"/>
        <w:rPr>
          <w:rFonts w:ascii="仿宋_GB2312" w:hAnsi="仿宋" w:eastAsia="仿宋_GB2312" w:cs="仿宋_GB2312"/>
          <w:sz w:val="32"/>
          <w:szCs w:val="32"/>
        </w:rPr>
      </w:pPr>
      <w:r>
        <w:rPr>
          <w:rFonts w:hint="eastAsia" w:ascii="仿宋_GB2312" w:hAnsi="仿宋" w:eastAsia="仿宋_GB2312" w:cs="仿宋_GB2312"/>
          <w:sz w:val="32"/>
          <w:szCs w:val="32"/>
        </w:rPr>
        <w:t>（三）改进建议。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我们将进一步重视预算的编制工作，提高预算编制的精确度，提高财政资金使用效率，尽量减少预算执行调整、结转和结余注销的情形。</w:t>
      </w: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36985C"/>
    <w:multiLevelType w:val="singleLevel"/>
    <w:tmpl w:val="C236985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BiMGRjMDNmYjFlNzUzNzNjNmViZjZlNTFmMTE2YzkifQ=="/>
  </w:docVars>
  <w:rsids>
    <w:rsidRoot w:val="00491B22"/>
    <w:rsid w:val="00291808"/>
    <w:rsid w:val="00491B22"/>
    <w:rsid w:val="0052390C"/>
    <w:rsid w:val="1AFE4C16"/>
    <w:rsid w:val="260D6A54"/>
    <w:rsid w:val="34EB1F43"/>
    <w:rsid w:val="36435EC2"/>
    <w:rsid w:val="4B936091"/>
    <w:rsid w:val="60D0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qFormat="1" w:unhideWhenUsed="0"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semiHidden/>
    <w:qFormat/>
    <w:uiPriority w:val="99"/>
    <w:pPr>
      <w:spacing w:before="100" w:beforeAutospacing="1" w:after="100" w:afterAutospacing="1"/>
      <w:ind w:left="200" w:leftChars="200" w:hanging="200" w:hangingChars="200"/>
    </w:pPr>
  </w:style>
  <w:style w:type="paragraph" w:styleId="3">
    <w:name w:val="HTML Addres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4">
    <w:name w:val="footer"/>
    <w:basedOn w:val="1"/>
    <w:link w:val="9"/>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0</TotalTime>
  <ScaleCrop>false</ScaleCrop>
  <LinksUpToDate>false</LinksUpToDate>
  <CharactersWithSpaces>359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舒三娃</cp:lastModifiedBy>
  <dcterms:modified xsi:type="dcterms:W3CDTF">2023-08-28T08:31:42Z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4DB6BD8AF926469181AE079C62BC8A37_12</vt:lpwstr>
  </property>
</Properties>
</file>