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C5162">
      <w:pPr>
        <w:spacing w:line="600" w:lineRule="exact"/>
        <w:jc w:val="center"/>
        <w:outlineLvl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bookmarkStart w:id="0" w:name="_Toc15396616"/>
      <w:r>
        <w:rPr>
          <w:rFonts w:hint="eastAsia" w:ascii="仿宋_GB2312" w:hAnsi="仿宋_GB2312" w:eastAsia="仿宋_GB2312" w:cs="仿宋_GB2312"/>
          <w:b/>
          <w:sz w:val="32"/>
          <w:szCs w:val="32"/>
        </w:rPr>
        <w:t>黑水县妇女联合会20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年部门</w:t>
      </w:r>
    </w:p>
    <w:p w14:paraId="3292B79C">
      <w:pPr>
        <w:spacing w:line="600" w:lineRule="exact"/>
        <w:jc w:val="center"/>
        <w:outlineLvl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整体支出绩效评价报告</w:t>
      </w:r>
      <w:bookmarkEnd w:id="0"/>
    </w:p>
    <w:p w14:paraId="217DD325">
      <w:pPr>
        <w:spacing w:line="58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349B0167">
      <w:pPr>
        <w:widowControl/>
        <w:numPr>
          <w:ilvl w:val="0"/>
          <w:numId w:val="0"/>
        </w:numPr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一、部门（单位）基本情况</w:t>
      </w:r>
    </w:p>
    <w:p w14:paraId="62CB65B4">
      <w:pPr>
        <w:widowControl/>
        <w:numPr>
          <w:ilvl w:val="0"/>
          <w:numId w:val="0"/>
        </w:numPr>
        <w:wordWrap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（一）机构组成。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黑水县妇女联合会属于独立核算一级预算单位，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内设综合办公室，没有下属单位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6F35490">
      <w:pPr>
        <w:widowControl/>
        <w:wordWrap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（二）机构职能。</w:t>
      </w:r>
    </w:p>
    <w:p w14:paraId="73F54E6F">
      <w:pPr>
        <w:wordWrap/>
        <w:spacing w:line="560" w:lineRule="exact"/>
        <w:ind w:left="0"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妇联基本职能: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代表和维护妇女儿童合法权益，促进两性平等。</w:t>
      </w:r>
    </w:p>
    <w:p w14:paraId="58E33BE6">
      <w:pPr>
        <w:wordWrap/>
        <w:spacing w:line="560" w:lineRule="exact"/>
        <w:ind w:left="0"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妇联基本任务:</w:t>
      </w:r>
    </w:p>
    <w:p w14:paraId="2C7817D4">
      <w:pPr>
        <w:wordWrap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一、指导全县各级妇联依据《中华全国妇女联合会章程》和妇女代表大会的决定、决议，开展妇女儿童工作，联系团体会员，并给予业务指导。</w:t>
      </w:r>
    </w:p>
    <w:p w14:paraId="45FE1A74">
      <w:pPr>
        <w:wordWrap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二、指导和推动全县农村妇女“双学双比”活动、城镇妇女“巾帼建功”活动和“五好文明家庭”创建活动;为全县经济发展和三个文明建设发挥妇女生力军作用。</w:t>
      </w:r>
    </w:p>
    <w:p w14:paraId="5AFE12CF">
      <w:pPr>
        <w:wordWrap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三、教育、引导广大妇女“自尊、自信、自立、自强”，调查、发现、总结、推荐妇女典型，开展女性成才研讨，实施女性素质工程，促进妇女人才成长，全面提高妇女素质。</w:t>
      </w:r>
    </w:p>
    <w:p w14:paraId="65ABC477">
      <w:pPr>
        <w:wordWrap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维护妇女儿童合法权益，调查研究妇女、儿童问题，为县委、县政府决策提供依据，提出建议，动员妇女参与国家和社会事务的民主管理、民主监督，促进妇女参政议政，贯彻实施有关妇女儿童法律、法规、政策。</w:t>
      </w:r>
    </w:p>
    <w:p w14:paraId="6EFA39E8">
      <w:pPr>
        <w:wordWrap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五、加强城乡基层妇女组织建设，扩大组织网络，拓宽工作领域。</w:t>
      </w:r>
    </w:p>
    <w:p w14:paraId="598019A3">
      <w:pPr>
        <w:wordWrap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六、负责与社会各族各界妇女的联络，加强与民主党派、工商联和团体会员之间的联系。</w:t>
      </w:r>
    </w:p>
    <w:p w14:paraId="0F80EF24">
      <w:pPr>
        <w:wordWrap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七、承办县委、县政府交办的其他事项。</w:t>
      </w:r>
    </w:p>
    <w:p w14:paraId="668E7E90">
      <w:pPr>
        <w:widowControl w:val="0"/>
        <w:wordWrap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（三）人员概况。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截至202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年末，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黑水县妇女联合会的总</w:t>
      </w:r>
      <w:r>
        <w:rPr>
          <w:rFonts w:hint="eastAsia" w:ascii="仿宋_GB2312" w:hAnsi="仿宋_GB2312" w:eastAsia="仿宋_GB2312" w:cs="仿宋_GB2312"/>
          <w:sz w:val="32"/>
          <w:szCs w:val="32"/>
        </w:rPr>
        <w:t>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5人，其中：行政编制4名，行政工勤1名。</w:t>
      </w:r>
      <w:r>
        <w:rPr>
          <w:rFonts w:hint="eastAsia" w:ascii="仿宋_GB2312" w:hAnsi="仿宋_GB2312" w:eastAsia="仿宋_GB2312" w:cs="仿宋_GB2312"/>
          <w:sz w:val="32"/>
          <w:szCs w:val="32"/>
        </w:rPr>
        <w:t>年末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在职</w:t>
      </w:r>
      <w:r>
        <w:rPr>
          <w:rFonts w:hint="eastAsia" w:ascii="仿宋_GB2312" w:hAnsi="仿宋_GB2312" w:eastAsia="仿宋_GB2312" w:cs="仿宋_GB2312"/>
          <w:sz w:val="32"/>
          <w:szCs w:val="32"/>
        </w:rPr>
        <w:t>实有人数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5人，退休人员2名。</w:t>
      </w:r>
    </w:p>
    <w:p w14:paraId="202799D8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二、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eastAsia="zh-CN"/>
        </w:rPr>
        <w:t>部门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资金收支情况</w:t>
      </w:r>
    </w:p>
    <w:p w14:paraId="6BC2EE9E">
      <w:pPr>
        <w:widowControl/>
        <w:wordWrap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收入情况。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黑水县妇女联合会2024年年初预算收入126.10万元、决算报表收入146.94万元，预算与决算差异为20.84万元，差异率为16.53%。</w:t>
      </w:r>
    </w:p>
    <w:p w14:paraId="115DA3E6">
      <w:pPr>
        <w:widowControl/>
        <w:numPr>
          <w:ilvl w:val="0"/>
          <w:numId w:val="1"/>
        </w:numPr>
        <w:wordWrap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支出情况。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黑水县妇女联合会2024年年初预算支出情况、决算报表支出情况如下。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部门2024年年初预算支出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126.10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万元。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  <w:t>其中一般公共服务支</w:t>
      </w:r>
      <w:r>
        <w:rPr>
          <w:rFonts w:hint="eastAsia" w:ascii="Times New Roman" w:hAnsi="Times New Roman" w:eastAsia="仿宋_GB2312" w:cs="Times New Roman"/>
          <w:b w:val="0"/>
          <w:color w:val="000000"/>
          <w:kern w:val="2"/>
          <w:sz w:val="32"/>
          <w:szCs w:val="32"/>
          <w:lang w:val="en-US" w:eastAsia="zh-CN" w:bidi="ar-SA"/>
        </w:rPr>
        <w:t>出90.18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  <w:t>万元，占总支出71.51%；社会保障和就业支出19.01万元，占总支出的15.08%；卫生健康支出7.39万元，占总支出5.86%；住房保障支出</w:t>
      </w:r>
      <w:r>
        <w:rPr>
          <w:rFonts w:hint="eastAsia" w:ascii="Times New Roman" w:hAnsi="Times New Roman" w:eastAsia="仿宋_GB2312" w:cs="Times New Roman"/>
          <w:b w:val="0"/>
          <w:color w:val="000000"/>
          <w:kern w:val="2"/>
          <w:sz w:val="32"/>
          <w:szCs w:val="32"/>
          <w:lang w:val="en-US" w:eastAsia="zh-CN" w:bidi="ar-SA"/>
        </w:rPr>
        <w:t>9.51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  <w:t>万元，占总支出7.54%。2024年决算报表支出，财政预算拨款总支出146.94万元，其中：一般公共服务支出112.95万元，占总支出76.87%，社会保障和就业支出17.60</w:t>
      </w:r>
      <w:r>
        <w:rPr>
          <w:rFonts w:hint="eastAsia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  <w:t>万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  <w:t>元，占总支出的11.98%；卫生健康支出7.08万元，占总支出4.82%；住房保障支出9.30万元，占总支出6.33%。预算与决算差异为20.84万元，差异率为16.53%。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因为2024年年初预算中不能申报项目经费，所以主要业务支出项目存在追加情况。</w:t>
      </w:r>
    </w:p>
    <w:p w14:paraId="42809BA6">
      <w:pPr>
        <w:widowControl/>
        <w:wordWrap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（三）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结余分配和结转结余情况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黑水县妇女联合会2024年决算报表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结转结余为0.00万元，无财政应返还额度。</w:t>
      </w:r>
    </w:p>
    <w:p w14:paraId="7CED7C7D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三、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none"/>
          <w:shd w:val="clear" w:color="auto" w:fill="FFFFFF"/>
        </w:rPr>
        <w:t>部门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none"/>
          <w:shd w:val="clear" w:color="auto" w:fill="FFFFFF"/>
          <w:lang w:eastAsia="zh-CN"/>
        </w:rPr>
        <w:t>预算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none"/>
          <w:shd w:val="clear" w:color="auto" w:fill="FFFFFF"/>
        </w:rPr>
        <w:t>绩效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none"/>
          <w:shd w:val="clear" w:color="auto" w:fill="FFFFFF"/>
          <w:lang w:eastAsia="zh-CN"/>
        </w:rPr>
        <w:t>分析</w:t>
      </w:r>
    </w:p>
    <w:p w14:paraId="697D0661">
      <w:pPr>
        <w:widowControl w:val="0"/>
        <w:numPr>
          <w:ilvl w:val="0"/>
          <w:numId w:val="0"/>
        </w:numPr>
        <w:wordWrap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（一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）部门预算总体绩效分析。</w:t>
      </w:r>
    </w:p>
    <w:p w14:paraId="423910E3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zh-CN" w:eastAsia="zh-CN" w:bidi="ar-SA"/>
        </w:rPr>
        <w:t>为确保部门工作的正常运转，完成各项工作任务，县妇联预算编制严格按照《中华人民共和国预算法》编制，编制较为及时，准确，确保预算编制的全面性和科学性。按照县级财政部门的部署，结合县妇联部门实际情况，及时编制了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2024年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zh-CN" w:eastAsia="zh-CN" w:bidi="ar-SA"/>
        </w:rPr>
        <w:t>部门预算，坚持公开透明，提高预算透明度，促进我会发展稳定为重点，以提高公共服务水平为目标，以绩效评价结果为导向，以制度、机制建设为保障的“务实、规范、高效”的预算管理机制，按照财务部门的要求及时报送部门的各类财务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zh-CN" w:eastAsia="zh-CN" w:bidi="ar-SA"/>
        </w:rPr>
        <w:t>表。</w:t>
      </w:r>
    </w:p>
    <w:p w14:paraId="5264A967">
      <w:pPr>
        <w:widowControl/>
        <w:numPr>
          <w:ilvl w:val="0"/>
          <w:numId w:val="0"/>
        </w:numPr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履职效能。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自评得分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15分。</w:t>
      </w:r>
    </w:p>
    <w:p w14:paraId="7F2B685C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⑴开展送温暖活动。通过暖冬慰问等方式，给全县15个乡镇80名困难妇女儿童进行送温暖活动，每户500元的慰问金额，带去了党委政府对困难妇女儿童的关怀。年前发放完毕按时完成率100%，群众的满意度达到95%。自评得分7分。</w:t>
      </w:r>
    </w:p>
    <w:p w14:paraId="40573F27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⑵调查、发现、总结、推荐妇女典型，开展女性成才研讨活动。今年举行的第114个“三八”国际劳动妇女节系列活动，紧紧围绕“巾帼心向党奋进新征程”活动主题，进行了维权活动和相关主题活动，参演妇女达到60人次以上，按时完成了该项目，产生了服务民生大众的社会效益，具有促进妇女积极健康发展的可持续发展作用，同时妇女满意度95%以上。自评得分8分。</w:t>
      </w:r>
    </w:p>
    <w:p w14:paraId="2C6A79FE">
      <w:pPr>
        <w:widowControl w:val="0"/>
        <w:numPr>
          <w:ilvl w:val="0"/>
          <w:numId w:val="0"/>
        </w:numPr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预算管理。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自评得分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25分。</w:t>
      </w:r>
    </w:p>
    <w:p w14:paraId="466608AE">
      <w:pPr>
        <w:wordWrap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一是预算编制质量，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部门预算编制目标制定清晰，部门整体绩效目标编制完整、合理部门整体绩效目标能完整、合理反映部门年度职责履行情况，项目绩效目标编制明确，并通过了预算草案审查，审查后未提出确需修改的问题，自评得分8分；二是单位收入统筹，单位全年收入均属财政拨款收入，纳入预算管理，结息收入按规定上缴财政，自评得分4分；三是支出执行进度，我会及时支付资金，自评得分4分。四是预算年终结余，年末结余为零，收支平衡，自评得分4分；五是严控一般性支出，2024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部门厉行节约，一般性支出办公费、会议费、差旅费、培训费、“三公”经费等支出决算数不超支，自评得分5分。</w:t>
      </w:r>
    </w:p>
    <w:p w14:paraId="45F715AB">
      <w:pPr>
        <w:widowControl w:val="0"/>
        <w:numPr>
          <w:ilvl w:val="0"/>
          <w:numId w:val="0"/>
        </w:numPr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财务管理。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自评得分10分。</w:t>
      </w:r>
    </w:p>
    <w:p w14:paraId="254C827F">
      <w:pPr>
        <w:wordWrap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依照《中华人民共和国会计法》、《财务规则》、《行政单位会计制度》《中华人民共和国会计法》《行政事业单位财务管理办法》等规定制定出我会各项财务制度《黑水县妇女联合会财务管理制度》《黑水县妇女联合会2024年内控制度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等一系列财经规定，执行各项资金支付。自评得分4分。我会进行财务管理、核算、控制和监督，其中会计由具有代理资格的会计公司出任，专职出纳1名，符合财务岗位设置，岗位设置明确，自评得分2分。部门资金使用符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《黑水县妇女联合会财务管理制度》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规定，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财政资金使用明确资金支付审核流程，按照内控制度严格拨付，做到规范有效。自评得分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4分。</w:t>
      </w:r>
    </w:p>
    <w:p w14:paraId="3C66164C">
      <w:pPr>
        <w:widowControl w:val="0"/>
        <w:numPr>
          <w:ilvl w:val="0"/>
          <w:numId w:val="0"/>
        </w:numPr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资产管理。自评得分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8分。</w:t>
      </w:r>
    </w:p>
    <w:p w14:paraId="357A071B">
      <w:pPr>
        <w:wordWrap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2024年本部门固定资产年初总额为58.92万元，累计折旧30.21万元，净值28.70万元；年末资产原值59.41万元，累计折旧34.53万元，年末资产净值为24.87万元。2023年末在职人员5人，2024年度在职人员5人。一是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严格按照资产管理制度执行，购买物资达到规定金额做入账登记，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去年工作人员无减少增加，所以人均资产变化率0，自评得分3分；二是支持中小企业发展还不够，但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资产利用率高，使用率达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100%，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人均资产利用率较高，自评得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2分；三是资产管理，部门无闲置资产，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自评得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3分，资产盘活率100%。</w:t>
      </w:r>
    </w:p>
    <w:p w14:paraId="50D81337">
      <w:pPr>
        <w:widowControl w:val="0"/>
        <w:numPr>
          <w:ilvl w:val="0"/>
          <w:numId w:val="0"/>
        </w:numPr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采购管理。自评得分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6分。</w:t>
      </w:r>
    </w:p>
    <w:p w14:paraId="5B324B42">
      <w:pPr>
        <w:widowControl w:val="0"/>
        <w:numPr>
          <w:ilvl w:val="0"/>
          <w:numId w:val="0"/>
        </w:numPr>
        <w:wordWrap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本年度我会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政府采购一台电脑，达到政府采购的标准项目均按照我会政府采购内控制度执行，均在中小企业采购，采购执行率100%。</w:t>
      </w:r>
    </w:p>
    <w:p w14:paraId="63BDF8A7">
      <w:pPr>
        <w:widowControl/>
        <w:wordWrap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（二）部门预算项目绩效分析。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填报以下数据，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并根据部门预算绩效评价指标体系“项目绩效”涉及二、三级指标进行逐项绩效分析并评分，依次包括项目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决策、项目执行、目标实现等情况。</w:t>
      </w:r>
    </w:p>
    <w:p w14:paraId="14A6D5A3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常年项目绩效分析。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个，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1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个。</w:t>
      </w:r>
    </w:p>
    <w:p w14:paraId="72B7E3CD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）工资性支出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81.45万元，发放覆盖率100%</w:t>
      </w:r>
    </w:p>
    <w:p w14:paraId="5949235E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（2）单位缴费支出25.73万元，发放覆盖率100%</w:t>
      </w:r>
    </w:p>
    <w:p w14:paraId="20DD44E5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（3）住房公积金支出9.3万元，发放覆盖率100%</w:t>
      </w:r>
    </w:p>
    <w:p w14:paraId="6778B004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（4）年度考核奖支出7.33万元，发放覆盖率100%</w:t>
      </w:r>
    </w:p>
    <w:p w14:paraId="290E44BC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（5）在职人员基础性绩效奖19.26万元，发放覆盖率100%</w:t>
      </w:r>
    </w:p>
    <w:p w14:paraId="56B2D275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（6）公务用车运行维护费支出1.19万元，“三公”经费严控率100%</w:t>
      </w:r>
    </w:p>
    <w:p w14:paraId="74A4753B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（7）退休人员生活补助1.44万元，发放（缴纳）覆盖率100%</w:t>
      </w:r>
    </w:p>
    <w:p w14:paraId="17C33507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（8）体检费0.16万元，发放（缴纳）覆盖率100%。</w:t>
      </w:r>
    </w:p>
    <w:p w14:paraId="57A02A4F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（9）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日常公用经费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支出11.75万元，发放（缴纳）覆盖率100%</w:t>
      </w:r>
    </w:p>
    <w:p w14:paraId="682102FF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阶段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一次性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）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项目绩效分析。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13.61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1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个。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项目绩效以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个重点项目“暖冬慰问”、“‘三八’国际劳动妇女节活动”为例说明。</w:t>
      </w:r>
    </w:p>
    <w:p w14:paraId="1BEDAC0C">
      <w:pPr>
        <w:widowControl w:val="0"/>
        <w:numPr>
          <w:ilvl w:val="0"/>
          <w:numId w:val="2"/>
        </w:numPr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项目决策（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1</w:t>
      </w:r>
      <w:r>
        <w:rPr>
          <w:rFonts w:hint="eastAsia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2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分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）：预算项目均按规定履行评估论证、申报程序进行（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4分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）；在目标设置上科学合理，规范完整，预算也匹配（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4分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）：通过“暖冬慰问”的方式，给贫困妇女儿童带去党委政府的关怀；通过“‘三八’国际劳动妇女节</w:t>
      </w:r>
      <w:r>
        <w:rPr>
          <w:rFonts w:hint="eastAsia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系列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活动”产生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服务民生大众的社会效益，具有促进妇女积极健康发展的可持续发展作用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项目执行（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12分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）：预算项目实际列支内容完全与绩效目标设置方向相符，在执行同向问题上表现优良（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4分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）；在项目调整上，所有项目均依据临时状况及时做出调整（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4分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）；在执行结果上，无预算结余率小于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10%的项目，部门预算项目预算执行情况优良（4分）。</w:t>
      </w:r>
    </w:p>
    <w:p w14:paraId="60A355FF">
      <w:pPr>
        <w:widowControl w:val="0"/>
        <w:numPr>
          <w:ilvl w:val="0"/>
          <w:numId w:val="2"/>
        </w:numPr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目标实现（10分）：预算项目绩效目标数量指标均已完成（4分），在目标是否偏离上，部门预算项目绩效目标数量指标实现程度与预期目标基本无偏离（4分），在实现效果方面（2分），部门预算项目绩效目标效益指标上有待进步，如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‘三八’国际劳动妇女节活动，由于受天气、交通等方面的限制，影响力有一定区域局限性。</w:t>
      </w:r>
    </w:p>
    <w:p w14:paraId="0ADF9C72">
      <w:pPr>
        <w:widowControl/>
        <w:wordWrap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重点领域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绩效分析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无</w:t>
      </w:r>
    </w:p>
    <w:p w14:paraId="27325B5D">
      <w:pPr>
        <w:widowControl w:val="0"/>
        <w:wordWrap/>
        <w:adjustRightInd/>
        <w:spacing w:afterAutospacing="0" w:line="560" w:lineRule="exact"/>
        <w:ind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（四）绩效结果应用情况。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我会每年按规定对本单位项目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及整体支出进行绩效评价；并依法接受财政部门监督监管。</w:t>
      </w:r>
    </w:p>
    <w:p w14:paraId="1547B77A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eastAsia="zh-CN"/>
        </w:rPr>
        <w:t>四、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</w:rPr>
        <w:t>评价结论及建议</w:t>
      </w:r>
    </w:p>
    <w:p w14:paraId="08B190FF">
      <w:pPr>
        <w:widowControl/>
        <w:wordWrap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（一）评价结论。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通过加强绩效预算，财政资金得到有效使用，行政效率得到提高，促进了各项工作顺利开展。结合工作开展情况，我会2024年度支出绩效综合评价自评得分98分。</w:t>
      </w:r>
    </w:p>
    <w:p w14:paraId="10184395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二）存在问题。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一是单位工作任务重，财务人员紧缺，存在一人多岗。二是对财务人员的业务知识提升培训力度不够。</w:t>
      </w:r>
    </w:p>
    <w:p w14:paraId="4EC4043F">
      <w:pPr>
        <w:widowControl w:val="0"/>
        <w:wordWrap/>
        <w:adjustRightInd/>
        <w:spacing w:afterAutospacing="0" w:line="560" w:lineRule="exact"/>
        <w:ind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（三）改进建议。</w:t>
      </w:r>
      <w:bookmarkStart w:id="1" w:name="_Hlk110546638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一是下一步我会将完善、明确和细化各项财务管理制度，并严格按制度执行；二是我会积极参加会计人员业务能力提升的培训。</w:t>
      </w:r>
      <w:bookmarkEnd w:id="1"/>
    </w:p>
    <w:p w14:paraId="1F8FAE8A">
      <w:pPr>
        <w:wordWrap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附表：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部门整体支出绩效目标完成情况自评表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9"/>
        <w:gridCol w:w="59"/>
        <w:gridCol w:w="1288"/>
        <w:gridCol w:w="1273"/>
        <w:gridCol w:w="1100"/>
        <w:gridCol w:w="1144"/>
        <w:gridCol w:w="1"/>
        <w:gridCol w:w="1289"/>
        <w:gridCol w:w="1058"/>
        <w:gridCol w:w="926"/>
        <w:gridCol w:w="1113"/>
      </w:tblGrid>
      <w:tr w14:paraId="52A99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2" w:hRule="exact"/>
          <w:jc w:val="center"/>
        </w:trPr>
        <w:tc>
          <w:tcPr>
            <w:tcW w:w="10560" w:type="dxa"/>
            <w:gridSpan w:val="11"/>
            <w:noWrap w:val="0"/>
            <w:vAlign w:val="center"/>
          </w:tcPr>
          <w:p w14:paraId="45AB54E8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t>部门整体支出绩效目标完成情况自评表</w:t>
            </w:r>
          </w:p>
        </w:tc>
      </w:tr>
      <w:tr w14:paraId="156C6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560" w:type="dxa"/>
            <w:gridSpan w:val="11"/>
            <w:noWrap w:val="0"/>
            <w:vAlign w:val="center"/>
          </w:tcPr>
          <w:p w14:paraId="1C6E204A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（202</w:t>
            </w:r>
            <w:r>
              <w:rPr>
                <w:rFonts w:hint="eastAsia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年度）</w:t>
            </w:r>
          </w:p>
        </w:tc>
      </w:tr>
      <w:tr w14:paraId="2B9CE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560" w:type="dxa"/>
            <w:gridSpan w:val="11"/>
            <w:tcBorders>
              <w:bottom w:val="single" w:color="000000" w:sz="4" w:space="0"/>
            </w:tcBorders>
            <w:noWrap w:val="0"/>
            <w:vAlign w:val="center"/>
          </w:tcPr>
          <w:p w14:paraId="13A52868">
            <w:pPr>
              <w:widowControl/>
              <w:wordWrap/>
              <w:adjustRightInd/>
              <w:snapToGrid/>
              <w:spacing w:line="560" w:lineRule="exact"/>
              <w:jc w:val="righ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单位：万元</w:t>
            </w:r>
          </w:p>
        </w:tc>
      </w:tr>
      <w:tr w14:paraId="571CB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392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FC72E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部门名称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235DA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黑水县妇女联合会</w:t>
            </w:r>
          </w:p>
        </w:tc>
      </w:tr>
      <w:tr w14:paraId="56EFA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522D2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年度部门整体支出预算</w:t>
            </w:r>
          </w:p>
        </w:tc>
        <w:tc>
          <w:tcPr>
            <w:tcW w:w="2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4AF28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资金总额</w:t>
            </w:r>
          </w:p>
        </w:tc>
        <w:tc>
          <w:tcPr>
            <w:tcW w:w="2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A3474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财政拨款</w:t>
            </w:r>
          </w:p>
        </w:tc>
        <w:tc>
          <w:tcPr>
            <w:tcW w:w="43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6EDF1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其他资金</w:t>
            </w:r>
          </w:p>
        </w:tc>
      </w:tr>
      <w:tr w14:paraId="38DD6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D1B90">
            <w:pPr>
              <w:widowControl/>
              <w:wordWrap/>
              <w:adjustRightInd/>
              <w:snapToGrid/>
              <w:spacing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CE98F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146.94</w:t>
            </w:r>
          </w:p>
        </w:tc>
        <w:tc>
          <w:tcPr>
            <w:tcW w:w="2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9FCFD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146.94</w:t>
            </w:r>
          </w:p>
        </w:tc>
        <w:tc>
          <w:tcPr>
            <w:tcW w:w="43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1D3B1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0</w:t>
            </w:r>
          </w:p>
        </w:tc>
      </w:tr>
      <w:tr w14:paraId="0F1EB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B0A87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年度总体</w:t>
            </w:r>
          </w:p>
          <w:p w14:paraId="3CE028D2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目标</w:t>
            </w:r>
          </w:p>
        </w:tc>
        <w:tc>
          <w:tcPr>
            <w:tcW w:w="925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A93E4">
            <w:pPr>
              <w:widowControl/>
              <w:wordWrap/>
              <w:adjustRightInd/>
              <w:snapToGrid/>
              <w:spacing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一、预算绩效目标的指导思想。我会在县委县政府和州妇联的坚强领导下，</w:t>
            </w:r>
            <w:r>
              <w:rPr>
                <w:rFonts w:hint="eastAsia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坚持以习近平新时代中国特色社会主义思想为指导坚持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，积极发挥党建引领作用，坚持落实“保民生、保工资、保运转”重要要求，按照财政预算的编制原则，科学、精准、合理编制部门预算，保证县妇联各项工作有序开展，推进黑水县妇女儿童事业健康发展。</w:t>
            </w:r>
          </w:p>
          <w:p w14:paraId="5EBF57E1">
            <w:pPr>
              <w:widowControl/>
              <w:wordWrap/>
              <w:adjustRightInd/>
              <w:snapToGrid/>
              <w:spacing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二、机构设置和人员情况，本单位属于一级行政预算单位，无下属二级单位。单位机构设置情况：内设综合办公室；人员情况：本单位202</w:t>
            </w: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年预算编制人数5人。（其中：行政人员4人，行政工勤1人</w:t>
            </w: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，退休人员</w:t>
            </w: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2人。）</w:t>
            </w:r>
          </w:p>
          <w:p w14:paraId="2865D671">
            <w:pPr>
              <w:widowControl/>
              <w:wordWrap/>
              <w:adjustRightInd/>
              <w:snapToGrid/>
              <w:spacing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三、部门整体支出规模、使用方向、主要内容和涉及范围。我单位202</w:t>
            </w: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年度总收入</w:t>
            </w: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146.94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万元，其中：基本支出</w:t>
            </w: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135.94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万元（用于保障单位机构正常运转、完成日常工作任务而发生的各项支出，包括基本工资、津补贴、奖金、单位缴费等人员经费共计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122.99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万元；用于办公费、差旅费、公车运行维护费等日常公用经费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12.95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万元）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项目支出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11.00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万元。</w:t>
            </w:r>
          </w:p>
        </w:tc>
      </w:tr>
      <w:tr w14:paraId="358FC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7AA0C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年度主要</w:t>
            </w:r>
          </w:p>
          <w:p w14:paraId="6A95ECA4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任务</w:t>
            </w:r>
          </w:p>
        </w:tc>
        <w:tc>
          <w:tcPr>
            <w:tcW w:w="2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A26F2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任务名称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2D127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主要内容</w:t>
            </w:r>
          </w:p>
        </w:tc>
      </w:tr>
      <w:tr w14:paraId="484FE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4" w:hRule="atLeast"/>
          <w:jc w:val="center"/>
        </w:trPr>
        <w:tc>
          <w:tcPr>
            <w:tcW w:w="1368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DA225">
            <w:pPr>
              <w:widowControl/>
              <w:wordWrap/>
              <w:adjustRightInd/>
              <w:snapToGrid/>
              <w:spacing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710AA0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  <w:t>开展第11</w:t>
            </w: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  <w:t>个“三八”国际劳动妇女节系列活动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BC793E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  <w:t>我会</w:t>
            </w: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开展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  <w:t>活动主题，进行了</w:t>
            </w: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系列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  <w:t>活动。</w:t>
            </w:r>
          </w:p>
        </w:tc>
      </w:tr>
      <w:tr w14:paraId="6BD21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368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5EE0">
            <w:pPr>
              <w:widowControl/>
              <w:wordWrap/>
              <w:adjustRightInd/>
              <w:snapToGrid/>
              <w:spacing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1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6BCD7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  <w:t>妇女儿童安全温暖过冬和新春慰问</w:t>
            </w:r>
          </w:p>
        </w:tc>
        <w:tc>
          <w:tcPr>
            <w:tcW w:w="6631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452AE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我会对全县15个乡镇</w:t>
            </w: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0名贫困妇女、贫困儿童、留守老人、离任困难妇女干部进行妇女儿童安全温暖过冬和新春慰问，按每户500元的标准进行慰问，共计4</w:t>
            </w: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000元。</w:t>
            </w:r>
          </w:p>
        </w:tc>
      </w:tr>
      <w:tr w14:paraId="0F285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7AA28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年度绩效</w:t>
            </w:r>
          </w:p>
          <w:p w14:paraId="2E21B993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指标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03E8D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一级指标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844C4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二级指标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168EB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三级指标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E8F33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绩效指标</w:t>
            </w:r>
          </w:p>
          <w:p w14:paraId="3D45C621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性质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F65D2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绩效指标值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E9139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绩效度量单位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77A6F06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权重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62F04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实际完成</w:t>
            </w:r>
          </w:p>
          <w:p w14:paraId="1DDE55B6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指标值</w:t>
            </w:r>
          </w:p>
        </w:tc>
      </w:tr>
      <w:tr w14:paraId="434ED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CDF73">
            <w:pPr>
              <w:widowControl/>
              <w:wordWrap/>
              <w:adjustRightInd/>
              <w:snapToGrid/>
              <w:spacing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1BE7F">
            <w:pPr>
              <w:widowControl/>
              <w:wordWrap/>
              <w:adjustRightInd/>
              <w:snapToGrid/>
              <w:spacing w:line="560" w:lineRule="exact"/>
              <w:jc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产出指标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50846">
            <w:pPr>
              <w:widowControl/>
              <w:wordWrap/>
              <w:adjustRightInd/>
              <w:snapToGrid/>
              <w:spacing w:line="560" w:lineRule="exact"/>
              <w:jc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数量指标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D18D7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与会总人数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01D7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&gt;=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70E95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1037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57AB1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人次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F427B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49D66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1037</w:t>
            </w:r>
          </w:p>
        </w:tc>
      </w:tr>
      <w:tr w14:paraId="0FDD8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05514">
            <w:pPr>
              <w:widowControl/>
              <w:wordWrap/>
              <w:adjustRightInd/>
              <w:snapToGrid/>
              <w:spacing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22D17">
            <w:pPr>
              <w:widowControl/>
              <w:wordWrap/>
              <w:adjustRightInd/>
              <w:snapToGrid/>
              <w:spacing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99C32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时效指标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E86E8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项目按时完成率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0235A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FB184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33D3B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B775D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436B0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1228D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0D14D">
            <w:pPr>
              <w:widowControl/>
              <w:wordWrap/>
              <w:adjustRightInd/>
              <w:snapToGrid/>
              <w:spacing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3BEF1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效益指标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BF443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社会效益</w:t>
            </w:r>
          </w:p>
          <w:p w14:paraId="61C1FC13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6E6A4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推动我县妇女手工技能提升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F78E6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B8BD3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优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35D0A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178AE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B865E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优</w:t>
            </w:r>
          </w:p>
        </w:tc>
      </w:tr>
      <w:tr w14:paraId="66D8D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15275">
            <w:pPr>
              <w:widowControl/>
              <w:wordWrap/>
              <w:adjustRightInd/>
              <w:snapToGrid/>
              <w:spacing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B1D43">
            <w:pPr>
              <w:widowControl/>
              <w:wordWrap/>
              <w:adjustRightInd/>
              <w:snapToGrid/>
              <w:spacing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19FE2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经济效益指标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1E2FE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推动我县妇女增收致富、创造经济价值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3AFA1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&gt;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EA840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1000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9CD42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元/人/年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25145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B087F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1000</w:t>
            </w:r>
          </w:p>
        </w:tc>
      </w:tr>
      <w:tr w14:paraId="198BC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BA220">
            <w:pPr>
              <w:widowControl/>
              <w:wordWrap/>
              <w:adjustRightInd/>
              <w:snapToGrid/>
              <w:spacing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1C40A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满意度指标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5B4F2">
            <w:pPr>
              <w:widowControl/>
              <w:wordWrap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满意度指标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A5064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受帮扶妇女儿童满意度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66BA7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&gt;=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065E9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1FBEA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8608B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BD4D9">
            <w:pPr>
              <w:widowControl/>
              <w:wordWrap/>
              <w:adjustRightInd/>
              <w:snapToGrid/>
              <w:spacing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98 </w:t>
            </w:r>
          </w:p>
        </w:tc>
      </w:tr>
    </w:tbl>
    <w:p w14:paraId="2BF01F68">
      <w:pPr>
        <w:pStyle w:val="2"/>
        <w:rPr>
          <w:rFonts w:hint="default"/>
          <w:lang w:val="en-US" w:eastAsia="zh-CN"/>
        </w:rPr>
      </w:pPr>
    </w:p>
    <w:p w14:paraId="7A2AEBC4">
      <w:pPr>
        <w:pStyle w:val="2"/>
        <w:rPr>
          <w:rFonts w:hint="eastAsia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4"/>
    <w:multiLevelType w:val="singleLevel"/>
    <w:tmpl w:val="0000000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000000C"/>
    <w:multiLevelType w:val="singleLevel"/>
    <w:tmpl w:val="0000000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17FF0411"/>
    <w:rsid w:val="6FFFAF81"/>
    <w:rsid w:val="777F6E90"/>
    <w:rsid w:val="7BC75EE4"/>
    <w:rsid w:val="9FDF9878"/>
    <w:rsid w:val="EFBF0E37"/>
    <w:rsid w:val="FEE78D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semiHidden/>
    <w:qFormat/>
    <w:uiPriority w:val="0"/>
    <w:rPr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9</Pages>
  <Words>4230</Words>
  <Characters>4586</Characters>
  <Lines>2</Lines>
  <Paragraphs>1</Paragraphs>
  <TotalTime>5</TotalTime>
  <ScaleCrop>false</ScaleCrop>
  <LinksUpToDate>false</LinksUpToDate>
  <CharactersWithSpaces>4588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2019-08-20T17:06:00Z</dcterms:created>
  <dc:creator>Sky123.Org</dc:creator>
  <cp:lastModifiedBy>高能电脑打印</cp:lastModifiedBy>
  <dcterms:modified xsi:type="dcterms:W3CDTF">2025-08-28T01:54:54Z</dcterms:modified>
  <dc:title>user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0364476B219941D7B00DCF5A6D93AFAA_12</vt:lpwstr>
  </property>
  <property fmtid="{D5CDD505-2E9C-101B-9397-08002B2CF9AE}" pid="4" name="KSOTemplateDocerSaveRecord">
    <vt:lpwstr>eyJoZGlkIjoiMGM3MDI4YWYwYjViOTMyYTUyN2MxOWY3YTk0NTI0NWIiLCJ1c2VySWQiOiIyMzYzNzMyOTYifQ==</vt:lpwstr>
  </property>
</Properties>
</file>