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B397F">
      <w:pPr>
        <w:jc w:val="both"/>
        <w:rPr>
          <w:rFonts w:hint="eastAsia" w:ascii="仿宋_GB2312" w:eastAsia="仿宋_GB2312" w:cs="楷体_GB2312"/>
          <w:sz w:val="32"/>
          <w:szCs w:val="32"/>
          <w:lang w:eastAsia="zh-CN" w:bidi="ar-SA"/>
        </w:rPr>
      </w:pPr>
    </w:p>
    <w:p w14:paraId="7DC040B3">
      <w:pPr>
        <w:ind w:left="0" w:firstLine="569"/>
        <w:jc w:val="center"/>
        <w:rPr>
          <w:rFonts w:hint="eastAsia" w:ascii="楷体_GB2312" w:eastAsia="楷体_GB2312" w:cs="楷体_GB2312"/>
          <w:sz w:val="32"/>
          <w:szCs w:val="32"/>
          <w:lang w:val="en-US" w:eastAsia="zh-CN" w:bidi="ar-SA"/>
        </w:rPr>
      </w:pPr>
      <w:r>
        <w:rPr>
          <w:rFonts w:eastAsia="宋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-5080</wp:posOffset>
            </wp:positionV>
            <wp:extent cx="5720715" cy="1526540"/>
            <wp:effectExtent l="0" t="0" r="0" b="0"/>
            <wp:wrapTopAndBottom/>
            <wp:docPr id="4" name="图片 2" descr="未命名 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未命名 -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152654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楷体_GB2312"/>
          <w:sz w:val="32"/>
          <w:szCs w:val="32"/>
          <w:lang w:eastAsia="zh-CN" w:bidi="ar-SA"/>
        </w:rPr>
        <w:t>黑妇</w:t>
      </w:r>
      <w:r>
        <w:rPr>
          <w:rFonts w:hint="eastAsia" w:ascii="仿宋_GB2312" w:eastAsia="仿宋_GB2312" w:cs="微软雅黑"/>
          <w:sz w:val="32"/>
          <w:szCs w:val="32"/>
          <w:lang w:eastAsia="zh-CN" w:bidi="ar-SA"/>
        </w:rPr>
        <w:t>〔</w:t>
      </w:r>
      <w:r>
        <w:rPr>
          <w:rFonts w:hint="eastAsia" w:ascii="仿宋_GB2312" w:eastAsia="仿宋_GB2312" w:cs="楷体_GB2312"/>
          <w:sz w:val="32"/>
          <w:szCs w:val="32"/>
          <w:lang w:eastAsia="zh-CN" w:bidi="ar-SA"/>
        </w:rPr>
        <w:t>202</w:t>
      </w:r>
      <w:r>
        <w:rPr>
          <w:rFonts w:hint="eastAsia" w:ascii="仿宋_GB2312" w:eastAsia="仿宋_GB2312" w:cs="楷体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eastAsia="仿宋_GB2312" w:cs="微软雅黑"/>
          <w:sz w:val="32"/>
          <w:szCs w:val="32"/>
          <w:lang w:eastAsia="zh-CN" w:bidi="ar-SA"/>
        </w:rPr>
        <w:t>〕</w:t>
      </w:r>
      <w:r>
        <w:rPr>
          <w:rFonts w:hint="eastAsia" w:ascii="仿宋_GB2312" w:eastAsia="仿宋_GB2312" w:cs="微软雅黑"/>
          <w:sz w:val="32"/>
          <w:szCs w:val="32"/>
          <w:lang w:val="en-US" w:eastAsia="zh-CN" w:bidi="ar-SA"/>
        </w:rPr>
        <w:t>5</w:t>
      </w:r>
      <w:r>
        <w:rPr>
          <w:rFonts w:hint="eastAsia" w:ascii="仿宋_GB2312" w:eastAsia="仿宋_GB2312" w:cs="楷体_GB2312"/>
          <w:sz w:val="32"/>
          <w:szCs w:val="32"/>
          <w:lang w:eastAsia="zh-CN" w:bidi="ar-SA"/>
        </w:rPr>
        <w:t>号</w:t>
      </w:r>
      <w:r>
        <w:rPr>
          <w:rFonts w:hint="eastAsia" w:ascii="楷体_GB2312" w:eastAsia="楷体_GB2312" w:cs="楷体_GB2312"/>
          <w:sz w:val="28"/>
          <w:szCs w:val="28"/>
          <w:lang w:val="en-US" w:eastAsia="zh-CN" w:bidi="ar-SA"/>
        </w:rPr>
        <w:t xml:space="preserve">                     </w:t>
      </w:r>
      <w:r>
        <w:rPr>
          <w:rFonts w:hint="eastAsia" w:ascii="仿宋_GB2312" w:eastAsia="仿宋_GB2312" w:cs="楷体_GB2312"/>
          <w:sz w:val="32"/>
          <w:szCs w:val="32"/>
          <w:lang w:val="en-US" w:eastAsia="zh-CN" w:bidi="ar-SA"/>
        </w:rPr>
        <w:t>签发人：</w:t>
      </w:r>
      <w:r>
        <w:rPr>
          <w:rFonts w:hint="eastAsia" w:ascii="楷体_GB2312" w:eastAsia="楷体_GB2312" w:cs="楷体_GB2312"/>
          <w:sz w:val="32"/>
          <w:szCs w:val="32"/>
          <w:lang w:val="en-US" w:eastAsia="zh-CN" w:bidi="ar-SA"/>
        </w:rPr>
        <w:t>兰晓红</w:t>
      </w:r>
    </w:p>
    <w:p w14:paraId="7624D8C8">
      <w:pPr>
        <w:widowControl/>
        <w:spacing w:line="560" w:lineRule="exact"/>
        <w:jc w:val="center"/>
        <w:rPr>
          <w:rFonts w:eastAsia="宋体"/>
          <w:b/>
          <w:sz w:val="44"/>
          <w:szCs w:val="44"/>
          <w:shd w:val="clear" w:color="auto" w:fill="FFFFFF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69850</wp:posOffset>
                </wp:positionV>
                <wp:extent cx="5622290" cy="18415"/>
                <wp:effectExtent l="0" t="0" r="0" b="0"/>
                <wp:wrapNone/>
                <wp:docPr id="7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600000" flipV="1">
                          <a:off x="0" y="0"/>
                          <a:ext cx="5622290" cy="18414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flip:y;margin-left:-12.95pt;margin-top:5.5pt;height:1.45pt;width:442.7pt;z-index:251659264;mso-width-relative:page;mso-height-relative:page;" filled="f" stroked="t" coordsize="21600,21600" o:gfxdata="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w5D0bbAAAACQEAAA8AAAAAAAAAAQAgAAAAIgAAAGRycy9kb3du&#10;cmV2LnhtbFBLAQIUABQAAAAIAIdO4kCigIILNQIAAEQEAAAOAAAAAAAAAAEAIAAAACoBAABkcnMv&#10;ZTJvRG9jLnhtbFBLBQYAAAAABgAGAFkBAADR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7DF9942">
      <w:pPr>
        <w:widowControl/>
        <w:spacing w:line="578" w:lineRule="exact"/>
        <w:contextualSpacing/>
        <w:jc w:val="center"/>
        <w:rPr>
          <w:rFonts w:hint="eastAsia" w:eastAsia="方正小标宋简体"/>
          <w:bCs/>
          <w:sz w:val="44"/>
          <w:szCs w:val="44"/>
          <w:shd w:val="clear" w:color="auto" w:fill="FFFFFF"/>
          <w:lang w:eastAsia="zh-CN"/>
        </w:rPr>
      </w:pPr>
      <w:r>
        <w:rPr>
          <w:rFonts w:hint="eastAsia" w:eastAsia="方正小标宋简体"/>
          <w:bCs/>
          <w:sz w:val="44"/>
          <w:szCs w:val="44"/>
          <w:shd w:val="clear" w:color="auto" w:fill="FFFFFF"/>
          <w:lang w:eastAsia="zh-CN"/>
        </w:rPr>
        <w:t>黑水县妇女联合会</w:t>
      </w:r>
    </w:p>
    <w:p w14:paraId="65CE0AE9">
      <w:pPr>
        <w:widowControl/>
        <w:spacing w:line="578" w:lineRule="exact"/>
        <w:contextualSpacing/>
        <w:jc w:val="center"/>
        <w:rPr>
          <w:rFonts w:eastAsia="方正小标宋简体"/>
          <w:bCs/>
          <w:sz w:val="44"/>
          <w:szCs w:val="44"/>
          <w:shd w:val="clear" w:color="auto" w:fill="FFFFFF"/>
        </w:rPr>
      </w:pPr>
      <w:r>
        <w:rPr>
          <w:rFonts w:eastAsia="方正小标宋简体"/>
          <w:bCs/>
          <w:sz w:val="44"/>
          <w:szCs w:val="44"/>
          <w:shd w:val="clear" w:color="auto" w:fill="FFFFFF"/>
        </w:rPr>
        <w:t>部门预算绩效</w:t>
      </w:r>
      <w:r>
        <w:rPr>
          <w:rFonts w:hint="eastAsia" w:eastAsia="方正小标宋简体"/>
          <w:bCs/>
          <w:sz w:val="44"/>
          <w:szCs w:val="44"/>
          <w:shd w:val="clear" w:color="auto" w:fill="FFFFFF"/>
        </w:rPr>
        <w:t>自评</w:t>
      </w:r>
      <w:r>
        <w:rPr>
          <w:rFonts w:eastAsia="方正小标宋简体"/>
          <w:bCs/>
          <w:sz w:val="44"/>
          <w:szCs w:val="44"/>
          <w:shd w:val="clear" w:color="auto" w:fill="FFFFFF"/>
        </w:rPr>
        <w:t>报告</w:t>
      </w:r>
    </w:p>
    <w:p w14:paraId="0A34F97D">
      <w:pPr>
        <w:widowControl/>
        <w:spacing w:line="578" w:lineRule="exact"/>
        <w:contextualSpacing/>
        <w:jc w:val="center"/>
        <w:rPr>
          <w:szCs w:val="32"/>
          <w:shd w:val="clear" w:color="auto" w:fill="FFFFFF"/>
        </w:rPr>
      </w:pPr>
      <w:r>
        <w:rPr>
          <w:szCs w:val="32"/>
          <w:shd w:val="clear" w:color="auto" w:fill="FFFFFF"/>
        </w:rPr>
        <w:t>（报告范围包括机关和下属单位）</w:t>
      </w:r>
    </w:p>
    <w:p w14:paraId="618820FB">
      <w:pPr>
        <w:widowControl/>
        <w:adjustRightInd w:val="0"/>
        <w:snapToGrid w:val="0"/>
        <w:spacing w:line="578" w:lineRule="exact"/>
        <w:ind w:firstLine="480" w:firstLineChars="200"/>
        <w:contextualSpacing/>
        <w:jc w:val="left"/>
        <w:rPr>
          <w:rFonts w:eastAsia="黑体"/>
          <w:color w:val="000000"/>
          <w:kern w:val="0"/>
          <w:sz w:val="24"/>
          <w:szCs w:val="32"/>
          <w:shd w:val="clear" w:color="auto" w:fill="FFFFFF"/>
        </w:rPr>
      </w:pPr>
    </w:p>
    <w:p w14:paraId="6F3049CC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szCs w:val="32"/>
        </w:rPr>
      </w:pPr>
      <w:r>
        <w:rPr>
          <w:rFonts w:eastAsia="黑体"/>
          <w:color w:val="000000"/>
          <w:kern w:val="0"/>
          <w:szCs w:val="32"/>
          <w:shd w:val="clear" w:color="auto" w:fill="FFFFFF"/>
          <w:lang w:val="zh-CN"/>
        </w:rPr>
        <w:t>一、部门（单位）基本情况</w:t>
      </w:r>
    </w:p>
    <w:p w14:paraId="10CCF647">
      <w:pPr>
        <w:widowControl/>
        <w:wordWrap/>
        <w:adjustRightInd w:val="0"/>
        <w:snapToGrid w:val="0"/>
        <w:spacing w:line="560" w:lineRule="exact"/>
        <w:ind w:left="0" w:firstLine="643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sz w:val="3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（一）机构组成。</w:t>
      </w:r>
      <w:r>
        <w:rPr>
          <w:rFonts w:hint="eastAsia" w:ascii="仿宋_GB2312" w:eastAsia="仿宋_GB2312" w:cs="仿宋_GB2312"/>
          <w:sz w:val="32"/>
          <w:szCs w:val="32"/>
          <w:lang w:val="zh-CN" w:eastAsia="zh-CN"/>
        </w:rPr>
        <w:t>黑水县妇女联合会属于独立核算一级预算单位，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内设综合办公室，没有下属单位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 w14:paraId="266BAC5C">
      <w:pPr>
        <w:wordWrap/>
        <w:spacing w:line="560" w:lineRule="exact"/>
        <w:ind w:left="0" w:firstLine="643" w:firstLineChars="200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（二）机构职能。</w:t>
      </w:r>
    </w:p>
    <w:p w14:paraId="56EBDA30">
      <w:pPr>
        <w:wordWrap/>
        <w:spacing w:line="560" w:lineRule="exact"/>
        <w:ind w:left="0" w:firstLine="643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妇联基本职能</w:t>
      </w:r>
      <w:r>
        <w:rPr>
          <w:rFonts w:hint="eastAsia" w:ascii="仿宋_GB2312" w:cs="仿宋_GB2312"/>
          <w:b/>
          <w:bCs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代表和维护妇女儿童合法权益、促进男女平等和妇女全面发展为核心，主要承担引领服务联系妇女、推动家庭文明建设、维护妇女儿童权益、加强基层组织建设、开展联络协调等职能，全面落实上级妇联及县委县政府工作部署。</w:t>
      </w:r>
    </w:p>
    <w:p w14:paraId="06E9FC34">
      <w:pPr>
        <w:wordWrap/>
        <w:spacing w:line="560" w:lineRule="exact"/>
        <w:ind w:left="0" w:firstLine="643" w:firstLineChars="200"/>
        <w:rPr>
          <w:rFonts w:hint="eastAsia" w:asci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妇联基本任务:</w:t>
      </w:r>
    </w:p>
    <w:p w14:paraId="5494AD7B">
      <w:pPr>
        <w:wordWrap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一、指导全县各级妇联依据《中华全国妇女联合会章程》和妇女代表大会的决定、决议，开展妇女儿童工作，联系团体会员，并给予业务指导。</w:t>
      </w:r>
    </w:p>
    <w:p w14:paraId="5021DCDE">
      <w:pPr>
        <w:wordWrap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二、指导和推动全县农村妇女“双学双比”活动、城镇妇女“巾帼建功”活动和“五好文明家庭”创建活动;为全县经济发展和三个文明建设发挥妇女生力军作用。</w:t>
      </w:r>
    </w:p>
    <w:p w14:paraId="3DD5CA46">
      <w:pPr>
        <w:wordWrap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三、教育、引导广大妇女“自尊、自信、自立、自强”，调查、发现、总结、推荐妇女典型，开展女性成才研讨，实施女性素质工程，促进妇女人才成长，全面提高妇女素质。</w:t>
      </w:r>
    </w:p>
    <w:p w14:paraId="50259DA7">
      <w:pPr>
        <w:wordWrap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四、维护妇女儿童合法权益，调查研究妇女、儿童问题，为县委、县政府决策提供依据，提出建议，动员妇女参与国家和社会事务的民主管理、民主监督，促进妇女参政议政，贯彻实施有关妇女儿童法律、法规、政策。</w:t>
      </w:r>
    </w:p>
    <w:p w14:paraId="15FEC0EE">
      <w:pPr>
        <w:wordWrap/>
        <w:spacing w:line="56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五、加强</w:t>
      </w:r>
      <w:r>
        <w:rPr>
          <w:rFonts w:hint="eastAsia" w:ascii="仿宋_GB2312" w:cs="仿宋_GB2312"/>
          <w:sz w:val="32"/>
          <w:szCs w:val="32"/>
          <w:lang w:val="en-US" w:eastAsia="zh-CN"/>
        </w:rPr>
        <w:t>基层党组织建设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，扩大组织网络，拓宽工作领域。</w:t>
      </w:r>
    </w:p>
    <w:p w14:paraId="1EBCF0B2">
      <w:pPr>
        <w:wordWrap/>
        <w:spacing w:line="560" w:lineRule="exact"/>
        <w:ind w:firstLine="640" w:firstLineChars="200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六、负责与社会各族各界妇女的联络，加强与民主党派、工商联和团体会员之间的联系。</w:t>
      </w:r>
    </w:p>
    <w:p w14:paraId="0E25C3FE">
      <w:pPr>
        <w:widowControl w:val="0"/>
        <w:wordWrap/>
        <w:adjustRightInd/>
        <w:snapToGrid/>
        <w:spacing w:line="560" w:lineRule="exact"/>
        <w:ind w:firstLine="643" w:firstLineChars="200"/>
        <w:textAlignment w:val="auto"/>
        <w:rPr>
          <w:rFonts w:eastAsia="仿宋_GB2312"/>
          <w:szCs w:val="32"/>
          <w:lang w:val="en-US" w:eastAsia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（三）人员概况。</w:t>
      </w:r>
      <w:r>
        <w:rPr>
          <w:szCs w:val="32"/>
        </w:rPr>
        <w:t>截至202</w:t>
      </w:r>
      <w:r>
        <w:rPr>
          <w:rFonts w:hint="eastAsia"/>
          <w:szCs w:val="32"/>
        </w:rPr>
        <w:t>5</w:t>
      </w:r>
      <w:r>
        <w:rPr>
          <w:szCs w:val="32"/>
        </w:rPr>
        <w:t>年末，</w:t>
      </w:r>
      <w:r>
        <w:rPr>
          <w:rFonts w:hint="eastAsia"/>
          <w:szCs w:val="32"/>
          <w:lang w:eastAsia="zh-CN"/>
        </w:rPr>
        <w:t>黑水县妇女联合会总编制</w:t>
      </w:r>
      <w:r>
        <w:rPr>
          <w:rFonts w:hint="eastAsia" w:ascii="仿宋_GB2312" w:cs="仿宋_GB2312"/>
          <w:sz w:val="32"/>
          <w:szCs w:val="32"/>
          <w:lang w:val="en-US" w:eastAsia="zh-CN"/>
        </w:rPr>
        <w:t>7人</w:t>
      </w:r>
      <w:r>
        <w:rPr>
          <w:rFonts w:hint="eastAsia"/>
          <w:szCs w:val="32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其中：</w:t>
      </w:r>
      <w:r>
        <w:rPr>
          <w:rFonts w:hint="eastAsia" w:ascii="仿宋_GB2312" w:cs="仿宋_GB2312"/>
          <w:sz w:val="32"/>
          <w:szCs w:val="32"/>
          <w:lang w:val="en-US" w:eastAsia="zh-CN"/>
        </w:rPr>
        <w:t>参公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编制</w:t>
      </w:r>
      <w:r>
        <w:rPr>
          <w:rFonts w:hint="eastAsia" w:asci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名，行政工勤1名。</w:t>
      </w:r>
      <w:r>
        <w:rPr>
          <w:rFonts w:hint="eastAsia" w:ascii="仿宋_GB2312" w:eastAsia="仿宋_GB2312" w:cs="仿宋_GB2312"/>
          <w:sz w:val="32"/>
          <w:szCs w:val="32"/>
        </w:rPr>
        <w:t>年末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在职</w:t>
      </w:r>
      <w:r>
        <w:rPr>
          <w:rFonts w:hint="eastAsia" w:ascii="仿宋_GB2312" w:eastAsia="仿宋_GB2312" w:cs="仿宋_GB2312"/>
          <w:sz w:val="32"/>
          <w:szCs w:val="32"/>
        </w:rPr>
        <w:t>实有人数</w:t>
      </w:r>
      <w:r>
        <w:rPr>
          <w:rFonts w:hint="eastAsia" w:asci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人，退休人员2名。</w:t>
      </w:r>
    </w:p>
    <w:p w14:paraId="160D4CC6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二、部门资金收支情况</w:t>
      </w:r>
    </w:p>
    <w:p w14:paraId="02DF0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ascii="仿宋_GB2312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（一）收入情况。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黑水县妇女联合会202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年年初预算收入126.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81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万元、决算报表收入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219.59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万元，预算与决算差异为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92.78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万元，差异率为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73.16%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。主要原因是年初预算不可申报项目经费，年度执行中项目经费追加。</w:t>
      </w:r>
    </w:p>
    <w:p w14:paraId="0CE4D5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3" w:firstLineChars="200"/>
        <w:contextualSpacing/>
        <w:jc w:val="both"/>
        <w:textAlignment w:val="auto"/>
        <w:outlineLvl w:val="9"/>
        <w:rPr>
          <w:szCs w:val="32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（二）支出情况。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黑水县妇女联合会202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年年初预算支出情况、决算报表支出情况如下。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部门202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年年初预算支出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126.81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其中一般公共服务支</w:t>
      </w:r>
      <w:r>
        <w:rPr>
          <w:rFonts w:hint="eastAsia" w:ascii="Times New Roman" w:hAnsi="Times New Roman" w:eastAsia="仿宋_GB2312" w:cs="Times New Roman"/>
          <w:b w:val="0"/>
          <w:color w:val="000000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90.65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71.48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%；社会保障和就业支出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19.14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万元，占总支出的15.0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%；卫生健康支出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7.43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万元，占总支出5.86%；住房保障支出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9.57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万元，占总支出7.5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%。202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年决算报表支出，财政预算拨款总支出</w:t>
      </w:r>
      <w:r>
        <w:rPr>
          <w:rFonts w:hint="eastAsia" w:ascii="仿宋_GB2312" w:cs="仿宋_GB2312"/>
          <w:color w:val="auto"/>
          <w:sz w:val="32"/>
          <w:szCs w:val="32"/>
          <w:highlight w:val="none"/>
          <w:lang w:val="en-US" w:eastAsia="zh-CN"/>
        </w:rPr>
        <w:t>219.59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万元，其中：一般公共服务支出</w:t>
      </w:r>
      <w:r>
        <w:rPr>
          <w:rFonts w:hint="eastAsia" w:cs="Times New Roman"/>
          <w:b w:val="0"/>
          <w:color w:val="000000"/>
          <w:kern w:val="2"/>
          <w:sz w:val="32"/>
          <w:szCs w:val="32"/>
          <w:highlight w:val="none"/>
          <w:lang w:val="en-US" w:eastAsia="zh-CN" w:bidi="ar-SA"/>
        </w:rPr>
        <w:t>179.85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81.90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%，社会保障和就业支出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20.84</w:t>
      </w:r>
      <w:r>
        <w:rPr>
          <w:rFonts w:hint="eastAsia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元，占总支出的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9.49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%；卫生健康支出7.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96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3.62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%；住房保障支出</w:t>
      </w:r>
      <w:r>
        <w:rPr>
          <w:rFonts w:hint="eastAsia" w:cs="Times New Roman"/>
          <w:b w:val="0"/>
          <w:color w:val="000000"/>
          <w:kern w:val="2"/>
          <w:sz w:val="32"/>
          <w:szCs w:val="32"/>
          <w:highlight w:val="none"/>
          <w:lang w:val="en-US" w:eastAsia="zh-CN" w:bidi="ar-SA"/>
        </w:rPr>
        <w:t>10.92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万元，占总支出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4.97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%。预算与决算差异为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92.78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万元，差异率为</w:t>
      </w:r>
      <w:r>
        <w:rPr>
          <w:rFonts w:hint="eastAsia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73.16</w:t>
      </w: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因为202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年年初预算中不能申报项目经费，所以存在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项目经费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追加情况。</w:t>
      </w:r>
    </w:p>
    <w:p w14:paraId="1FCBCF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</w:t>
      </w:r>
      <w:r>
        <w:rPr>
          <w:rFonts w:eastAsia="楷体_GB2312"/>
          <w:b/>
          <w:szCs w:val="32"/>
        </w:rPr>
        <w:t>结余分配和结转结余情况。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黑水县妇女联合会202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年决算报表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结转结余为</w:t>
      </w:r>
      <w:r>
        <w:rPr>
          <w:rFonts w:hint="eastAsia" w:ascii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16.38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万元，</w:t>
      </w:r>
      <w:r>
        <w:rPr>
          <w:rFonts w:hint="eastAsia" w:ascii="仿宋_GB2312" w:cs="仿宋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全部返还财政。</w:t>
      </w:r>
    </w:p>
    <w:p w14:paraId="077DD9F3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 w14:paraId="3E26298B">
      <w:pPr>
        <w:adjustRightInd w:val="0"/>
        <w:snapToGrid w:val="0"/>
        <w:spacing w:line="578" w:lineRule="exact"/>
        <w:ind w:firstLine="643" w:firstLineChars="200"/>
        <w:contextualSpacing/>
        <w:jc w:val="left"/>
        <w:rPr>
          <w:color w:val="000000"/>
          <w:kern w:val="0"/>
          <w:szCs w:val="32"/>
          <w:highlight w:val="yellow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（一）部门预算总体绩效分析。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en-US" w:eastAsia="zh-CN"/>
        </w:rPr>
        <w:t>54分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</w:p>
    <w:p w14:paraId="4666C1FD">
      <w:pPr>
        <w:widowControl/>
        <w:wordWrap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lang w:val="zh-CN"/>
        </w:rPr>
      </w:pP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为确保部门工作的正常运转，完成各项工作任务，县妇联预算编制严格按照《中华人民共和国预算法》编制，编制较为及时，准确，确保预算编制的全面性和科学性。按照县级财政部门的部署，结合县妇联部门实际情况，及时编制了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部门预算，坚持公开透明，提高预算透明度，促进我会发展稳定为重点，以提高公共服务水平为目标，以绩效评价结果为导向，以制度、机制建设为保障的“务实、规范、高效”的预算管理机制，按照财务部门的要求及时报送部门的各类财务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报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zh-CN" w:eastAsia="zh-CN" w:bidi="ar-SA"/>
        </w:rPr>
        <w:t>表。</w:t>
      </w:r>
    </w:p>
    <w:p w14:paraId="52E2E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rPr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eastAsia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hint="eastAsia" w:eastAsia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15分</w:t>
      </w:r>
      <w:r>
        <w:rPr>
          <w:rFonts w:hint="eastAsia" w:eastAsia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 w14:paraId="12965D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开展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暖冬慰问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送温暖活动。面向全县15个乡镇，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对90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名困难儿童、单亲母亲开展走访慰问，按每户500元标准发放慰问金，及时将党委政府的关怀送到困难妇女儿童身边。慰问资金于春节前全部发放到位，任务完成率100%，群众满意度100%。自评得分 5 分。</w:t>
      </w:r>
    </w:p>
    <w:p w14:paraId="30F0E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（2）开展“三八”国际妇女节主题活动。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紧扣第115个“三八”国际劳动妇女节“巾帼心向党 奋进新征程”主题，组织开展妇女维权宣传、风采展示等系列活动，参与妇女达500人次以上。项目按期完成，有效营造尊重妇女、关爱妇女的良好氛围，社会效益显著，对促进妇女全面发展具有长效作用，妇女满意度达95%以上。自评得分5分。</w:t>
      </w:r>
    </w:p>
    <w:p w14:paraId="5BCB0C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lang w:val="zh-CN"/>
        </w:rPr>
      </w:pP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单亲母亲暖心包发放项目。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为全县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553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名单亲母亲全覆盖发放暖心包</w:t>
      </w:r>
      <w:r>
        <w:rPr>
          <w:rFonts w:hint="eastAsia" w:ascii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、购买保险，为7名重特大患病妇女发放资金</w:t>
      </w:r>
      <w:r>
        <w:rPr>
          <w:rFonts w:hint="eastAsia" w:asci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，实现应发尽发、无遗漏，项目完成率100%。资金使用规范、发放流程公开透明，切实缓解单亲母亲生活压力，有效传递党和政府温暖，显著提升妇女群众获得感、幸福感与安全感，进一步增强妇联组织凝聚力，社会效益突出，服务对象满意度达97%。自评得分5分。</w:t>
      </w:r>
    </w:p>
    <w:p w14:paraId="26CC1FD3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  <w:lang w:val="en-US" w:eastAsia="zh-CN"/>
        </w:rPr>
      </w:pPr>
      <w:r>
        <w:rPr>
          <w:rFonts w:eastAsia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eastAsia="楷体_GB2312"/>
          <w:color w:val="000000"/>
          <w:kern w:val="0"/>
          <w:szCs w:val="32"/>
          <w:shd w:val="clear" w:color="auto" w:fill="FFFFFF"/>
          <w:lang w:val="zh-CN"/>
        </w:rPr>
        <w:t>预算管理。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16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分）</w:t>
      </w:r>
    </w:p>
    <w:p w14:paraId="7C7FB1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lang w:val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zh-CN" w:eastAsia="zh-CN"/>
        </w:rPr>
        <w:t>一是</w:t>
      </w:r>
      <w:r>
        <w:rPr>
          <w:rFonts w:hint="eastAsia" w:ascii="仿宋_GB2312" w:eastAsia="仿宋_GB2312" w:cs="仿宋_GB2312"/>
          <w:sz w:val="32"/>
          <w:szCs w:val="32"/>
          <w:lang w:val="zh-CN" w:eastAsia="zh-CN"/>
        </w:rPr>
        <w:t>预算编制质量；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严格按照财政</w:t>
      </w:r>
      <w:r>
        <w:rPr>
          <w:rFonts w:hint="eastAsia" w:ascii="仿宋_GB2312" w:cs="仿宋_GB2312"/>
          <w:sz w:val="32"/>
          <w:szCs w:val="32"/>
          <w:lang w:val="en-US" w:eastAsia="zh-CN"/>
        </w:rPr>
        <w:t>部门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编制年度预算，绩效目标设置清晰、完整、合理，能够全面准确反映部门年度履职重点与工作任务；项目绩效目标明确、可量化、可考核，预算草案经审查无修改意见。但预算编制对日常公用经费测算不够精准，导致个别日常经费出现结余，预算与实际支出匹配度有待提升，</w:t>
      </w:r>
      <w:bookmarkStart w:id="1" w:name="_GoBack"/>
      <w:bookmarkEnd w:id="1"/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自评得分3分。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单位收入统筹；全年收入全部为财政拨款收入，均按规定完整纳入预算管理，收入统筹与管理规范到位，自评得分4分。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支出执行</w:t>
      </w:r>
      <w:r>
        <w:rPr>
          <w:rFonts w:hint="eastAsia" w:ascii="仿宋_GB2312" w:cs="仿宋_GB2312"/>
          <w:sz w:val="32"/>
          <w:szCs w:val="32"/>
          <w:lang w:val="en-US" w:eastAsia="zh-CN"/>
        </w:rPr>
        <w:t>进度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；严格按照预算与项目进度及时拨付资金，资金支付及时高效，保障各项工作有序开展，执行情况良好，自评得分4分。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预算年终结余；年末结转结余16.38 万元，按规定全额返还财政，结余规模偏大，预算执行均衡性有待提升，自评得分0分。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严控一般性支出；坚持厉行节约，从严管控“三公”经费、办公费、会议费、差旅费、培训费等一般性支出，全年决算数均未突破预算控制数，管控成效明显，自评得分5分。</w:t>
      </w:r>
    </w:p>
    <w:p w14:paraId="0B616750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  <w:lang w:val="en-US" w:eastAsia="zh-CN"/>
        </w:rPr>
      </w:pPr>
      <w:r>
        <w:rPr>
          <w:rFonts w:eastAsia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eastAsia="楷体_GB2312"/>
          <w:color w:val="000000"/>
          <w:kern w:val="0"/>
          <w:szCs w:val="32"/>
          <w:shd w:val="clear" w:color="auto" w:fill="FFFFFF"/>
          <w:lang w:val="zh-CN"/>
        </w:rPr>
        <w:t>财务管理。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（9分）</w:t>
      </w:r>
    </w:p>
    <w:p w14:paraId="2DD41D0F">
      <w:pPr>
        <w:wordWrap/>
        <w:spacing w:line="560" w:lineRule="exact"/>
        <w:ind w:firstLine="643" w:firstLineChars="200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cs="仿宋_GB2312"/>
          <w:b/>
          <w:bCs/>
          <w:color w:val="auto"/>
          <w:sz w:val="32"/>
          <w:szCs w:val="32"/>
          <w:lang w:val="en-US" w:eastAsia="zh-CN"/>
        </w:rPr>
        <w:t>一在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财务管理制度方面，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严格依照《中华人民共和国会计法》《行政单位财务规则》《行政单位会计制度》《行政事业单位内部控制规范（试行）》等财经法规，制定完善《黑水县妇女联合会财务管理制度》《黑水县妇女联合会 2025 年内控制度》等一系列内部管理制度，制度体系健全、覆盖全面，能够有效规范财务全流程管理，财务管理指标自评得分4分。</w:t>
      </w:r>
    </w:p>
    <w:p w14:paraId="157AFD2C">
      <w:pPr>
        <w:wordWrap/>
        <w:spacing w:line="560" w:lineRule="exact"/>
        <w:ind w:firstLine="643" w:firstLineChars="200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cs="仿宋_GB2312"/>
          <w:b/>
          <w:bCs/>
          <w:color w:val="auto"/>
          <w:sz w:val="32"/>
          <w:szCs w:val="32"/>
          <w:lang w:val="en-US" w:eastAsia="zh-CN"/>
        </w:rPr>
        <w:t>二在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财务岗位设置方面，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我会进行财务管理、核算、控制和监督，其中会计由具有代理资格的会计公司出任，专职出纳1名，但暂时无专职会计未完全符合行政单位财务岗位设置的规范标准，自评得1分。</w:t>
      </w:r>
    </w:p>
    <w:p w14:paraId="4CA58796">
      <w:pPr>
        <w:wordWrap/>
        <w:spacing w:line="560" w:lineRule="exact"/>
        <w:ind w:firstLine="643" w:firstLineChars="200"/>
        <w:rPr>
          <w:lang w:val="zh-CN"/>
        </w:rPr>
      </w:pPr>
      <w:r>
        <w:rPr>
          <w:rFonts w:hint="eastAsia" w:ascii="仿宋_GB2312" w:cs="仿宋_GB2312"/>
          <w:b/>
          <w:bCs/>
          <w:color w:val="auto"/>
          <w:sz w:val="32"/>
          <w:szCs w:val="32"/>
          <w:lang w:val="en-US" w:eastAsia="zh-CN"/>
        </w:rPr>
        <w:t>三在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资金使用规范方面，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部门资金使用符合《黑水县妇女联合会财务管理制度》规定，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zh-CN" w:eastAsia="zh-CN"/>
        </w:rPr>
        <w:t>财政资金使用明确资金支付审核流程，按照内控制度严格拨付，做到规范有效。自评得分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4分。</w:t>
      </w:r>
    </w:p>
    <w:p w14:paraId="49E75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4.</w:t>
      </w:r>
      <w:r>
        <w:rPr>
          <w:rFonts w:eastAsia="楷体_GB2312"/>
          <w:color w:val="000000"/>
          <w:kern w:val="0"/>
          <w:szCs w:val="32"/>
          <w:shd w:val="clear" w:color="auto" w:fill="FFFFFF"/>
          <w:lang w:val="zh-CN"/>
        </w:rPr>
        <w:t>资产管理。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8分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）</w:t>
      </w:r>
    </w:p>
    <w:p w14:paraId="25F074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 xml:space="preserve">2025年本部门固定资产年初原值59.40万元，累计折旧34.53万元，净值24.87万元；年末资产原值61.17万元，累计折旧38.94万元，净值22.23万元。2024年末在职人员5人，2025年末在职人员6人。 </w:t>
      </w:r>
    </w:p>
    <w:p w14:paraId="6E84D3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lang w:val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 xml:space="preserve">人均资产变化率；严格执行资产管理制度，资产入账规范，2025年工作人员减少1人，增加2人，人均资产率下降，自评得分2分。 </w:t>
      </w:r>
      <w:r>
        <w:rPr>
          <w:rFonts w:hint="eastAsia" w:asci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资产利用率；单位资产配置合理、使用高效，资产利用率达100%，无闲置、浪费现象，人均资产使用效率较高，自评得分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 xml:space="preserve">分。 </w:t>
      </w:r>
      <w:r>
        <w:rPr>
          <w:rFonts w:hint="eastAsia" w:asci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资产盘活率；资产日常管理到位，全年无闲置资产，资产盘活率100%，实现资产高效利用与闭环管理，自评得分3分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。</w:t>
      </w:r>
    </w:p>
    <w:p w14:paraId="7FFD40CB">
      <w:pPr>
        <w:adjustRightInd w:val="0"/>
        <w:snapToGrid w:val="0"/>
        <w:spacing w:line="578" w:lineRule="exact"/>
        <w:ind w:left="640" w:left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5.</w:t>
      </w:r>
      <w:r>
        <w:rPr>
          <w:rFonts w:eastAsia="楷体_GB2312"/>
          <w:color w:val="000000"/>
          <w:kern w:val="0"/>
          <w:szCs w:val="32"/>
          <w:shd w:val="clear" w:color="auto" w:fill="FFFFFF"/>
          <w:lang w:val="zh-CN"/>
        </w:rPr>
        <w:t>采购管理。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en-US" w:eastAsia="zh-CN"/>
        </w:rPr>
        <w:t>6分</w:t>
      </w:r>
      <w:r>
        <w:rPr>
          <w:rFonts w:hint="eastAsia" w:eastAsia="楷体_GB2312"/>
          <w:color w:val="000000"/>
          <w:kern w:val="0"/>
          <w:szCs w:val="32"/>
          <w:shd w:val="clear" w:color="auto" w:fill="FFFFFF"/>
          <w:lang w:val="zh-CN"/>
        </w:rPr>
        <w:t>）</w:t>
      </w:r>
    </w:p>
    <w:p w14:paraId="21A180CC">
      <w:pPr>
        <w:widowControl w:val="0"/>
        <w:wordWrap/>
        <w:adjustRightInd w:val="0"/>
        <w:snapToGrid w:val="0"/>
        <w:spacing w:beforeAutospacing="0" w:afterAutospacing="0" w:line="560" w:lineRule="exact"/>
        <w:ind w:left="0" w:firstLine="640" w:firstLineChars="200"/>
        <w:contextualSpacing/>
        <w:jc w:val="left"/>
        <w:textAlignment w:val="auto"/>
        <w:outlineLvl w:val="9"/>
        <w:rPr>
          <w:highlight w:val="none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highlight w:val="none"/>
          <w:lang w:val="zh-CN" w:eastAsia="zh-CN"/>
        </w:rPr>
        <w:t>本年度我会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政府采购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复印纸、车辆保险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，达到政府采购的标准项目均按照我会政府采购内控制度执行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，均在中小企业采购，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采购执行率100%。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自评得6分。</w:t>
      </w:r>
    </w:p>
    <w:p w14:paraId="0C61BE1E">
      <w:pPr>
        <w:widowControl w:val="0"/>
        <w:numPr>
          <w:ilvl w:val="0"/>
          <w:numId w:val="1"/>
        </w:numPr>
        <w:wordWrap/>
        <w:adjustRightInd w:val="0"/>
        <w:snapToGrid w:val="0"/>
        <w:spacing w:line="560" w:lineRule="exact"/>
        <w:ind w:left="0" w:firstLine="643" w:firstLineChars="200"/>
        <w:contextualSpacing/>
        <w:jc w:val="left"/>
        <w:textAlignment w:val="auto"/>
        <w:outlineLvl w:val="9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en-US" w:eastAsia="zh-CN"/>
        </w:rPr>
        <w:t>35分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</w:p>
    <w:p w14:paraId="58F09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color w:val="000000"/>
          <w:kern w:val="0"/>
          <w:szCs w:val="32"/>
          <w:highlight w:val="none"/>
          <w:shd w:val="clear" w:color="auto" w:fill="FFFFFF"/>
        </w:rPr>
        <w:t>常年项目绩效分析。</w:t>
      </w:r>
    </w:p>
    <w:p w14:paraId="10BC0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该类项目总数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个，涉及预算总金额万元，1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/>
        </w:rPr>
        <w:t>—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color w:val="000000"/>
          <w:kern w:val="0"/>
          <w:szCs w:val="32"/>
          <w:highlight w:val="none"/>
          <w:shd w:val="clear" w:color="auto" w:fill="FFFFFF"/>
        </w:rPr>
        <w:t>2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%，其中：预算结余率大于</w:t>
      </w:r>
      <w:r>
        <w:rPr>
          <w:color w:val="000000"/>
          <w:kern w:val="0"/>
          <w:szCs w:val="32"/>
          <w:highlight w:val="none"/>
          <w:shd w:val="clear" w:color="auto" w:fill="FFFFFF"/>
        </w:rPr>
        <w:t>10%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的项目共计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个。</w:t>
      </w:r>
    </w:p>
    <w:p w14:paraId="122EF8BB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）工资性支出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138.12万元，发放覆盖率100%</w:t>
      </w:r>
    </w:p>
    <w:p w14:paraId="3293D7CA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（2）单位缴费支出29.08万元，发放覆盖率100%</w:t>
      </w:r>
    </w:p>
    <w:p w14:paraId="2A0CCE81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（3）住房公积金支出10.93万元，发放覆盖率100%</w:t>
      </w:r>
    </w:p>
    <w:p w14:paraId="1748463C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（4）残疾人就业保障金支出0.85万元，发放覆盖率100%</w:t>
      </w:r>
    </w:p>
    <w:p w14:paraId="08BADDE2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（5）在职人员基础性绩效奖20.43万元，发放覆盖率100%</w:t>
      </w:r>
    </w:p>
    <w:p w14:paraId="4F449220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（6）公务用车运行维护费支出1.19万元，“三公”经费严控率100%</w:t>
      </w:r>
    </w:p>
    <w:p w14:paraId="08C4FBFA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（7）退休人员生活补助1.68万元，发放（缴纳）覆盖率100%</w:t>
      </w:r>
    </w:p>
    <w:p w14:paraId="08E5C6EC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（8）体检费0.48万元，发放（缴纳）覆盖率100%。</w:t>
      </w:r>
    </w:p>
    <w:p w14:paraId="078868B3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（9）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日常公用经费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支出10.32万元，发放（缴纳）覆盖率86.94%</w:t>
      </w:r>
      <w:r>
        <w:rPr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</w:p>
    <w:p w14:paraId="68BA4424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（10）“三八”国际妇女节活动经费2万元，支出覆盖率100%</w:t>
      </w:r>
    </w:p>
    <w:p w14:paraId="7A52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（11）乡镇妇联专项工作经费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1万元，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支出覆盖率100%</w:t>
      </w:r>
    </w:p>
    <w:p w14:paraId="16091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（12）妇女专项工作经费0.3万元，支出覆盖率100%</w:t>
      </w:r>
    </w:p>
    <w:p w14:paraId="5C45E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常年项目严格按预算执行，人员经费、社会保障类经费均足额及时兑付，保障机构正常运转与职工切身利益；公用经费执行规范，厉行节约，整体绩效良好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。</w:t>
      </w:r>
    </w:p>
    <w:p w14:paraId="0128076C">
      <w:pPr>
        <w:widowControl w:val="0"/>
        <w:wordWrap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color w:val="000000"/>
          <w:kern w:val="0"/>
          <w:szCs w:val="32"/>
          <w:highlight w:val="none"/>
          <w:shd w:val="clear" w:color="auto" w:fill="FFFFFF"/>
        </w:rPr>
        <w:t>阶段（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</w:rPr>
        <w:t>含</w:t>
      </w:r>
      <w:r>
        <w:rPr>
          <w:color w:val="000000"/>
          <w:kern w:val="0"/>
          <w:szCs w:val="32"/>
          <w:highlight w:val="none"/>
          <w:shd w:val="clear" w:color="auto" w:fill="FFFFFF"/>
        </w:rPr>
        <w:t>一次性）项目绩效分析。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该类项目总数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个，涉及预算总金额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74.27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万元，1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/>
        </w:rPr>
        <w:t>—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color w:val="000000"/>
          <w:kern w:val="0"/>
          <w:szCs w:val="32"/>
          <w:highlight w:val="none"/>
          <w:shd w:val="clear" w:color="auto" w:fill="FFFFFF"/>
        </w:rPr>
        <w:t>2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%，其中：预算结余率大于</w:t>
      </w:r>
      <w:r>
        <w:rPr>
          <w:color w:val="000000"/>
          <w:kern w:val="0"/>
          <w:szCs w:val="32"/>
          <w:highlight w:val="none"/>
          <w:shd w:val="clear" w:color="auto" w:fill="FFFFFF"/>
        </w:rPr>
        <w:t>10%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的项目共计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color w:val="000000"/>
          <w:kern w:val="0"/>
          <w:szCs w:val="32"/>
          <w:highlight w:val="none"/>
          <w:shd w:val="clear" w:color="auto" w:fill="FFFFFF"/>
          <w:lang w:val="zh-CN"/>
        </w:rPr>
        <w:t>个。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项目绩效以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个重点项目“暖冬慰问”、“居家灵活就业”项目为例说明。</w:t>
      </w:r>
    </w:p>
    <w:p w14:paraId="0301A6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）项目决策（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12分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</w:t>
      </w:r>
    </w:p>
    <w:p w14:paraId="4DC8EA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在决策程序上，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所有阶段项目均严格按照财政预算管理要求，履行前期评估论证、集体审议、完整程序，立项依据充分、流程规范合规，无违规立项、越权审批情况，符合项目决策程序要求。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）在目标设置上，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项目绩效目标设置科学合理、规范完整，全部实现量化细化，与年度任务量、预算安排资金量高度匹配，清晰体现项目产出与效益，可考核、可验证，满足预算绩效管理要求。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）关于项目入库，全部项目在财政规定时限内完成预算管理一体化系统项目入库，入库资料齐全、内容完整、审核通过，符合项目入库管理规范，保障项目顺利纳入年度预算。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（4分）。</w:t>
      </w:r>
    </w:p>
    <w:p w14:paraId="6780D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（2）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项目执行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。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12分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</w:t>
      </w:r>
    </w:p>
    <w:p w14:paraId="75A34E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执行同向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：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项目实际列支内容与绩效目标设置方向完全一致，资金专款专用，严格用于暖冬慰问、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居家灵活就业项目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等既定用途，无挤占、挪用、截留资金情况，执行同向性优良。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（4 分）项目调整：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项目实施过程中，根据基层实际需求、活动开展情况及时优化调整实施细节，调整程序合规、报备及时，有效保障项目实施质效，符合项目动态管理要求。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（4 分）执行结果：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项目实施过程中，根据基层实际需求、活动开展情况及时优化调整实施细节，调整程序合规、报备及时，有效保障项目实施质效，符合项目动态管理要求。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（4 分）</w:t>
      </w:r>
    </w:p>
    <w:p w14:paraId="51B95AA6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目标实现。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（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11分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）</w:t>
      </w:r>
    </w:p>
    <w:p w14:paraId="2D0F22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重点项目数量指标全面达标，暖冬慰问为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90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名困难群体发放慰问金、“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居家灵活就业项目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 xml:space="preserve">” </w:t>
      </w:r>
      <w:r>
        <w:rPr>
          <w:rFonts w:hint="eastAsia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积极拉动妇女群众就业增收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各项任务按期完成，目标完成率 100%。（4 分）项目实施情况与预期绩效目标无偏离，时效、质量、效益等指标均达到计划标准，未出现目标偏差、执行走样等问题。（4 分）项目有效传递党委政府对妇女儿童的关怀，切实缓解困难群体生活压力，提升妇女群众获得感、幸福感，营造关爱妇女的良好社会氛围，社会效益显著，服务对象满意度达95%以上，实现预期效益目标。（3 分）</w:t>
      </w:r>
    </w:p>
    <w:p w14:paraId="4C60D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本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会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一般公共预算安排的常年项目、阶段项目均按期完成绩效目标，无政府性基金预算、国有资本经营预算、债券资金及政府购买服务相关事项。</w:t>
      </w:r>
    </w:p>
    <w:p w14:paraId="0B59DB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b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</w:t>
      </w:r>
      <w:r>
        <w:rPr>
          <w:rFonts w:eastAsia="楷体_GB2312"/>
          <w:b/>
          <w:bCs/>
          <w:szCs w:val="32"/>
          <w:lang w:val="zh-CN"/>
        </w:rPr>
        <w:t>绩效结果应用情况。</w:t>
      </w:r>
      <w:r>
        <w:rPr>
          <w:kern w:val="0"/>
          <w:szCs w:val="32"/>
          <w:lang w:val="en-US" w:eastAsia="zh-CN"/>
        </w:rPr>
        <w:t>将绩效自评结果作为下一年度预算编制、资金安排、项目优化的重要依据，强化结果导向；按规定及时公开预决算及绩效信息，主动接受社会监督；针对自评发现的问题建立台账、限期整改，形成 “评价</w:t>
      </w:r>
      <w:r>
        <w:rPr>
          <w:rFonts w:hint="eastAsia"/>
          <w:kern w:val="0"/>
          <w:szCs w:val="32"/>
          <w:lang w:val="en-US" w:eastAsia="zh-CN"/>
        </w:rPr>
        <w:t>——</w:t>
      </w:r>
      <w:r>
        <w:rPr>
          <w:kern w:val="0"/>
          <w:szCs w:val="32"/>
          <w:lang w:val="en-US" w:eastAsia="zh-CN"/>
        </w:rPr>
        <w:t>应用</w:t>
      </w:r>
      <w:r>
        <w:rPr>
          <w:rFonts w:hint="eastAsia"/>
          <w:kern w:val="0"/>
          <w:szCs w:val="32"/>
          <w:lang w:val="en-US" w:eastAsia="zh-CN"/>
        </w:rPr>
        <w:t>——</w:t>
      </w:r>
      <w:r>
        <w:rPr>
          <w:kern w:val="0"/>
          <w:szCs w:val="32"/>
          <w:lang w:val="en-US" w:eastAsia="zh-CN"/>
        </w:rPr>
        <w:t>整改</w:t>
      </w:r>
      <w:r>
        <w:rPr>
          <w:rFonts w:hint="eastAsia"/>
          <w:kern w:val="0"/>
          <w:szCs w:val="32"/>
          <w:lang w:val="en-US" w:eastAsia="zh-CN"/>
        </w:rPr>
        <w:t>——</w:t>
      </w:r>
      <w:r>
        <w:rPr>
          <w:kern w:val="0"/>
          <w:szCs w:val="32"/>
          <w:lang w:val="en-US" w:eastAsia="zh-CN"/>
        </w:rPr>
        <w:t>提升” 的管理闭环，持续提升预算管理水平。</w:t>
      </w:r>
    </w:p>
    <w:p w14:paraId="11003FB9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 w14:paraId="0E5126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kern w:val="0"/>
          <w:szCs w:val="32"/>
          <w:lang w:val="en-US" w:eastAsia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kern w:val="0"/>
          <w:szCs w:val="32"/>
          <w:lang w:val="en-US" w:eastAsia="zh-CN"/>
        </w:rPr>
        <w:t>2025年度，黑水县妇女联合会严格执行预算管理各项规定，资金使用规范高效，履职成效显著，较好完成年度各项工作任务与绩效目标。经自评，总得分</w:t>
      </w:r>
      <w:r>
        <w:rPr>
          <w:rFonts w:hint="eastAsia"/>
          <w:kern w:val="0"/>
          <w:szCs w:val="32"/>
          <w:lang w:val="en-US" w:eastAsia="zh-CN"/>
        </w:rPr>
        <w:t>89</w:t>
      </w:r>
      <w:r>
        <w:rPr>
          <w:kern w:val="0"/>
          <w:szCs w:val="32"/>
          <w:lang w:val="en-US" w:eastAsia="zh-CN"/>
        </w:rPr>
        <w:t>分</w:t>
      </w:r>
      <w:r>
        <w:rPr>
          <w:rFonts w:hint="eastAsia"/>
          <w:kern w:val="0"/>
          <w:szCs w:val="32"/>
          <w:lang w:val="en-US" w:eastAsia="zh-CN"/>
        </w:rPr>
        <w:t>。</w:t>
      </w:r>
    </w:p>
    <w:p w14:paraId="2E88CA1B">
      <w:pPr>
        <w:widowControl/>
        <w:adjustRightInd w:val="0"/>
        <w:snapToGrid w:val="0"/>
        <w:spacing w:line="578" w:lineRule="exact"/>
        <w:ind w:firstLine="643" w:firstLineChars="200"/>
        <w:contextualSpacing/>
        <w:jc w:val="left"/>
        <w:rPr>
          <w:kern w:val="0"/>
          <w:szCs w:val="32"/>
          <w:lang w:val="en-US" w:eastAsia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  <w:r>
        <w:rPr>
          <w:b/>
          <w:bCs/>
          <w:kern w:val="0"/>
          <w:szCs w:val="32"/>
          <w:lang w:val="en-US" w:eastAsia="zh-CN"/>
        </w:rPr>
        <w:t>一是</w:t>
      </w:r>
      <w:r>
        <w:rPr>
          <w:kern w:val="0"/>
          <w:szCs w:val="32"/>
          <w:lang w:val="en-US" w:eastAsia="zh-CN"/>
        </w:rPr>
        <w:t>年初预算未包含项目经费，预决算差异较大，预算编制精准度有待提升。</w:t>
      </w:r>
      <w:r>
        <w:rPr>
          <w:b/>
          <w:bCs/>
          <w:kern w:val="0"/>
          <w:szCs w:val="32"/>
          <w:lang w:val="en-US" w:eastAsia="zh-CN"/>
        </w:rPr>
        <w:t>二是</w:t>
      </w:r>
      <w:r>
        <w:rPr>
          <w:kern w:val="0"/>
          <w:szCs w:val="32"/>
          <w:lang w:val="en-US" w:eastAsia="zh-CN"/>
        </w:rPr>
        <w:t>预算执行均衡性不足，存在年末结转结余，执行进度管控需进一步加强。</w:t>
      </w:r>
      <w:r>
        <w:rPr>
          <w:b/>
          <w:bCs/>
          <w:kern w:val="0"/>
          <w:szCs w:val="32"/>
          <w:lang w:val="en-US" w:eastAsia="zh-CN"/>
        </w:rPr>
        <w:t>三是</w:t>
      </w:r>
      <w:r>
        <w:rPr>
          <w:kern w:val="0"/>
          <w:szCs w:val="32"/>
          <w:lang w:val="en-US" w:eastAsia="zh-CN"/>
        </w:rPr>
        <w:t>部分关爱项目个性化服务不足，跟踪问效与长效服务机制有待完善。</w:t>
      </w:r>
    </w:p>
    <w:p w14:paraId="20E689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rPr>
          <w:kern w:val="0"/>
          <w:szCs w:val="32"/>
          <w:lang w:val="en-US" w:eastAsia="zh-CN"/>
        </w:rPr>
      </w:pP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改进建议。</w:t>
      </w:r>
      <w:bookmarkStart w:id="0" w:name="_Hlk110546638"/>
      <w:r>
        <w:rPr>
          <w:b/>
          <w:bCs/>
          <w:kern w:val="0"/>
          <w:szCs w:val="32"/>
          <w:lang w:val="en-US" w:eastAsia="zh-CN"/>
        </w:rPr>
        <w:t>一是</w:t>
      </w:r>
      <w:r>
        <w:rPr>
          <w:kern w:val="0"/>
          <w:szCs w:val="32"/>
          <w:lang w:val="en-US" w:eastAsia="zh-CN"/>
        </w:rPr>
        <w:t>提升预算编制精准度。提前谋划年度项目，加强与财政部门沟通对接，提高预算编制的完整性、科学性和预见性。</w:t>
      </w:r>
      <w:r>
        <w:rPr>
          <w:b/>
          <w:bCs/>
          <w:kern w:val="0"/>
          <w:szCs w:val="32"/>
          <w:lang w:val="en-US" w:eastAsia="zh-CN"/>
        </w:rPr>
        <w:t>二是</w:t>
      </w:r>
      <w:r>
        <w:rPr>
          <w:kern w:val="0"/>
          <w:szCs w:val="32"/>
          <w:lang w:val="en-US" w:eastAsia="zh-CN"/>
        </w:rPr>
        <w:t>强化预算执行管控。细化资金支付计划，加快项目实施进度，合理均衡支付资金，有效减少结转结余。</w:t>
      </w:r>
      <w:r>
        <w:rPr>
          <w:b/>
          <w:bCs/>
          <w:kern w:val="0"/>
          <w:szCs w:val="32"/>
          <w:lang w:val="en-US" w:eastAsia="zh-CN"/>
        </w:rPr>
        <w:t>三是</w:t>
      </w:r>
      <w:r>
        <w:rPr>
          <w:kern w:val="0"/>
          <w:szCs w:val="32"/>
          <w:lang w:val="en-US" w:eastAsia="zh-CN"/>
        </w:rPr>
        <w:t>完善项目长效机制。丰富关爱服务内容，健全跟踪回访、效果评估机制，提升项目精准度与服务质效。</w:t>
      </w:r>
      <w:r>
        <w:rPr>
          <w:b/>
          <w:bCs/>
          <w:kern w:val="0"/>
          <w:szCs w:val="32"/>
          <w:lang w:val="en-US" w:eastAsia="zh-CN"/>
        </w:rPr>
        <w:t>四是</w:t>
      </w:r>
      <w:r>
        <w:rPr>
          <w:kern w:val="0"/>
          <w:szCs w:val="32"/>
          <w:lang w:val="en-US" w:eastAsia="zh-CN"/>
        </w:rPr>
        <w:t>持续强化内部管理。不断完善财务、资产、采购、内控等制度，推动预算管理与妇女儿童工作深度融合，全面提升服务效能。</w:t>
      </w:r>
    </w:p>
    <w:p w14:paraId="56287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kern w:val="0"/>
          <w:szCs w:val="32"/>
          <w:lang w:val="en-US" w:eastAsia="zh-CN"/>
        </w:rPr>
      </w:pPr>
    </w:p>
    <w:p w14:paraId="1F92A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kern w:val="0"/>
          <w:szCs w:val="32"/>
          <w:lang w:val="en-US" w:eastAsia="zh-CN"/>
        </w:rPr>
      </w:pPr>
    </w:p>
    <w:p w14:paraId="37469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/>
          <w:kern w:val="0"/>
          <w:szCs w:val="32"/>
          <w:lang w:val="en-US" w:eastAsia="zh-CN"/>
        </w:rPr>
      </w:pPr>
      <w:r>
        <w:rPr>
          <w:rFonts w:hint="eastAsia"/>
          <w:kern w:val="0"/>
          <w:szCs w:val="32"/>
          <w:lang w:val="en-US" w:eastAsia="zh-CN"/>
        </w:rPr>
        <w:t>黑水县妇女联合会</w:t>
      </w:r>
    </w:p>
    <w:p w14:paraId="777E2D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leftChars="400" w:firstLine="3200" w:firstLineChars="1000"/>
        <w:textAlignment w:val="auto"/>
        <w:rPr>
          <w:lang w:val="en-US" w:eastAsia="zh-CN"/>
        </w:rPr>
      </w:pPr>
      <w:r>
        <w:rPr>
          <w:rFonts w:hint="eastAsia"/>
          <w:kern w:val="0"/>
          <w:szCs w:val="32"/>
          <w:lang w:val="en-US" w:eastAsia="zh-CN"/>
        </w:rPr>
        <w:t>2026年3月30日</w:t>
      </w:r>
    </w:p>
    <w:p w14:paraId="5105AC50"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kern w:val="0"/>
          <w:szCs w:val="32"/>
        </w:rPr>
      </w:pPr>
    </w:p>
    <w:bookmarkEnd w:id="0"/>
    <w:p w14:paraId="294EC026">
      <w:pPr>
        <w:spacing w:line="578" w:lineRule="exact"/>
        <w:ind w:left="0"/>
        <w:jc w:val="left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828D3">
    <w:pPr>
      <w:pStyle w:val="11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197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911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F9E4870"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6 -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596C1D5F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64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3zSiuNgAAAAEAQAADwAAAAAAAAABACAAAAAiAAAAZHJz&#10;L2Rvd25yZXYueG1sUEsBAhQAFAAAAAgAh07iQLgc94wEAgAA9AMAAA4AAAAAAAAAAQAgAAAAJwEA&#10;AGRycy9lMm9Eb2MueG1sUEsFBgAAAAAGAAYAWQEAAJ0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F9E4870">
                    <w:pPr>
                      <w:pStyle w:val="11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6 -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 w14:paraId="596C1D5F"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B441B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F3257"/>
    <w:multiLevelType w:val="singleLevel"/>
    <w:tmpl w:val="BEBF3257"/>
    <w:lvl w:ilvl="0" w:tentative="0">
      <w:start w:val="3"/>
      <w:numFmt w:val="decimal"/>
      <w:suff w:val="nothing"/>
      <w:lvlText w:val="（%1）"/>
      <w:lvlJc w:val="left"/>
      <w:pPr>
        <w:ind w:left="0" w:firstLine="0"/>
      </w:pPr>
    </w:lvl>
  </w:abstractNum>
  <w:abstractNum w:abstractNumId="1">
    <w:nsid w:val="F6F4C48E"/>
    <w:multiLevelType w:val="singleLevel"/>
    <w:tmpl w:val="F6F4C48E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</w:compat>
  <w:rsids>
    <w:rsidRoot w:val="00000000"/>
    <w:rsid w:val="70B342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7">
    <w:name w:val="Default Paragraph Font"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iPriority w:val="0"/>
    <w:pPr>
      <w:spacing w:before="100" w:beforeAutospacing="1" w:after="100" w:afterAutospacing="1"/>
      <w:ind w:left="400" w:leftChars="200" w:hanging="200" w:hangingChars="200"/>
    </w:pPr>
  </w:style>
  <w:style w:type="paragraph" w:styleId="6">
    <w:name w:val="Normal Indent"/>
    <w:basedOn w:val="1"/>
    <w:next w:val="1"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7">
    <w:name w:val="Document Map"/>
    <w:basedOn w:val="1"/>
    <w:uiPriority w:val="0"/>
    <w:rPr>
      <w:rFonts w:ascii="宋体" w:eastAsia="宋体"/>
      <w:sz w:val="18"/>
      <w:szCs w:val="18"/>
    </w:rPr>
  </w:style>
  <w:style w:type="paragraph" w:styleId="8">
    <w:name w:val="Body Text"/>
    <w:basedOn w:val="1"/>
    <w:next w:val="1"/>
    <w:uiPriority w:val="0"/>
    <w:pPr>
      <w:spacing w:after="120"/>
    </w:pPr>
  </w:style>
  <w:style w:type="paragraph" w:styleId="9">
    <w:name w:val="Body Text Indent"/>
    <w:basedOn w:val="1"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uiPriority w:val="0"/>
    <w:rPr>
      <w:sz w:val="18"/>
      <w:szCs w:val="18"/>
    </w:rPr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uiPriority w:val="0"/>
  </w:style>
  <w:style w:type="paragraph" w:styleId="14">
    <w:name w:val="Title"/>
    <w:basedOn w:val="1"/>
    <w:next w:val="1"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5">
    <w:name w:val="Body Text First Indent 2"/>
    <w:basedOn w:val="9"/>
    <w:uiPriority w:val="0"/>
    <w:pPr>
      <w:ind w:firstLine="200" w:firstLineChars="200"/>
    </w:p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paragraph" w:customStyle="1" w:styleId="20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1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2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3">
    <w:name w:val="font31"/>
    <w:basedOn w:val="17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7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7">
    <w:name w:val="font11"/>
    <w:qFormat/>
    <w:uiPriority w:val="0"/>
    <w:rPr>
      <w:rFonts w:ascii="宋体" w:eastAsia="宋体" w:cs="宋体"/>
      <w:b/>
      <w:bCs/>
      <w:color w:val="000000"/>
      <w:sz w:val="21"/>
      <w:szCs w:val="21"/>
      <w:u w:val="none"/>
    </w:rPr>
  </w:style>
  <w:style w:type="character" w:customStyle="1" w:styleId="28">
    <w:name w:val="font21"/>
    <w:qFormat/>
    <w:uiPriority w:val="0"/>
    <w:rPr>
      <w:rFonts w:asci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11</Pages>
  <Words>4705</Words>
  <Characters>5035</Characters>
  <Lines>217</Lines>
  <Paragraphs>69</Paragraphs>
  <TotalTime>5</TotalTime>
  <ScaleCrop>false</ScaleCrop>
  <LinksUpToDate>false</LinksUpToDate>
  <CharactersWithSpaces>5076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2019-06-06T11:06:00Z</dcterms:created>
  <dc:creator>陈萍</dc:creator>
  <cp:lastModifiedBy>WPS_1604458475</cp:lastModifiedBy>
  <cp:lastPrinted>2026-01-03T10:00:00Z</cp:lastPrinted>
  <dcterms:modified xsi:type="dcterms:W3CDTF">2026-09-07T02:03:20Z</dcterms:modified>
  <dc:title>区域性就业培训基地建设项目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E642A1EFF2517E44FE5C916A12F1CCFF_43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