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cs="宋体" w:asciiTheme="minorEastAsia" w:hAnsiTheme="minorEastAsia" w:eastAsiaTheme="minorEastAsia"/>
          <w:b/>
          <w:kern w:val="0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黑水县人民政府办公室</w:t>
      </w:r>
    </w:p>
    <w:p>
      <w:pPr>
        <w:widowControl/>
        <w:spacing w:line="480" w:lineRule="atLeast"/>
        <w:ind w:firstLine="60"/>
        <w:jc w:val="center"/>
        <w:rPr>
          <w:rFonts w:cs="宋体" w:asciiTheme="minorEastAsia" w:hAnsiTheme="minorEastAsia" w:eastAsiaTheme="minorEastAsia"/>
          <w:b/>
          <w:kern w:val="0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关于“三公”经费2019年决算情况说明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“三公”经费2019年决算情况如下：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2019年决算支出0万元,较上年度决算持平。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2019年决算支出16万元，较2018年决算持平。其中：国内公务接待费16万元，共计 150批次共3000人；国（境）外公务接待费0 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 2019年决算支出110.3万元，较2018年决算持平。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单位共有公务用车10辆，其中：越野车9辆，轿车1辆。</w:t>
      </w:r>
    </w:p>
    <w:p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2019年安排公务用车运行维护费110.3万元。</w:t>
      </w:r>
      <w:r>
        <w:rPr>
          <w:rFonts w:hint="eastAsia" w:ascii="仿宋_GB2312" w:eastAsia="仿宋_GB2312"/>
          <w:color w:val="000000"/>
          <w:sz w:val="32"/>
          <w:szCs w:val="32"/>
        </w:rPr>
        <w:t>主要用于政府领导因公出差、下乡等所需的公务用车燃料费、维修费、过路过桥费、保险费等支出。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2019年安排公务用车购置0辆，购置费0万元。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黑水县人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民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政府办公室财政拨款“三公”经费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2019年决算情况表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2019年决算（万元）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110.3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110.3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63103E"/>
    <w:rsid w:val="006E2521"/>
    <w:rsid w:val="007153A1"/>
    <w:rsid w:val="0078030B"/>
    <w:rsid w:val="1D0B2F60"/>
    <w:rsid w:val="6482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81</Words>
  <Characters>465</Characters>
  <Lines>3</Lines>
  <Paragraphs>1</Paragraphs>
  <TotalTime>6</TotalTime>
  <ScaleCrop>false</ScaleCrop>
  <LinksUpToDate>false</LinksUpToDate>
  <CharactersWithSpaces>545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Lenovo</cp:lastModifiedBy>
  <dcterms:modified xsi:type="dcterms:W3CDTF">2021-02-27T08:43:50Z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