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eastAsia="黑体"/>
          <w:lang w:val="zh-CN"/>
        </w:rPr>
      </w:pPr>
      <w:r>
        <w:rPr>
          <w:rFonts w:hint="eastAsia" w:ascii="黑体" w:eastAsia="黑体" w:cs="黑体"/>
          <w:lang w:val="zh-CN"/>
        </w:rPr>
        <w:t>附件</w:t>
      </w:r>
      <w:r>
        <w:rPr>
          <w:rFonts w:ascii="黑体" w:eastAsia="黑体" w:cs="黑体"/>
        </w:rPr>
        <w:t>5</w:t>
      </w:r>
    </w:p>
    <w:p>
      <w:pPr>
        <w:widowControl/>
        <w:spacing w:line="580" w:lineRule="exact"/>
        <w:rPr>
          <w:rFonts w:ascii="宋体" w:eastAsia="宋体"/>
          <w:b/>
          <w:bCs/>
          <w:sz w:val="44"/>
          <w:szCs w:val="44"/>
          <w:shd w:val="clear" w:color="auto" w:fill="FFFFFF"/>
        </w:rPr>
      </w:pPr>
    </w:p>
    <w:p>
      <w:pPr>
        <w:widowControl/>
        <w:spacing w:line="580" w:lineRule="exact"/>
        <w:jc w:val="center"/>
        <w:rPr>
          <w:rFonts w:ascii="宋体" w:eastAsia="宋体"/>
          <w:b/>
          <w:bCs/>
          <w:sz w:val="44"/>
          <w:szCs w:val="44"/>
          <w:shd w:val="clear" w:color="auto" w:fill="FFFFFF"/>
        </w:rPr>
      </w:pPr>
      <w:r>
        <w:rPr>
          <w:rFonts w:ascii="宋体" w:eastAsia="宋体" w:cs="宋体"/>
          <w:b/>
          <w:bCs/>
          <w:sz w:val="44"/>
          <w:szCs w:val="44"/>
          <w:shd w:val="clear" w:color="auto" w:fill="FFFFFF"/>
        </w:rPr>
        <w:t>202</w:t>
      </w:r>
      <w:r>
        <w:rPr>
          <w:rFonts w:hint="eastAsia" w:ascii="宋体" w:eastAsia="宋体" w:cs="宋体"/>
          <w:b/>
          <w:bCs/>
          <w:sz w:val="44"/>
          <w:szCs w:val="44"/>
          <w:shd w:val="clear" w:color="auto" w:fill="FFFFFF"/>
          <w:lang w:val="en-US" w:eastAsia="zh-CN"/>
        </w:rPr>
        <w:t>1</w:t>
      </w:r>
      <w:r>
        <w:rPr>
          <w:rFonts w:hint="eastAsia" w:ascii="宋体" w:eastAsia="宋体" w:cs="宋体"/>
          <w:b/>
          <w:bCs/>
          <w:sz w:val="44"/>
          <w:szCs w:val="44"/>
          <w:shd w:val="clear" w:color="auto" w:fill="FFFFFF"/>
        </w:rPr>
        <w:t>年部门整体支出</w:t>
      </w:r>
    </w:p>
    <w:p>
      <w:pPr>
        <w:widowControl/>
        <w:spacing w:line="580" w:lineRule="exact"/>
        <w:jc w:val="center"/>
        <w:rPr>
          <w:rFonts w:ascii="宋体" w:eastAsia="宋体"/>
          <w:b/>
          <w:bCs/>
          <w:sz w:val="44"/>
          <w:szCs w:val="44"/>
          <w:shd w:val="clear" w:color="auto" w:fill="FFFFFF"/>
        </w:rPr>
      </w:pPr>
      <w:r>
        <w:rPr>
          <w:rFonts w:hint="eastAsia" w:ascii="宋体" w:eastAsia="宋体" w:cs="宋体"/>
          <w:b/>
          <w:bCs/>
          <w:sz w:val="44"/>
          <w:szCs w:val="44"/>
          <w:shd w:val="clear" w:color="auto" w:fill="FFFFFF"/>
        </w:rPr>
        <w:t>绩效评价报告</w:t>
      </w:r>
    </w:p>
    <w:p>
      <w:pPr>
        <w:widowControl/>
        <w:adjustRightInd w:val="0"/>
        <w:snapToGrid w:val="0"/>
        <w:spacing w:line="580" w:lineRule="exact"/>
        <w:ind w:firstLine="480" w:firstLineChars="200"/>
        <w:jc w:val="left"/>
        <w:rPr>
          <w:rFonts w:ascii="黑体" w:eastAsia="黑体"/>
          <w:color w:val="000000"/>
          <w:kern w:val="0"/>
          <w:sz w:val="24"/>
          <w:szCs w:val="24"/>
          <w:shd w:val="clear" w:color="auto" w:fill="FFFFFF"/>
        </w:rPr>
      </w:pPr>
    </w:p>
    <w:p>
      <w:pPr>
        <w:widowControl/>
        <w:adjustRightInd w:val="0"/>
        <w:snapToGrid w:val="0"/>
        <w:spacing w:line="580" w:lineRule="exact"/>
        <w:ind w:firstLine="640" w:firstLineChars="200"/>
        <w:jc w:val="left"/>
        <w:rPr>
          <w:rFonts w:ascii="黑体" w:eastAsia="黑体"/>
          <w:color w:val="000000"/>
          <w:kern w:val="0"/>
          <w:shd w:val="clear" w:color="auto" w:fill="FFFFFF"/>
          <w:lang w:val="zh-CN"/>
        </w:rPr>
      </w:pPr>
      <w:r>
        <w:rPr>
          <w:rFonts w:hint="eastAsia" w:ascii="黑体" w:eastAsia="黑体" w:cs="黑体"/>
          <w:color w:val="000000"/>
          <w:kern w:val="0"/>
          <w:shd w:val="clear" w:color="auto" w:fill="FFFFFF"/>
        </w:rPr>
        <w:t>一、</w:t>
      </w:r>
      <w:r>
        <w:rPr>
          <w:rFonts w:hint="eastAsia" w:ascii="黑体" w:eastAsia="黑体" w:cs="黑体"/>
          <w:color w:val="000000"/>
          <w:kern w:val="0"/>
          <w:shd w:val="clear" w:color="auto" w:fill="FFFFFF"/>
          <w:lang w:val="zh-CN"/>
        </w:rPr>
        <w:t>部门（单位）概况</w:t>
      </w:r>
    </w:p>
    <w:p>
      <w:pPr>
        <w:widowControl/>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（一）机构组成。</w:t>
      </w:r>
    </w:p>
    <w:p>
      <w:pPr>
        <w:snapToGrid w:val="0"/>
        <w:spacing w:line="360" w:lineRule="auto"/>
        <w:ind w:firstLine="600" w:firstLineChars="200"/>
        <w:rPr>
          <w:rFonts w:ascii="仿宋_GB2312" w:cs="仿宋_GB2312"/>
          <w:color w:val="000000"/>
          <w:kern w:val="0"/>
          <w:shd w:val="clear" w:color="auto" w:fill="FFFFFF"/>
          <w:lang w:val="zh-CN"/>
        </w:rPr>
      </w:pPr>
      <w:r>
        <w:rPr>
          <w:rFonts w:hint="eastAsia" w:ascii="仿宋" w:hAnsi="仿宋" w:eastAsia="仿宋"/>
          <w:sz w:val="30"/>
          <w:szCs w:val="30"/>
        </w:rPr>
        <w:t>黑水县人民法院属于县级一级预算单位，无下属二级核算单位，本部门下属二级预算单位0个，其中内设机构8个。包含：综合办公室、政治部（督查室）、立案庭（诉讼服务中心）、刑事审判庭、民事审判庭（环境资源审判庭）、行政审判庭（未成年人案件审判庭）、执行局、审判管理办公室（研究室）</w:t>
      </w:r>
    </w:p>
    <w:p>
      <w:pPr>
        <w:widowControl/>
        <w:numPr>
          <w:ilvl w:val="0"/>
          <w:numId w:val="1"/>
        </w:numPr>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机构职能。</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法院是国家司法（审判）机关，我院负责本县辖区内审理</w:t>
      </w:r>
      <w:r>
        <w:fldChar w:fldCharType="begin"/>
      </w:r>
      <w:r>
        <w:instrText xml:space="preserve"> HYPERLINK "http://www.baike.com/sowiki/%E6%A1%88%E4%BB%B6?prd=content_doc_search" \t "_blank" \o "案件" </w:instrText>
      </w:r>
      <w:r>
        <w:fldChar w:fldCharType="separate"/>
      </w:r>
      <w:r>
        <w:rPr>
          <w:rFonts w:hint="eastAsia" w:ascii="仿宋" w:hAnsi="仿宋" w:eastAsia="仿宋"/>
          <w:sz w:val="30"/>
          <w:szCs w:val="30"/>
        </w:rPr>
        <w:t>案件</w:t>
      </w:r>
      <w:r>
        <w:rPr>
          <w:rFonts w:hint="eastAsia" w:ascii="仿宋" w:hAnsi="仿宋" w:eastAsia="仿宋"/>
          <w:sz w:val="30"/>
          <w:szCs w:val="30"/>
        </w:rPr>
        <w:fldChar w:fldCharType="end"/>
      </w:r>
      <w:r>
        <w:rPr>
          <w:rFonts w:hint="eastAsia" w:ascii="仿宋" w:hAnsi="仿宋" w:eastAsia="仿宋"/>
          <w:sz w:val="30"/>
          <w:szCs w:val="30"/>
        </w:rPr>
        <w:t>，解决基本民事、</w:t>
      </w:r>
      <w:r>
        <w:fldChar w:fldCharType="begin"/>
      </w:r>
      <w:r>
        <w:instrText xml:space="preserve"> HYPERLINK "http://www.baike.com/sowiki/%E8%A1%8C%E6%94%BF?prd=content_doc_search" \t "_blank" \o "行政" </w:instrText>
      </w:r>
      <w:r>
        <w:fldChar w:fldCharType="separate"/>
      </w:r>
      <w:r>
        <w:rPr>
          <w:rFonts w:hint="eastAsia" w:ascii="仿宋" w:hAnsi="仿宋" w:eastAsia="仿宋"/>
          <w:sz w:val="30"/>
          <w:szCs w:val="30"/>
        </w:rPr>
        <w:t>行政</w:t>
      </w:r>
      <w:r>
        <w:rPr>
          <w:rFonts w:hint="eastAsia" w:ascii="仿宋" w:hAnsi="仿宋" w:eastAsia="仿宋"/>
          <w:sz w:val="30"/>
          <w:szCs w:val="30"/>
        </w:rPr>
        <w:fldChar w:fldCharType="end"/>
      </w:r>
      <w:r>
        <w:rPr>
          <w:rFonts w:hint="eastAsia" w:ascii="仿宋" w:hAnsi="仿宋" w:eastAsia="仿宋"/>
          <w:sz w:val="30"/>
          <w:szCs w:val="30"/>
        </w:rPr>
        <w:t>、刑事案件纠纷的国家机构。拥有和行使调解的职能。</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1、依法在职权</w:t>
      </w:r>
      <w:r>
        <w:fldChar w:fldCharType="begin"/>
      </w:r>
      <w:r>
        <w:instrText xml:space="preserve"> HYPERLINK "http://www.baike.com/sowiki/%E8%8C%83%E5%9B%B4?prd=content_doc_search" \t "_blank" \o "范围" </w:instrText>
      </w:r>
      <w:r>
        <w:fldChar w:fldCharType="separate"/>
      </w:r>
      <w:r>
        <w:rPr>
          <w:rFonts w:hint="eastAsia" w:ascii="仿宋" w:hAnsi="仿宋" w:eastAsia="仿宋"/>
          <w:sz w:val="30"/>
          <w:szCs w:val="30"/>
        </w:rPr>
        <w:t>范围</w:t>
      </w:r>
      <w:r>
        <w:rPr>
          <w:rFonts w:hint="eastAsia" w:ascii="仿宋" w:hAnsi="仿宋" w:eastAsia="仿宋"/>
          <w:sz w:val="30"/>
          <w:szCs w:val="30"/>
        </w:rPr>
        <w:fldChar w:fldCharType="end"/>
      </w:r>
      <w:r>
        <w:rPr>
          <w:rFonts w:hint="eastAsia" w:ascii="仿宋" w:hAnsi="仿宋" w:eastAsia="仿宋"/>
          <w:sz w:val="30"/>
          <w:szCs w:val="30"/>
        </w:rPr>
        <w:t>内受理和受理的自诉和公诉的刑事、民事、行政等第一审案件。</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2、依法行使司法执行权和司法决定权。</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3、依法决定国家赔偿。</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4、行使审判监督职能。</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  5、研究、征集对法律、法规、</w:t>
      </w:r>
      <w:r>
        <w:fldChar w:fldCharType="begin"/>
      </w:r>
      <w:r>
        <w:instrText xml:space="preserve"> HYPERLINK "http://www.baike.com/sowiki/%E8%A7%84%E7%AB%A0?prd=content_doc_search" \t "_blank" \o "规章" </w:instrText>
      </w:r>
      <w:r>
        <w:fldChar w:fldCharType="separate"/>
      </w:r>
      <w:r>
        <w:rPr>
          <w:rFonts w:hint="eastAsia" w:ascii="仿宋" w:hAnsi="仿宋" w:eastAsia="仿宋"/>
          <w:sz w:val="30"/>
          <w:szCs w:val="30"/>
        </w:rPr>
        <w:t>规章</w:t>
      </w:r>
      <w:r>
        <w:rPr>
          <w:rFonts w:hint="eastAsia" w:ascii="仿宋" w:hAnsi="仿宋" w:eastAsia="仿宋"/>
          <w:sz w:val="30"/>
          <w:szCs w:val="30"/>
        </w:rPr>
        <w:fldChar w:fldCharType="end"/>
      </w:r>
      <w:r>
        <w:rPr>
          <w:rFonts w:hint="eastAsia" w:ascii="仿宋" w:hAnsi="仿宋" w:eastAsia="仿宋"/>
          <w:sz w:val="30"/>
          <w:szCs w:val="30"/>
        </w:rPr>
        <w:t>草案的意见；对案件审理中发现的问题提出司法建议。</w:t>
      </w:r>
    </w:p>
    <w:p>
      <w:pPr>
        <w:snapToGrid w:val="0"/>
        <w:spacing w:line="360" w:lineRule="auto"/>
        <w:ind w:firstLine="900" w:firstLineChars="300"/>
        <w:rPr>
          <w:rFonts w:ascii="仿宋_GB2312" w:cs="仿宋_GB2312"/>
          <w:color w:val="000000"/>
          <w:kern w:val="0"/>
          <w:shd w:val="clear" w:color="auto" w:fill="FFFFFF"/>
          <w:lang w:val="zh-CN"/>
        </w:rPr>
      </w:pPr>
      <w:bookmarkStart w:id="0" w:name="_GoBack"/>
      <w:bookmarkEnd w:id="0"/>
      <w:r>
        <w:rPr>
          <w:rFonts w:hint="eastAsia" w:ascii="仿宋" w:hAnsi="仿宋" w:eastAsia="仿宋"/>
          <w:sz w:val="30"/>
          <w:szCs w:val="30"/>
          <w:lang w:val="en-US" w:eastAsia="zh-CN"/>
        </w:rPr>
        <w:t>6</w:t>
      </w:r>
      <w:r>
        <w:rPr>
          <w:rFonts w:hint="eastAsia" w:ascii="仿宋" w:hAnsi="仿宋" w:eastAsia="仿宋"/>
          <w:sz w:val="30"/>
          <w:szCs w:val="30"/>
        </w:rPr>
        <w:t>、结合审判工作宣传法制，教育公民自觉</w:t>
      </w:r>
      <w:r>
        <w:fldChar w:fldCharType="begin"/>
      </w:r>
      <w:r>
        <w:instrText xml:space="preserve"> HYPERLINK "http://www.baike.com/sowiki/%E9%81%B5%E5%AE%88?prd=content_doc_search" \t "_blank" \o "遵守" </w:instrText>
      </w:r>
      <w:r>
        <w:fldChar w:fldCharType="separate"/>
      </w:r>
      <w:r>
        <w:rPr>
          <w:rFonts w:hint="eastAsia" w:ascii="仿宋" w:hAnsi="仿宋" w:eastAsia="仿宋"/>
          <w:sz w:val="30"/>
          <w:szCs w:val="30"/>
        </w:rPr>
        <w:t>遵守</w:t>
      </w:r>
      <w:r>
        <w:rPr>
          <w:rFonts w:hint="eastAsia" w:ascii="仿宋" w:hAnsi="仿宋" w:eastAsia="仿宋"/>
          <w:sz w:val="30"/>
          <w:szCs w:val="30"/>
        </w:rPr>
        <w:fldChar w:fldCharType="end"/>
      </w:r>
      <w:r>
        <w:rPr>
          <w:rFonts w:hint="eastAsia" w:ascii="仿宋" w:hAnsi="仿宋" w:eastAsia="仿宋"/>
          <w:sz w:val="30"/>
          <w:szCs w:val="30"/>
        </w:rPr>
        <w:t>宪法和法律。</w:t>
      </w:r>
    </w:p>
    <w:p>
      <w:pPr>
        <w:widowControl/>
        <w:numPr>
          <w:ilvl w:val="0"/>
          <w:numId w:val="1"/>
        </w:numPr>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人员概况。</w:t>
      </w:r>
    </w:p>
    <w:p>
      <w:pPr>
        <w:snapToGrid w:val="0"/>
        <w:spacing w:line="360" w:lineRule="auto"/>
        <w:ind w:firstLine="600" w:firstLineChars="200"/>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总编制57名，其中：行政编制52名，事业编制0名。在职人员总数52名，其中：行政人员4</w:t>
      </w:r>
      <w:r>
        <w:rPr>
          <w:rFonts w:hint="eastAsia" w:ascii="仿宋" w:hAnsi="仿宋" w:eastAsia="仿宋"/>
          <w:color w:val="000000" w:themeColor="text1"/>
          <w:sz w:val="30"/>
          <w:szCs w:val="30"/>
          <w:highlight w:val="none"/>
          <w:lang w:val="en-US" w:eastAsia="zh-CN"/>
          <w14:textFill>
            <w14:solidFill>
              <w14:schemeClr w14:val="tx1"/>
            </w14:solidFill>
          </w14:textFill>
        </w:rPr>
        <w:t>8</w:t>
      </w:r>
      <w:r>
        <w:rPr>
          <w:rFonts w:hint="eastAsia" w:ascii="仿宋" w:hAnsi="仿宋" w:eastAsia="仿宋"/>
          <w:color w:val="000000" w:themeColor="text1"/>
          <w:sz w:val="30"/>
          <w:szCs w:val="30"/>
          <w:highlight w:val="none"/>
          <w14:textFill>
            <w14:solidFill>
              <w14:schemeClr w14:val="tx1"/>
            </w14:solidFill>
          </w14:textFill>
        </w:rPr>
        <w:t>名，参照公务遇法管理的事业人员 0名，机关工勤人员</w:t>
      </w:r>
      <w:r>
        <w:rPr>
          <w:rFonts w:hint="eastAsia" w:ascii="仿宋" w:hAnsi="仿宋" w:eastAsia="仿宋"/>
          <w:color w:val="000000" w:themeColor="text1"/>
          <w:sz w:val="30"/>
          <w:szCs w:val="30"/>
          <w:highlight w:val="none"/>
          <w:lang w:val="en-US" w:eastAsia="zh-CN"/>
          <w14:textFill>
            <w14:solidFill>
              <w14:schemeClr w14:val="tx1"/>
            </w14:solidFill>
          </w14:textFill>
        </w:rPr>
        <w:t>4</w:t>
      </w:r>
      <w:r>
        <w:rPr>
          <w:rFonts w:hint="eastAsia" w:ascii="仿宋" w:hAnsi="仿宋" w:eastAsia="仿宋"/>
          <w:color w:val="000000" w:themeColor="text1"/>
          <w:sz w:val="30"/>
          <w:szCs w:val="30"/>
          <w:highlight w:val="none"/>
          <w14:textFill>
            <w14:solidFill>
              <w14:schemeClr w14:val="tx1"/>
            </w14:solidFill>
          </w14:textFill>
        </w:rPr>
        <w:t>名，其他事业人员0名；退休人员</w:t>
      </w:r>
      <w:r>
        <w:rPr>
          <w:rFonts w:hint="eastAsia" w:ascii="仿宋" w:hAnsi="仿宋" w:eastAsia="仿宋"/>
          <w:color w:val="000000" w:themeColor="text1"/>
          <w:sz w:val="30"/>
          <w:szCs w:val="30"/>
          <w:highlight w:val="none"/>
          <w:lang w:val="en-US" w:eastAsia="zh-CN"/>
          <w14:textFill>
            <w14:solidFill>
              <w14:schemeClr w14:val="tx1"/>
            </w14:solidFill>
          </w14:textFill>
        </w:rPr>
        <w:t>21</w:t>
      </w:r>
      <w:r>
        <w:rPr>
          <w:rFonts w:hint="eastAsia" w:ascii="仿宋" w:hAnsi="仿宋" w:eastAsia="仿宋"/>
          <w:color w:val="000000" w:themeColor="text1"/>
          <w:sz w:val="30"/>
          <w:szCs w:val="30"/>
          <w:highlight w:val="none"/>
          <w14:textFill>
            <w14:solidFill>
              <w14:schemeClr w14:val="tx1"/>
            </w14:solidFill>
          </w14:textFill>
        </w:rPr>
        <w:t>人。</w:t>
      </w:r>
    </w:p>
    <w:p>
      <w:pPr>
        <w:widowControl/>
        <w:adjustRightInd w:val="0"/>
        <w:snapToGrid w:val="0"/>
        <w:spacing w:line="580" w:lineRule="exact"/>
        <w:ind w:firstLine="640" w:firstLineChars="200"/>
        <w:jc w:val="left"/>
        <w:rPr>
          <w:rFonts w:ascii="黑体" w:eastAsia="黑体"/>
          <w:color w:val="000000" w:themeColor="text1"/>
          <w:kern w:val="0"/>
          <w:highlight w:val="none"/>
          <w:shd w:val="clear" w:color="auto" w:fill="FFFFFF"/>
          <w14:textFill>
            <w14:solidFill>
              <w14:schemeClr w14:val="tx1"/>
            </w14:solidFill>
          </w14:textFill>
        </w:rPr>
      </w:pPr>
      <w:r>
        <w:rPr>
          <w:rFonts w:hint="eastAsia" w:ascii="黑体" w:eastAsia="黑体" w:cs="黑体"/>
          <w:color w:val="000000" w:themeColor="text1"/>
          <w:kern w:val="0"/>
          <w:highlight w:val="none"/>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_GB2312" w:cs="仿宋_GB2312"/>
          <w:color w:val="000000" w:themeColor="text1"/>
          <w:kern w:val="0"/>
          <w:highlight w:val="none"/>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0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202</w:t>
      </w:r>
      <w:r>
        <w:rPr>
          <w:rFonts w:hint="eastAsia" w:ascii="仿宋" w:hAnsi="仿宋" w:eastAsia="仿宋"/>
          <w:color w:val="000000" w:themeColor="text1"/>
          <w:sz w:val="30"/>
          <w:szCs w:val="30"/>
          <w:highlight w:val="none"/>
          <w:lang w:val="en-US" w:eastAsia="zh-CN"/>
          <w14:textFill>
            <w14:solidFill>
              <w14:schemeClr w14:val="tx1"/>
            </w14:solidFill>
          </w14:textFill>
        </w:rPr>
        <w:t>1</w:t>
      </w:r>
      <w:r>
        <w:rPr>
          <w:rFonts w:hint="eastAsia" w:ascii="仿宋" w:hAnsi="仿宋" w:eastAsia="仿宋"/>
          <w:color w:val="000000" w:themeColor="text1"/>
          <w:sz w:val="30"/>
          <w:szCs w:val="30"/>
          <w:highlight w:val="none"/>
          <w14:textFill>
            <w14:solidFill>
              <w14:schemeClr w14:val="tx1"/>
            </w14:solidFill>
          </w14:textFill>
        </w:rPr>
        <w:t>年总收入</w:t>
      </w:r>
      <w:r>
        <w:rPr>
          <w:rFonts w:hint="eastAsia" w:ascii="仿宋" w:hAnsi="仿宋" w:eastAsia="仿宋"/>
          <w:color w:val="000000" w:themeColor="text1"/>
          <w:sz w:val="30"/>
          <w:szCs w:val="30"/>
          <w:highlight w:val="none"/>
          <w:lang w:val="en-US" w:eastAsia="zh-CN"/>
          <w14:textFill>
            <w14:solidFill>
              <w14:schemeClr w14:val="tx1"/>
            </w14:solidFill>
          </w14:textFill>
        </w:rPr>
        <w:t>1679.26</w:t>
      </w:r>
      <w:r>
        <w:rPr>
          <w:rFonts w:hint="eastAsia" w:ascii="仿宋" w:hAnsi="仿宋" w:eastAsia="仿宋"/>
          <w:color w:val="000000" w:themeColor="text1"/>
          <w:sz w:val="30"/>
          <w:szCs w:val="30"/>
          <w:highlight w:val="none"/>
          <w14:textFill>
            <w14:solidFill>
              <w14:schemeClr w14:val="tx1"/>
            </w14:solidFill>
          </w14:textFill>
        </w:rPr>
        <w:t>万元，其中财政拨款收入</w:t>
      </w:r>
      <w:r>
        <w:rPr>
          <w:rFonts w:hint="eastAsia" w:ascii="仿宋" w:hAnsi="仿宋" w:eastAsia="仿宋"/>
          <w:color w:val="000000" w:themeColor="text1"/>
          <w:sz w:val="30"/>
          <w:szCs w:val="30"/>
          <w:highlight w:val="none"/>
          <w:lang w:val="en-US" w:eastAsia="zh-CN"/>
          <w14:textFill>
            <w14:solidFill>
              <w14:schemeClr w14:val="tx1"/>
            </w14:solidFill>
          </w14:textFill>
        </w:rPr>
        <w:t>1679.26</w:t>
      </w:r>
      <w:r>
        <w:rPr>
          <w:rFonts w:hint="eastAsia" w:ascii="仿宋" w:hAnsi="仿宋" w:eastAsia="仿宋"/>
          <w:color w:val="000000" w:themeColor="text1"/>
          <w:sz w:val="30"/>
          <w:szCs w:val="30"/>
          <w:highlight w:val="none"/>
          <w14:textFill>
            <w14:solidFill>
              <w14:schemeClr w14:val="tx1"/>
            </w14:solidFill>
          </w14:textFill>
        </w:rPr>
        <w:t>万元，财政应返还额度</w:t>
      </w:r>
      <w:r>
        <w:rPr>
          <w:rFonts w:hint="eastAsia" w:ascii="仿宋" w:hAnsi="仿宋" w:eastAsia="仿宋"/>
          <w:color w:val="000000" w:themeColor="text1"/>
          <w:sz w:val="30"/>
          <w:szCs w:val="30"/>
          <w:highlight w:val="none"/>
          <w:lang w:val="en-US" w:eastAsia="zh-CN"/>
          <w14:textFill>
            <w14:solidFill>
              <w14:schemeClr w14:val="tx1"/>
            </w14:solidFill>
          </w14:textFill>
        </w:rPr>
        <w:t>369.48</w:t>
      </w:r>
      <w:r>
        <w:rPr>
          <w:rFonts w:hint="eastAsia" w:ascii="仿宋" w:hAnsi="仿宋" w:eastAsia="仿宋"/>
          <w:color w:val="000000" w:themeColor="text1"/>
          <w:sz w:val="30"/>
          <w:szCs w:val="30"/>
          <w:highlight w:val="none"/>
          <w14:textFill>
            <w14:solidFill>
              <w14:schemeClr w14:val="tx1"/>
            </w14:solidFill>
          </w14:textFill>
        </w:rPr>
        <w:t>万元。</w:t>
      </w:r>
      <w:r>
        <w:rPr>
          <w:rFonts w:hint="eastAsia" w:ascii="宋体" w:hAnsi="宋体" w:eastAsia="宋体"/>
          <w:color w:val="000000" w:themeColor="text1"/>
          <w:sz w:val="30"/>
          <w:szCs w:val="30"/>
          <w:highlight w:val="none"/>
          <w14:textFill>
            <w14:solidFill>
              <w14:schemeClr w14:val="tx1"/>
            </w14:solidFill>
          </w14:textFill>
        </w:rPr>
        <w:t xml:space="preserve"> </w:t>
      </w:r>
    </w:p>
    <w:p>
      <w:pPr>
        <w:widowControl/>
        <w:numPr>
          <w:ilvl w:val="0"/>
          <w:numId w:val="2"/>
        </w:numPr>
        <w:adjustRightInd w:val="0"/>
        <w:snapToGrid w:val="0"/>
        <w:spacing w:line="580" w:lineRule="exact"/>
        <w:ind w:firstLine="64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_GB2312" w:cs="仿宋_GB2312"/>
          <w:color w:val="000000" w:themeColor="text1"/>
          <w:kern w:val="0"/>
          <w:highlight w:val="none"/>
          <w:shd w:val="clear" w:color="auto" w:fill="FFFFFF"/>
          <w:lang w:val="zh-CN"/>
          <w14:textFill>
            <w14:solidFill>
              <w14:schemeClr w14:val="tx1"/>
            </w14:solidFill>
          </w14:textFill>
        </w:rPr>
        <w:t>部门财政资金支出情况。</w:t>
      </w:r>
    </w:p>
    <w:p>
      <w:pPr>
        <w:snapToGrid w:val="0"/>
        <w:spacing w:line="360" w:lineRule="auto"/>
        <w:ind w:firstLine="600" w:firstLineChars="200"/>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202</w:t>
      </w:r>
      <w:r>
        <w:rPr>
          <w:rFonts w:hint="eastAsia" w:ascii="仿宋" w:hAnsi="仿宋" w:eastAsia="仿宋"/>
          <w:color w:val="000000" w:themeColor="text1"/>
          <w:sz w:val="30"/>
          <w:szCs w:val="30"/>
          <w:highlight w:val="none"/>
          <w:lang w:val="en-US" w:eastAsia="zh-CN"/>
          <w14:textFill>
            <w14:solidFill>
              <w14:schemeClr w14:val="tx1"/>
            </w14:solidFill>
          </w14:textFill>
        </w:rPr>
        <w:t>1</w:t>
      </w:r>
      <w:r>
        <w:rPr>
          <w:rFonts w:hint="eastAsia" w:ascii="仿宋" w:hAnsi="仿宋" w:eastAsia="仿宋"/>
          <w:color w:val="000000" w:themeColor="text1"/>
          <w:sz w:val="30"/>
          <w:szCs w:val="30"/>
          <w:highlight w:val="none"/>
          <w14:textFill>
            <w14:solidFill>
              <w14:schemeClr w14:val="tx1"/>
            </w14:solidFill>
          </w14:textFill>
        </w:rPr>
        <w:t>年总支出</w:t>
      </w:r>
      <w:r>
        <w:rPr>
          <w:rFonts w:hint="eastAsia" w:ascii="仿宋" w:hAnsi="仿宋" w:eastAsia="仿宋"/>
          <w:color w:val="000000" w:themeColor="text1"/>
          <w:sz w:val="30"/>
          <w:szCs w:val="30"/>
          <w:highlight w:val="none"/>
          <w:lang w:val="en-US" w:eastAsia="zh-CN"/>
          <w14:textFill>
            <w14:solidFill>
              <w14:schemeClr w14:val="tx1"/>
            </w14:solidFill>
          </w14:textFill>
        </w:rPr>
        <w:t>2048.74</w:t>
      </w:r>
      <w:r>
        <w:rPr>
          <w:rFonts w:hint="eastAsia" w:ascii="仿宋" w:hAnsi="仿宋" w:eastAsia="仿宋"/>
          <w:color w:val="000000" w:themeColor="text1"/>
          <w:sz w:val="30"/>
          <w:szCs w:val="30"/>
          <w:highlight w:val="none"/>
          <w14:textFill>
            <w14:solidFill>
              <w14:schemeClr w14:val="tx1"/>
            </w14:solidFill>
          </w14:textFill>
        </w:rPr>
        <w:t>万元，其中财政拨款</w:t>
      </w:r>
      <w:r>
        <w:rPr>
          <w:rFonts w:hint="eastAsia" w:ascii="仿宋" w:hAnsi="仿宋" w:eastAsia="仿宋"/>
          <w:color w:val="000000" w:themeColor="text1"/>
          <w:sz w:val="30"/>
          <w:szCs w:val="30"/>
          <w:highlight w:val="none"/>
          <w:lang w:val="en-US" w:eastAsia="zh-CN"/>
          <w14:textFill>
            <w14:solidFill>
              <w14:schemeClr w14:val="tx1"/>
            </w14:solidFill>
          </w14:textFill>
        </w:rPr>
        <w:t>2048.74</w:t>
      </w:r>
      <w:r>
        <w:rPr>
          <w:rFonts w:hint="eastAsia" w:ascii="仿宋" w:hAnsi="仿宋" w:eastAsia="仿宋"/>
          <w:color w:val="000000" w:themeColor="text1"/>
          <w:sz w:val="30"/>
          <w:szCs w:val="30"/>
          <w:highlight w:val="none"/>
          <w14:textFill>
            <w14:solidFill>
              <w14:schemeClr w14:val="tx1"/>
            </w14:solidFill>
          </w14:textFill>
        </w:rPr>
        <w:t>万元。工资福利支出</w:t>
      </w:r>
      <w:r>
        <w:rPr>
          <w:rFonts w:hint="eastAsia" w:ascii="仿宋" w:hAnsi="仿宋" w:eastAsia="仿宋"/>
          <w:color w:val="000000" w:themeColor="text1"/>
          <w:sz w:val="30"/>
          <w:szCs w:val="30"/>
          <w:highlight w:val="none"/>
          <w:lang w:val="en-US" w:eastAsia="zh-CN"/>
          <w14:textFill>
            <w14:solidFill>
              <w14:schemeClr w14:val="tx1"/>
            </w14:solidFill>
          </w14:textFill>
        </w:rPr>
        <w:t>1373.34</w:t>
      </w:r>
      <w:r>
        <w:rPr>
          <w:rFonts w:hint="eastAsia" w:ascii="仿宋" w:hAnsi="仿宋" w:eastAsia="仿宋"/>
          <w:color w:val="000000" w:themeColor="text1"/>
          <w:sz w:val="30"/>
          <w:szCs w:val="30"/>
          <w:highlight w:val="none"/>
          <w14:textFill>
            <w14:solidFill>
              <w14:schemeClr w14:val="tx1"/>
            </w14:solidFill>
          </w14:textFill>
        </w:rPr>
        <w:t>万元，商品服务支出</w:t>
      </w:r>
      <w:r>
        <w:rPr>
          <w:rFonts w:hint="eastAsia" w:ascii="仿宋" w:hAnsi="仿宋" w:eastAsia="仿宋"/>
          <w:color w:val="000000" w:themeColor="text1"/>
          <w:sz w:val="30"/>
          <w:szCs w:val="30"/>
          <w:highlight w:val="none"/>
          <w:lang w:val="en-US" w:eastAsia="zh-CN"/>
          <w14:textFill>
            <w14:solidFill>
              <w14:schemeClr w14:val="tx1"/>
            </w14:solidFill>
          </w14:textFill>
        </w:rPr>
        <w:t>459.74</w:t>
      </w:r>
      <w:r>
        <w:rPr>
          <w:rFonts w:hint="eastAsia" w:ascii="仿宋" w:hAnsi="仿宋" w:eastAsia="仿宋"/>
          <w:color w:val="000000" w:themeColor="text1"/>
          <w:sz w:val="30"/>
          <w:szCs w:val="30"/>
          <w:highlight w:val="none"/>
          <w14:textFill>
            <w14:solidFill>
              <w14:schemeClr w14:val="tx1"/>
            </w14:solidFill>
          </w14:textFill>
        </w:rPr>
        <w:t>万元；对家庭和个人的补助支出为</w:t>
      </w:r>
      <w:r>
        <w:rPr>
          <w:rFonts w:hint="eastAsia" w:ascii="仿宋" w:hAnsi="仿宋" w:eastAsia="仿宋"/>
          <w:color w:val="000000" w:themeColor="text1"/>
          <w:sz w:val="30"/>
          <w:szCs w:val="30"/>
          <w:highlight w:val="none"/>
          <w:lang w:val="en-US" w:eastAsia="zh-CN"/>
          <w14:textFill>
            <w14:solidFill>
              <w14:schemeClr w14:val="tx1"/>
            </w14:solidFill>
          </w14:textFill>
        </w:rPr>
        <w:t>89.67</w:t>
      </w:r>
      <w:r>
        <w:rPr>
          <w:rFonts w:hint="eastAsia" w:ascii="仿宋" w:hAnsi="仿宋" w:eastAsia="仿宋"/>
          <w:color w:val="000000" w:themeColor="text1"/>
          <w:sz w:val="30"/>
          <w:szCs w:val="30"/>
          <w:highlight w:val="none"/>
          <w14:textFill>
            <w14:solidFill>
              <w14:schemeClr w14:val="tx1"/>
            </w14:solidFill>
          </w14:textFill>
        </w:rPr>
        <w:t>万元；资本性支出</w:t>
      </w:r>
      <w:r>
        <w:rPr>
          <w:rFonts w:hint="eastAsia" w:ascii="仿宋" w:hAnsi="仿宋" w:eastAsia="仿宋"/>
          <w:color w:val="000000" w:themeColor="text1"/>
          <w:sz w:val="30"/>
          <w:szCs w:val="30"/>
          <w:highlight w:val="none"/>
          <w:lang w:val="en-US" w:eastAsia="zh-CN"/>
          <w14:textFill>
            <w14:solidFill>
              <w14:schemeClr w14:val="tx1"/>
            </w14:solidFill>
          </w14:textFill>
        </w:rPr>
        <w:t>125.99</w:t>
      </w:r>
      <w:r>
        <w:rPr>
          <w:rFonts w:hint="eastAsia" w:ascii="仿宋" w:hAnsi="仿宋" w:eastAsia="仿宋"/>
          <w:color w:val="000000" w:themeColor="text1"/>
          <w:sz w:val="30"/>
          <w:szCs w:val="30"/>
          <w:highlight w:val="none"/>
          <w14:textFill>
            <w14:solidFill>
              <w14:schemeClr w14:val="tx1"/>
            </w14:solidFill>
          </w14:textFill>
        </w:rPr>
        <w:t>万元。以上费用</w:t>
      </w:r>
      <w:r>
        <w:rPr>
          <w:rFonts w:ascii="仿宋" w:hAnsi="仿宋" w:eastAsia="仿宋"/>
          <w:color w:val="000000" w:themeColor="text1"/>
          <w:sz w:val="30"/>
          <w:szCs w:val="30"/>
          <w:highlight w:val="none"/>
          <w14:textFill>
            <w14:solidFill>
              <w14:schemeClr w14:val="tx1"/>
            </w14:solidFill>
          </w14:textFill>
        </w:rPr>
        <w:t>包括人员工资、</w:t>
      </w:r>
      <w:r>
        <w:rPr>
          <w:rFonts w:hint="eastAsia" w:ascii="仿宋" w:hAnsi="仿宋" w:eastAsia="仿宋"/>
          <w:color w:val="000000" w:themeColor="text1"/>
          <w:sz w:val="30"/>
          <w:szCs w:val="30"/>
          <w:highlight w:val="none"/>
          <w14:textFill>
            <w14:solidFill>
              <w14:schemeClr w14:val="tx1"/>
            </w14:solidFill>
          </w14:textFill>
        </w:rPr>
        <w:t>奖金、养老保险、生活补助、医疗费补助、</w:t>
      </w:r>
      <w:r>
        <w:rPr>
          <w:rFonts w:ascii="仿宋" w:hAnsi="仿宋" w:eastAsia="仿宋"/>
          <w:color w:val="000000" w:themeColor="text1"/>
          <w:sz w:val="30"/>
          <w:szCs w:val="30"/>
          <w:highlight w:val="none"/>
          <w14:textFill>
            <w14:solidFill>
              <w14:schemeClr w14:val="tx1"/>
            </w14:solidFill>
          </w14:textFill>
        </w:rPr>
        <w:t>医疗保险、住房公积金和日常公用定额标准</w:t>
      </w:r>
      <w:r>
        <w:rPr>
          <w:rFonts w:hint="eastAsia" w:ascii="仿宋" w:hAnsi="仿宋" w:eastAsia="仿宋"/>
          <w:color w:val="000000" w:themeColor="text1"/>
          <w:sz w:val="30"/>
          <w:szCs w:val="30"/>
          <w:highlight w:val="none"/>
          <w14:textFill>
            <w14:solidFill>
              <w14:schemeClr w14:val="tx1"/>
            </w14:solidFill>
          </w14:textFill>
        </w:rPr>
        <w:t>费用、</w:t>
      </w:r>
      <w:r>
        <w:rPr>
          <w:rFonts w:hint="eastAsia" w:ascii="仿宋" w:hAnsi="仿宋" w:eastAsia="仿宋"/>
          <w:color w:val="000000" w:themeColor="text1"/>
          <w:sz w:val="30"/>
          <w:szCs w:val="30"/>
          <w:highlight w:val="none"/>
          <w:lang w:eastAsia="zh-CN"/>
          <w14:textFill>
            <w14:solidFill>
              <w14:schemeClr w14:val="tx1"/>
            </w14:solidFill>
          </w14:textFill>
        </w:rPr>
        <w:t>资本性</w:t>
      </w:r>
      <w:r>
        <w:rPr>
          <w:rFonts w:hint="eastAsia" w:ascii="仿宋" w:hAnsi="仿宋" w:eastAsia="仿宋"/>
          <w:color w:val="000000" w:themeColor="text1"/>
          <w:sz w:val="30"/>
          <w:szCs w:val="30"/>
          <w:highlight w:val="none"/>
          <w14:textFill>
            <w14:solidFill>
              <w14:schemeClr w14:val="tx1"/>
            </w14:solidFill>
          </w14:textFill>
        </w:rPr>
        <w:t>支出</w:t>
      </w:r>
      <w:r>
        <w:rPr>
          <w:rFonts w:ascii="仿宋" w:hAnsi="仿宋" w:eastAsia="仿宋"/>
          <w:color w:val="000000" w:themeColor="text1"/>
          <w:sz w:val="30"/>
          <w:szCs w:val="30"/>
          <w:highlight w:val="none"/>
          <w14:textFill>
            <w14:solidFill>
              <w14:schemeClr w14:val="tx1"/>
            </w14:solidFill>
          </w14:textFill>
        </w:rPr>
        <w:t>等费用。</w:t>
      </w:r>
      <w:r>
        <w:rPr>
          <w:rFonts w:hint="eastAsia" w:ascii="仿宋" w:hAnsi="仿宋" w:eastAsia="仿宋"/>
          <w:color w:val="000000" w:themeColor="text1"/>
          <w:sz w:val="30"/>
          <w:szCs w:val="30"/>
          <w:highlight w:val="none"/>
          <w14:textFill>
            <w14:solidFill>
              <w14:schemeClr w14:val="tx1"/>
            </w14:solidFill>
          </w14:textFill>
        </w:rPr>
        <w:t>202</w:t>
      </w:r>
      <w:r>
        <w:rPr>
          <w:rFonts w:hint="eastAsia" w:ascii="仿宋" w:hAnsi="仿宋" w:eastAsia="仿宋"/>
          <w:color w:val="000000" w:themeColor="text1"/>
          <w:sz w:val="30"/>
          <w:szCs w:val="30"/>
          <w:highlight w:val="none"/>
          <w:lang w:val="en-US" w:eastAsia="zh-CN"/>
          <w14:textFill>
            <w14:solidFill>
              <w14:schemeClr w14:val="tx1"/>
            </w14:solidFill>
          </w14:textFill>
        </w:rPr>
        <w:t>1</w:t>
      </w:r>
      <w:r>
        <w:rPr>
          <w:rFonts w:ascii="仿宋" w:hAnsi="仿宋" w:eastAsia="仿宋"/>
          <w:color w:val="000000" w:themeColor="text1"/>
          <w:sz w:val="30"/>
          <w:szCs w:val="30"/>
          <w:highlight w:val="none"/>
          <w14:textFill>
            <w14:solidFill>
              <w14:schemeClr w14:val="tx1"/>
            </w14:solidFill>
          </w14:textFill>
        </w:rPr>
        <w:t>年</w:t>
      </w:r>
      <w:r>
        <w:rPr>
          <w:rFonts w:hint="eastAsia" w:ascii="仿宋" w:hAnsi="仿宋" w:eastAsia="仿宋"/>
          <w:color w:val="000000" w:themeColor="text1"/>
          <w:sz w:val="30"/>
          <w:szCs w:val="30"/>
          <w:highlight w:val="none"/>
          <w14:textFill>
            <w14:solidFill>
              <w14:schemeClr w14:val="tx1"/>
            </w14:solidFill>
          </w14:textFill>
        </w:rPr>
        <w:t>黑水县人民法院</w:t>
      </w:r>
      <w:r>
        <w:rPr>
          <w:rFonts w:ascii="仿宋" w:hAnsi="仿宋" w:eastAsia="仿宋"/>
          <w:color w:val="000000" w:themeColor="text1"/>
          <w:sz w:val="30"/>
          <w:szCs w:val="30"/>
          <w:highlight w:val="none"/>
          <w14:textFill>
            <w14:solidFill>
              <w14:schemeClr w14:val="tx1"/>
            </w14:solidFill>
          </w14:textFill>
        </w:rPr>
        <w:t>认真贯彻落实厉行节约、严控“三公”经费、降低一般运行经费、加强项目支出管理等方面取得了一定的成绩。先后出台了本单位公务接待、车辆集中管理、会议、培训等管理办法，实行“三公”经费预算和公示制度，有效地控制了“三公”经费支出。</w:t>
      </w:r>
      <w:r>
        <w:rPr>
          <w:rFonts w:hint="eastAsia" w:ascii="仿宋" w:hAnsi="仿宋" w:eastAsia="仿宋"/>
          <w:color w:val="000000" w:themeColor="text1"/>
          <w:sz w:val="30"/>
          <w:szCs w:val="30"/>
          <w:highlight w:val="none"/>
          <w14:textFill>
            <w14:solidFill>
              <w14:schemeClr w14:val="tx1"/>
            </w14:solidFill>
          </w14:textFill>
        </w:rPr>
        <w:t xml:space="preserve"> </w:t>
      </w:r>
    </w:p>
    <w:p>
      <w:pPr>
        <w:widowControl/>
        <w:adjustRightInd w:val="0"/>
        <w:snapToGrid w:val="0"/>
        <w:spacing w:line="580" w:lineRule="exact"/>
        <w:ind w:firstLine="640" w:firstLineChars="200"/>
        <w:jc w:val="left"/>
        <w:rPr>
          <w:rFonts w:ascii="黑体" w:eastAsia="黑体"/>
          <w:color w:val="000000" w:themeColor="text1"/>
          <w:kern w:val="0"/>
          <w:highlight w:val="none"/>
          <w:shd w:val="clear" w:color="auto" w:fill="FFFFFF"/>
          <w14:textFill>
            <w14:solidFill>
              <w14:schemeClr w14:val="tx1"/>
            </w14:solidFill>
          </w14:textFill>
        </w:rPr>
      </w:pPr>
      <w:r>
        <w:rPr>
          <w:rFonts w:hint="eastAsia" w:ascii="黑体" w:eastAsia="黑体" w:cs="黑体"/>
          <w:color w:val="000000" w:themeColor="text1"/>
          <w:kern w:val="0"/>
          <w:highlight w:val="none"/>
          <w:shd w:val="clear" w:color="auto" w:fill="FFFFFF"/>
          <w14:textFill>
            <w14:solidFill>
              <w14:schemeClr w14:val="tx1"/>
            </w14:solidFill>
          </w14:textFill>
        </w:rPr>
        <w:t>三、部门整体预算绩效管理情况（根据适用指标体系进行调整，涉及到有专项预算的部门，专项预算项目自评报告根据要求另行单独报送）</w:t>
      </w:r>
    </w:p>
    <w:p>
      <w:pPr>
        <w:widowControl/>
        <w:adjustRightInd w:val="0"/>
        <w:snapToGrid w:val="0"/>
        <w:spacing w:line="560" w:lineRule="exact"/>
        <w:ind w:firstLine="72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（一）预算编制情况</w:t>
      </w:r>
    </w:p>
    <w:p>
      <w:pPr>
        <w:snapToGrid w:val="0"/>
        <w:spacing w:line="360" w:lineRule="auto"/>
        <w:ind w:firstLine="600" w:firstLineChars="200"/>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我院按照省级部门预算编制通知和有关要求，对202</w:t>
      </w:r>
      <w:r>
        <w:rPr>
          <w:rFonts w:hint="eastAsia" w:ascii="仿宋" w:hAnsi="仿宋" w:eastAsia="仿宋"/>
          <w:color w:val="000000" w:themeColor="text1"/>
          <w:sz w:val="30"/>
          <w:szCs w:val="30"/>
          <w:highlight w:val="none"/>
          <w:lang w:val="en-US" w:eastAsia="zh-CN"/>
          <w14:textFill>
            <w14:solidFill>
              <w14:schemeClr w14:val="tx1"/>
            </w14:solidFill>
          </w14:textFill>
        </w:rPr>
        <w:t>1</w:t>
      </w:r>
      <w:r>
        <w:rPr>
          <w:rFonts w:hint="eastAsia" w:ascii="仿宋" w:hAnsi="仿宋" w:eastAsia="仿宋"/>
          <w:color w:val="000000" w:themeColor="text1"/>
          <w:sz w:val="30"/>
          <w:szCs w:val="30"/>
          <w:highlight w:val="none"/>
          <w14:textFill>
            <w14:solidFill>
              <w14:schemeClr w14:val="tx1"/>
            </w14:solidFill>
          </w14:textFill>
        </w:rPr>
        <w:t xml:space="preserve">年的各项收入及支出作了认真的清理，真实、准确、全面、及时的完成年度预、决算工作；认真对绩效目标的填报，对专项预算进行分期、分批并结合实际提前细化，保障正常运行。 </w:t>
      </w:r>
    </w:p>
    <w:p>
      <w:pPr>
        <w:widowControl/>
        <w:adjustRightInd w:val="0"/>
        <w:snapToGrid w:val="0"/>
        <w:spacing w:line="560" w:lineRule="exact"/>
        <w:ind w:firstLine="72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（二）执行管理情况</w:t>
      </w:r>
      <w:r>
        <w:rPr>
          <w:rFonts w:hint="eastAsia" w:ascii="楷体" w:hAnsi="楷体" w:eastAsia="楷体" w:cs="宋体"/>
          <w:color w:val="000000" w:themeColor="text1"/>
          <w:kern w:val="0"/>
          <w:highlight w:val="none"/>
          <w:lang w:val="zh-CN"/>
          <w14:textFill>
            <w14:solidFill>
              <w14:schemeClr w14:val="tx1"/>
            </w14:solidFill>
          </w14:textFill>
        </w:rPr>
        <w:tab/>
      </w:r>
    </w:p>
    <w:p>
      <w:pPr>
        <w:snapToGrid w:val="0"/>
        <w:spacing w:line="360" w:lineRule="auto"/>
        <w:ind w:firstLine="600" w:firstLineChars="200"/>
        <w:rPr>
          <w:rFonts w:cs="宋体" w:asciiTheme="minorEastAsia" w:hAnsiTheme="minorEastAsia"/>
          <w:color w:val="000000" w:themeColor="text1"/>
          <w:kern w:val="0"/>
          <w:sz w:val="30"/>
          <w:szCs w:val="3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在县财政局相关股室的支持协调配合下，黑水县人民法院资金按年拨款，专项资金按实际情况调拨支付。今年总收入</w:t>
      </w:r>
      <w:r>
        <w:rPr>
          <w:rFonts w:hint="eastAsia" w:ascii="仿宋" w:hAnsi="仿宋" w:eastAsia="仿宋"/>
          <w:color w:val="000000" w:themeColor="text1"/>
          <w:sz w:val="30"/>
          <w:szCs w:val="30"/>
          <w:highlight w:val="none"/>
          <w:lang w:val="en-US" w:eastAsia="zh-CN"/>
          <w14:textFill>
            <w14:solidFill>
              <w14:schemeClr w14:val="tx1"/>
            </w14:solidFill>
          </w14:textFill>
        </w:rPr>
        <w:t>1679.26</w:t>
      </w:r>
      <w:r>
        <w:rPr>
          <w:rFonts w:hint="eastAsia" w:ascii="仿宋" w:hAnsi="仿宋" w:eastAsia="仿宋"/>
          <w:color w:val="000000" w:themeColor="text1"/>
          <w:sz w:val="30"/>
          <w:szCs w:val="30"/>
          <w:highlight w:val="none"/>
          <w14:textFill>
            <w14:solidFill>
              <w14:schemeClr w14:val="tx1"/>
            </w14:solidFill>
          </w14:textFill>
        </w:rPr>
        <w:t>万元，其中：财政拨款收入</w:t>
      </w:r>
      <w:r>
        <w:rPr>
          <w:rFonts w:hint="eastAsia" w:ascii="仿宋" w:hAnsi="仿宋" w:eastAsia="仿宋"/>
          <w:color w:val="000000" w:themeColor="text1"/>
          <w:sz w:val="30"/>
          <w:szCs w:val="30"/>
          <w:highlight w:val="none"/>
          <w:lang w:val="en-US" w:eastAsia="zh-CN"/>
          <w14:textFill>
            <w14:solidFill>
              <w14:schemeClr w14:val="tx1"/>
            </w14:solidFill>
          </w14:textFill>
        </w:rPr>
        <w:t>1679.26</w:t>
      </w:r>
      <w:r>
        <w:rPr>
          <w:rFonts w:hint="eastAsia" w:ascii="仿宋" w:hAnsi="仿宋" w:eastAsia="仿宋"/>
          <w:color w:val="000000" w:themeColor="text1"/>
          <w:sz w:val="30"/>
          <w:szCs w:val="30"/>
          <w:highlight w:val="none"/>
          <w14:textFill>
            <w14:solidFill>
              <w14:schemeClr w14:val="tx1"/>
            </w14:solidFill>
          </w14:textFill>
        </w:rPr>
        <w:t>万元，财返</w:t>
      </w:r>
      <w:r>
        <w:rPr>
          <w:rFonts w:hint="eastAsia" w:ascii="仿宋" w:hAnsi="仿宋" w:eastAsia="仿宋"/>
          <w:color w:val="000000" w:themeColor="text1"/>
          <w:sz w:val="30"/>
          <w:szCs w:val="30"/>
          <w:highlight w:val="none"/>
          <w:lang w:val="en-US" w:eastAsia="zh-CN"/>
          <w14:textFill>
            <w14:solidFill>
              <w14:schemeClr w14:val="tx1"/>
            </w14:solidFill>
          </w14:textFill>
        </w:rPr>
        <w:t>369.48</w:t>
      </w:r>
      <w:r>
        <w:rPr>
          <w:rFonts w:hint="eastAsia" w:ascii="仿宋" w:hAnsi="仿宋" w:eastAsia="仿宋"/>
          <w:color w:val="000000" w:themeColor="text1"/>
          <w:sz w:val="30"/>
          <w:szCs w:val="30"/>
          <w:highlight w:val="none"/>
          <w14:textFill>
            <w14:solidFill>
              <w14:schemeClr w14:val="tx1"/>
            </w14:solidFill>
          </w14:textFill>
        </w:rPr>
        <w:t>万元。</w:t>
      </w:r>
    </w:p>
    <w:p>
      <w:pPr>
        <w:widowControl/>
        <w:numPr>
          <w:ilvl w:val="0"/>
          <w:numId w:val="2"/>
        </w:numPr>
        <w:adjustRightInd w:val="0"/>
        <w:snapToGrid w:val="0"/>
        <w:spacing w:line="540" w:lineRule="exact"/>
        <w:ind w:firstLine="640" w:firstLineChars="20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综合管理情况</w:t>
      </w:r>
    </w:p>
    <w:p>
      <w:pPr>
        <w:rPr>
          <w:rFonts w:ascii="仿宋" w:hAnsi="仿宋" w:eastAsia="仿宋"/>
          <w:color w:val="000000" w:themeColor="text1"/>
          <w:highlight w:val="none"/>
          <w14:textFill>
            <w14:solidFill>
              <w14:schemeClr w14:val="tx1"/>
            </w14:solidFill>
          </w14:textFill>
        </w:rPr>
      </w:pPr>
      <w:r>
        <w:rPr>
          <w:rFonts w:hint="eastAsia" w:ascii="黑体" w:hAnsi="黑体" w:eastAsia="黑体" w:cs="宋体"/>
          <w:color w:val="000000" w:themeColor="text1"/>
          <w:kern w:val="0"/>
          <w:sz w:val="30"/>
          <w:szCs w:val="30"/>
          <w:highlight w:val="none"/>
          <w:shd w:val="clear" w:color="auto" w:fill="FFFFFF"/>
          <w:lang w:val="zh-CN"/>
          <w14:textFill>
            <w14:solidFill>
              <w14:schemeClr w14:val="tx1"/>
            </w14:solidFill>
          </w14:textFill>
        </w:rPr>
        <w:t xml:space="preserve">1. </w:t>
      </w:r>
      <w:r>
        <w:rPr>
          <w:rFonts w:hint="eastAsia" w:eastAsia="仿宋"/>
          <w:color w:val="000000" w:themeColor="text1"/>
          <w:highlight w:val="none"/>
          <w14:textFill>
            <w14:solidFill>
              <w14:schemeClr w14:val="tx1"/>
            </w14:solidFill>
          </w14:textFill>
        </w:rPr>
        <w:t> </w:t>
      </w:r>
      <w:r>
        <w:rPr>
          <w:rFonts w:hint="eastAsia" w:ascii="黑体" w:hAnsi="黑体" w:eastAsia="黑体" w:cs="宋体"/>
          <w:color w:val="000000" w:themeColor="text1"/>
          <w:kern w:val="0"/>
          <w:sz w:val="30"/>
          <w:szCs w:val="30"/>
          <w:highlight w:val="none"/>
          <w:shd w:val="clear" w:color="auto" w:fill="FFFFFF"/>
          <w:lang w:val="zh-CN"/>
          <w14:textFill>
            <w14:solidFill>
              <w14:schemeClr w14:val="tx1"/>
            </w14:solidFill>
          </w14:textFill>
        </w:rPr>
        <w:t xml:space="preserve">内部控制制度健全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为规范我院的财务行为，加强财务管理，根据《</w:t>
      </w:r>
      <w:r>
        <w:fldChar w:fldCharType="begin"/>
      </w:r>
      <w:r>
        <w:instrText xml:space="preserve"> HYPERLINK "http://www.fwsir.com/shangwu/List/List_75.html" </w:instrText>
      </w:r>
      <w:r>
        <w:fldChar w:fldCharType="separate"/>
      </w:r>
      <w:r>
        <w:rPr>
          <w:rFonts w:hint="eastAsia" w:ascii="仿宋" w:hAnsi="仿宋" w:eastAsia="仿宋"/>
        </w:rPr>
        <w:t>会计</w:t>
      </w:r>
      <w:r>
        <w:rPr>
          <w:rFonts w:hint="eastAsia" w:ascii="仿宋" w:hAnsi="仿宋" w:eastAsia="仿宋"/>
        </w:rPr>
        <w:fldChar w:fldCharType="end"/>
      </w:r>
      <w:r>
        <w:rPr>
          <w:rFonts w:hint="eastAsia" w:ascii="仿宋" w:hAnsi="仿宋" w:eastAsia="仿宋"/>
          <w:sz w:val="30"/>
          <w:szCs w:val="30"/>
        </w:rPr>
        <w:t>法》、《预算法》、《行政事业单位会计制度》等财经法规以及根据</w:t>
      </w:r>
      <w:r>
        <w:rPr>
          <w:rFonts w:ascii="仿宋" w:hAnsi="仿宋" w:eastAsia="仿宋"/>
          <w:sz w:val="30"/>
          <w:szCs w:val="30"/>
        </w:rPr>
        <w:t>财政部印发的《</w:t>
      </w:r>
      <w:r>
        <w:rPr>
          <w:rFonts w:hint="eastAsia" w:ascii="仿宋" w:hAnsi="仿宋" w:eastAsia="仿宋"/>
          <w:sz w:val="30"/>
          <w:szCs w:val="30"/>
        </w:rPr>
        <w:t>关于开展</w:t>
      </w:r>
      <w:r>
        <w:rPr>
          <w:rFonts w:ascii="仿宋" w:hAnsi="仿宋" w:eastAsia="仿宋"/>
          <w:sz w:val="30"/>
          <w:szCs w:val="30"/>
        </w:rPr>
        <w:t>行政事业单位内部控制</w:t>
      </w:r>
      <w:r>
        <w:rPr>
          <w:rFonts w:hint="eastAsia" w:ascii="仿宋" w:hAnsi="仿宋" w:eastAsia="仿宋"/>
          <w:sz w:val="30"/>
          <w:szCs w:val="30"/>
        </w:rPr>
        <w:t>基础性评价工作的通知</w:t>
      </w:r>
      <w:r>
        <w:rPr>
          <w:rFonts w:ascii="仿宋" w:hAnsi="仿宋" w:eastAsia="仿宋"/>
          <w:sz w:val="30"/>
          <w:szCs w:val="30"/>
        </w:rPr>
        <w:t>》</w:t>
      </w:r>
      <w:r>
        <w:rPr>
          <w:rFonts w:hint="eastAsia" w:ascii="仿宋" w:hAnsi="仿宋" w:eastAsia="仿宋"/>
          <w:sz w:val="30"/>
          <w:szCs w:val="30"/>
        </w:rPr>
        <w:t>（财会[2016]11号），并结合我院的实际工作情况，制定并健全了收入管理制度、支出管理制度、财务管理制度、 政府采购管理制度、合同管理制度。</w:t>
      </w:r>
    </w:p>
    <w:p>
      <w:pPr>
        <w:rPr>
          <w:rFonts w:ascii="仿宋" w:hAnsi="仿宋" w:eastAsia="仿宋"/>
        </w:rPr>
      </w:pPr>
      <w:r>
        <w:rPr>
          <w:rFonts w:hint="eastAsia" w:ascii="黑体" w:hAnsi="黑体" w:eastAsia="黑体" w:cs="宋体"/>
          <w:color w:val="000000"/>
          <w:kern w:val="0"/>
          <w:sz w:val="30"/>
          <w:szCs w:val="30"/>
          <w:shd w:val="clear" w:color="auto" w:fill="FFFFFF"/>
          <w:lang w:val="zh-CN"/>
        </w:rPr>
        <w:t>2、财务核算</w:t>
      </w:r>
      <w:r>
        <w:rPr>
          <w:rFonts w:hint="eastAsia" w:ascii="仿宋" w:hAnsi="仿宋" w:eastAsia="仿宋"/>
        </w:rPr>
        <w:t xml:space="preserve">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严格依照《中华人民共和国会计法》、《财务规则》、《行政单位会计制度》《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等一系列财经规定，进行财务管理、核算、控制和监督。</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3、账务管理 </w:t>
      </w:r>
    </w:p>
    <w:p>
      <w:pPr>
        <w:snapToGrid w:val="0"/>
        <w:spacing w:line="360" w:lineRule="auto"/>
        <w:ind w:firstLine="600" w:firstLineChars="200"/>
        <w:rPr>
          <w:rFonts w:asciiTheme="minorEastAsia" w:hAnsiTheme="minorEastAsia"/>
          <w:sz w:val="30"/>
          <w:szCs w:val="30"/>
        </w:rPr>
      </w:pPr>
      <w:r>
        <w:rPr>
          <w:rFonts w:hint="eastAsia" w:asciiTheme="minorEastAsia" w:hAnsiTheme="minorEastAsia"/>
          <w:sz w:val="30"/>
          <w:szCs w:val="30"/>
        </w:rPr>
        <w:t xml:space="preserve"> </w:t>
      </w:r>
      <w:r>
        <w:rPr>
          <w:rFonts w:hint="eastAsia" w:ascii="仿宋" w:hAnsi="仿宋" w:eastAsia="仿宋"/>
          <w:sz w:val="30"/>
          <w:szCs w:val="30"/>
        </w:rPr>
        <w:t>按照国家关于会计档案管理的规定和要求，对会计凭证、会计帐簿、会计报表及其他会计资料，定期装订成册，整理立档，并妥善保管。</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4、政府采购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我院的政府采购工作均根据《政府采购法》有关规定，依法签订政府采购合同，按法定程序办理政府采购，正确选择采购方式公开招标。</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5、资产管理</w:t>
      </w:r>
    </w:p>
    <w:p>
      <w:pPr>
        <w:snapToGrid w:val="0"/>
        <w:spacing w:line="360" w:lineRule="auto"/>
        <w:ind w:firstLine="600" w:firstLineChars="200"/>
        <w:rPr>
          <w:rFonts w:ascii="仿宋" w:hAnsi="仿宋" w:eastAsia="仿宋"/>
          <w:sz w:val="30"/>
          <w:szCs w:val="30"/>
          <w:highlight w:val="none"/>
        </w:rPr>
      </w:pPr>
      <w:r>
        <w:rPr>
          <w:rFonts w:hint="eastAsia" w:ascii="仿宋" w:hAnsi="仿宋" w:eastAsia="仿宋"/>
          <w:sz w:val="30"/>
          <w:szCs w:val="30"/>
          <w:highlight w:val="none"/>
        </w:rPr>
        <w:t>202</w:t>
      </w:r>
      <w:r>
        <w:rPr>
          <w:rFonts w:hint="eastAsia" w:ascii="仿宋" w:hAnsi="仿宋" w:eastAsia="仿宋"/>
          <w:sz w:val="30"/>
          <w:szCs w:val="30"/>
          <w:highlight w:val="none"/>
          <w:lang w:val="en-US" w:eastAsia="zh-CN"/>
        </w:rPr>
        <w:t>1</w:t>
      </w:r>
      <w:r>
        <w:rPr>
          <w:rFonts w:hint="eastAsia" w:ascii="仿宋" w:hAnsi="仿宋" w:eastAsia="仿宋"/>
          <w:sz w:val="30"/>
          <w:szCs w:val="30"/>
          <w:highlight w:val="none"/>
        </w:rPr>
        <w:t>年我院固定资产总额</w:t>
      </w:r>
      <w:r>
        <w:rPr>
          <w:rFonts w:hint="eastAsia" w:ascii="仿宋" w:hAnsi="仿宋" w:eastAsia="仿宋"/>
          <w:sz w:val="30"/>
          <w:szCs w:val="30"/>
          <w:highlight w:val="none"/>
          <w:lang w:val="en-US" w:eastAsia="zh-CN"/>
        </w:rPr>
        <w:t>1420.71</w:t>
      </w:r>
      <w:r>
        <w:rPr>
          <w:rFonts w:hint="eastAsia" w:ascii="仿宋" w:hAnsi="仿宋" w:eastAsia="仿宋"/>
          <w:sz w:val="30"/>
          <w:szCs w:val="30"/>
          <w:highlight w:val="none"/>
        </w:rPr>
        <w:t>万元，本年新增固定资产价值</w:t>
      </w:r>
      <w:r>
        <w:rPr>
          <w:rFonts w:hint="eastAsia" w:ascii="仿宋" w:hAnsi="仿宋" w:eastAsia="仿宋"/>
          <w:sz w:val="30"/>
          <w:szCs w:val="30"/>
          <w:highlight w:val="none"/>
          <w:lang w:val="en-US" w:eastAsia="zh-CN"/>
        </w:rPr>
        <w:t>315.9</w:t>
      </w:r>
      <w:r>
        <w:rPr>
          <w:rFonts w:hint="eastAsia" w:ascii="仿宋" w:hAnsi="仿宋" w:eastAsia="仿宋"/>
          <w:sz w:val="30"/>
          <w:szCs w:val="30"/>
          <w:highlight w:val="none"/>
        </w:rPr>
        <w:t>万元，包含信息化建设</w:t>
      </w:r>
      <w:r>
        <w:rPr>
          <w:rFonts w:hint="eastAsia" w:ascii="仿宋" w:hAnsi="仿宋" w:eastAsia="仿宋"/>
          <w:sz w:val="30"/>
          <w:szCs w:val="30"/>
          <w:highlight w:val="none"/>
          <w:lang w:val="en-US" w:eastAsia="zh-CN"/>
        </w:rPr>
        <w:t>,办公设备购置,资产清理房屋价值核定及以前年度资产价值重新核定入账</w:t>
      </w:r>
      <w:r>
        <w:rPr>
          <w:rFonts w:hint="eastAsia" w:ascii="仿宋" w:hAnsi="仿宋" w:eastAsia="仿宋"/>
          <w:sz w:val="30"/>
          <w:szCs w:val="30"/>
          <w:highlight w:val="none"/>
        </w:rPr>
        <w:t>。</w:t>
      </w:r>
    </w:p>
    <w:p>
      <w:pPr>
        <w:rPr>
          <w:rFonts w:ascii="黑体" w:hAnsi="黑体" w:eastAsia="黑体" w:cs="宋体"/>
          <w:color w:val="000000"/>
          <w:kern w:val="0"/>
          <w:sz w:val="30"/>
          <w:szCs w:val="30"/>
          <w:highlight w:val="none"/>
          <w:shd w:val="clear" w:color="auto" w:fill="FFFFFF"/>
          <w:lang w:val="zh-CN"/>
        </w:rPr>
      </w:pPr>
      <w:r>
        <w:rPr>
          <w:rFonts w:hint="eastAsia" w:ascii="黑体" w:hAnsi="黑体" w:eastAsia="黑体" w:cs="宋体"/>
          <w:color w:val="000000"/>
          <w:kern w:val="0"/>
          <w:sz w:val="30"/>
          <w:szCs w:val="30"/>
          <w:highlight w:val="none"/>
          <w:shd w:val="clear" w:color="auto" w:fill="FFFFFF"/>
          <w:lang w:val="zh-CN"/>
        </w:rPr>
        <w:t>6、信息公开</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黑水县人民法院决算、预算每年定期按规定在政府公开网站公开。</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7、绩效评价及接受监督</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我院每年按规定对本单位项目支出及整体支出进行绩效评价；并依法接受财政部门监督监管。</w:t>
      </w:r>
    </w:p>
    <w:p>
      <w:pPr>
        <w:widowControl/>
        <w:adjustRightInd w:val="0"/>
        <w:snapToGrid w:val="0"/>
        <w:spacing w:line="540" w:lineRule="exact"/>
        <w:jc w:val="left"/>
        <w:rPr>
          <w:rFonts w:cs="宋体" w:asciiTheme="minorEastAsia" w:hAnsiTheme="minorEastAsia"/>
          <w:color w:val="000000"/>
          <w:kern w:val="0"/>
          <w:sz w:val="30"/>
          <w:szCs w:val="30"/>
          <w:shd w:val="clear" w:color="auto" w:fill="FFFFFF"/>
          <w:lang w:val="zh-CN"/>
        </w:rPr>
      </w:pPr>
      <w:r>
        <w:rPr>
          <w:rFonts w:hint="eastAsia" w:cs="宋体" w:asciiTheme="minorEastAsia" w:hAnsiTheme="minorEastAsia"/>
          <w:color w:val="000000"/>
          <w:kern w:val="0"/>
          <w:sz w:val="30"/>
          <w:szCs w:val="30"/>
          <w:shd w:val="clear" w:color="auto" w:fill="FFFFFF"/>
          <w:lang w:val="zh-CN"/>
        </w:rPr>
        <w:t>（四）财务管理情况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单位财务管理按照《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为我院合理、科学、高效的使用财政资金提供了有效的保障与充分的监管.</w:t>
      </w:r>
    </w:p>
    <w:p>
      <w:pPr>
        <w:widowControl/>
        <w:adjustRightInd w:val="0"/>
        <w:snapToGrid w:val="0"/>
        <w:spacing w:line="580" w:lineRule="exact"/>
        <w:ind w:firstLine="640" w:firstLineChars="200"/>
        <w:jc w:val="left"/>
        <w:rPr>
          <w:rFonts w:ascii="仿宋_GB2312"/>
          <w:color w:val="000000"/>
          <w:kern w:val="0"/>
          <w:shd w:val="clear" w:color="auto" w:fill="FFFFFF"/>
          <w:lang w:val="zh-CN"/>
        </w:rPr>
      </w:pPr>
      <w:r>
        <w:rPr>
          <w:rFonts w:hint="eastAsia" w:ascii="仿宋_GB2312" w:cs="仿宋_GB2312"/>
          <w:color w:val="000000"/>
          <w:kern w:val="0"/>
          <w:shd w:val="clear" w:color="auto" w:fill="FFFFFF"/>
          <w:lang w:val="zh-CN"/>
        </w:rPr>
        <w:t>（二）结果应用情况。</w:t>
      </w:r>
    </w:p>
    <w:p>
      <w:pPr>
        <w:widowControl/>
        <w:adjustRightInd w:val="0"/>
        <w:snapToGrid w:val="0"/>
        <w:spacing w:line="580" w:lineRule="exact"/>
        <w:ind w:firstLine="640" w:firstLineChars="200"/>
        <w:jc w:val="left"/>
        <w:rPr>
          <w:rFonts w:ascii="仿宋_GB2312"/>
          <w:color w:val="000000"/>
          <w:kern w:val="0"/>
          <w:shd w:val="clear" w:color="auto" w:fill="FFFFFF"/>
          <w:lang w:val="zh-CN"/>
        </w:rPr>
      </w:pPr>
      <w:r>
        <w:rPr>
          <w:rFonts w:hint="eastAsia" w:ascii="仿宋_GB2312" w:cs="仿宋_GB2312"/>
          <w:color w:val="000000"/>
          <w:kern w:val="0"/>
          <w:shd w:val="clear" w:color="auto" w:fill="FFFFFF"/>
          <w:lang w:val="zh-CN"/>
        </w:rPr>
        <w:t>包括绩效自评公开、评价结果整改和应用结果反馈等情况。</w:t>
      </w:r>
    </w:p>
    <w:p>
      <w:pPr>
        <w:widowControl/>
        <w:adjustRightInd w:val="0"/>
        <w:snapToGrid w:val="0"/>
        <w:spacing w:line="580" w:lineRule="exact"/>
        <w:ind w:firstLine="640" w:firstLineChars="200"/>
        <w:jc w:val="left"/>
        <w:rPr>
          <w:rFonts w:ascii="黑体" w:eastAsia="黑体"/>
          <w:color w:val="000000"/>
          <w:kern w:val="0"/>
          <w:shd w:val="clear" w:color="auto" w:fill="FFFFFF"/>
        </w:rPr>
      </w:pPr>
      <w:r>
        <w:rPr>
          <w:rFonts w:hint="eastAsia" w:ascii="黑体" w:eastAsia="黑体" w:cs="黑体"/>
          <w:color w:val="000000"/>
          <w:kern w:val="0"/>
          <w:shd w:val="clear" w:color="auto" w:fill="FFFFFF"/>
        </w:rPr>
        <w:t>四、评价结论及建议</w:t>
      </w:r>
    </w:p>
    <w:p>
      <w:pPr>
        <w:snapToGrid w:val="0"/>
        <w:spacing w:line="360" w:lineRule="auto"/>
        <w:ind w:firstLine="640" w:firstLineChars="200"/>
        <w:rPr>
          <w:rFonts w:ascii="仿宋" w:hAnsi="仿宋" w:eastAsia="仿宋"/>
          <w:sz w:val="30"/>
          <w:szCs w:val="30"/>
        </w:rPr>
      </w:pPr>
      <w:r>
        <w:rPr>
          <w:rFonts w:hint="eastAsia" w:ascii="仿宋_GB2312" w:hAnsi="宋体" w:cs="宋体"/>
          <w:color w:val="000000"/>
          <w:kern w:val="0"/>
          <w:lang w:val="zh-CN"/>
        </w:rPr>
        <w:t>（一）评价结论。</w:t>
      </w:r>
      <w:r>
        <w:rPr>
          <w:rFonts w:hint="eastAsia" w:ascii="仿宋" w:hAnsi="仿宋" w:eastAsia="仿宋"/>
          <w:sz w:val="30"/>
          <w:szCs w:val="30"/>
        </w:rPr>
        <w:t>全院要加强学习，熟练掌握各项规章制度，做到有章可循，定期进行风险排查和案件分析</w:t>
      </w:r>
      <w:r>
        <w:rPr>
          <w:rFonts w:ascii="仿宋" w:hAnsi="仿宋" w:eastAsia="仿宋"/>
          <w:sz w:val="30"/>
          <w:szCs w:val="30"/>
        </w:rPr>
        <w:t>;</w:t>
      </w:r>
      <w:r>
        <w:rPr>
          <w:rFonts w:hint="eastAsia" w:ascii="仿宋" w:hAnsi="仿宋" w:eastAsia="仿宋"/>
          <w:sz w:val="30"/>
          <w:szCs w:val="30"/>
        </w:rPr>
        <w:t>要深刻吸取反面典型的沉痛教训，定期召开内部控制建设和执行情况专题会议，针对出现的实际问题及建设内部控制制度是否适应本单位实际情况的问题，开展讨论和修改。加强内部控制管理信息系统覆盖面，切实做到不相容岗位与职责分离。</w:t>
      </w:r>
    </w:p>
    <w:p>
      <w:pPr>
        <w:widowControl/>
        <w:spacing w:line="600" w:lineRule="exact"/>
        <w:ind w:firstLine="640" w:firstLineChars="200"/>
        <w:jc w:val="left"/>
        <w:outlineLvl w:val="0"/>
        <w:rPr>
          <w:rFonts w:ascii="仿宋_GB2312" w:hAnsi="宋体" w:cs="宋体"/>
          <w:b/>
          <w:kern w:val="0"/>
        </w:rPr>
      </w:pPr>
      <w:r>
        <w:rPr>
          <w:rFonts w:hint="eastAsia" w:ascii="仿宋_GB2312" w:hAnsi="宋体" w:cs="宋体"/>
          <w:color w:val="000000"/>
          <w:kern w:val="0"/>
          <w:lang w:val="zh-CN"/>
        </w:rPr>
        <w:t>（二）存在问题。</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黑水县人民法院</w:t>
      </w:r>
      <w:r>
        <w:rPr>
          <w:rFonts w:ascii="仿宋" w:hAnsi="仿宋" w:eastAsia="仿宋"/>
          <w:sz w:val="30"/>
          <w:szCs w:val="30"/>
        </w:rPr>
        <w:t>在编制部门年度预算时，虽然根据本单位职能职责和年度工作计划，但在</w:t>
      </w:r>
      <w:r>
        <w:rPr>
          <w:rFonts w:hint="eastAsia" w:ascii="仿宋" w:hAnsi="仿宋" w:eastAsia="仿宋"/>
          <w:sz w:val="30"/>
          <w:szCs w:val="30"/>
        </w:rPr>
        <w:t>202</w:t>
      </w:r>
      <w:r>
        <w:rPr>
          <w:rFonts w:hint="eastAsia" w:ascii="仿宋" w:hAnsi="仿宋" w:eastAsia="仿宋"/>
          <w:sz w:val="30"/>
          <w:szCs w:val="30"/>
          <w:lang w:val="en-US" w:eastAsia="zh-CN"/>
        </w:rPr>
        <w:t>1</w:t>
      </w:r>
      <w:r>
        <w:rPr>
          <w:rFonts w:ascii="仿宋" w:hAnsi="仿宋" w:eastAsia="仿宋"/>
          <w:sz w:val="30"/>
          <w:szCs w:val="30"/>
        </w:rPr>
        <w:t>年部门预算执行过程中，存在</w:t>
      </w:r>
      <w:r>
        <w:rPr>
          <w:rFonts w:hint="eastAsia" w:ascii="仿宋" w:hAnsi="仿宋" w:eastAsia="仿宋"/>
          <w:sz w:val="30"/>
          <w:szCs w:val="30"/>
        </w:rPr>
        <w:t>的</w:t>
      </w:r>
      <w:r>
        <w:rPr>
          <w:rFonts w:ascii="仿宋" w:hAnsi="仿宋" w:eastAsia="仿宋"/>
          <w:sz w:val="30"/>
          <w:szCs w:val="30"/>
        </w:rPr>
        <w:t>问题</w:t>
      </w:r>
      <w:r>
        <w:rPr>
          <w:rFonts w:hint="eastAsia" w:ascii="仿宋" w:hAnsi="仿宋" w:eastAsia="仿宋"/>
          <w:sz w:val="30"/>
          <w:szCs w:val="30"/>
        </w:rPr>
        <w:t>:</w:t>
      </w:r>
      <w:r>
        <w:rPr>
          <w:rFonts w:ascii="仿宋" w:hAnsi="仿宋" w:eastAsia="仿宋"/>
          <w:sz w:val="30"/>
          <w:szCs w:val="30"/>
        </w:rPr>
        <w:t>由于</w:t>
      </w:r>
      <w:r>
        <w:rPr>
          <w:rFonts w:hint="eastAsia" w:ascii="仿宋" w:hAnsi="仿宋" w:eastAsia="仿宋"/>
          <w:sz w:val="30"/>
          <w:szCs w:val="30"/>
        </w:rPr>
        <w:t>在职人员的变动及工作任务的突发性，</w:t>
      </w:r>
      <w:r>
        <w:rPr>
          <w:rFonts w:ascii="仿宋" w:hAnsi="仿宋" w:eastAsia="仿宋"/>
          <w:sz w:val="30"/>
          <w:szCs w:val="30"/>
        </w:rPr>
        <w:t>一些无法预计和列入年初预算的</w:t>
      </w:r>
      <w:r>
        <w:rPr>
          <w:rFonts w:hint="eastAsia" w:ascii="仿宋" w:hAnsi="仿宋" w:eastAsia="仿宋"/>
          <w:sz w:val="30"/>
          <w:szCs w:val="30"/>
        </w:rPr>
        <w:t>资金</w:t>
      </w:r>
      <w:r>
        <w:rPr>
          <w:rFonts w:ascii="仿宋" w:hAnsi="仿宋" w:eastAsia="仿宋"/>
          <w:sz w:val="30"/>
          <w:szCs w:val="30"/>
        </w:rPr>
        <w:t>支出，需要在年度中间进行预算追加和调整。</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r>
        <w:rPr>
          <w:rFonts w:hint="eastAsia" w:ascii="仿宋_GB2312" w:hAnsi="宋体" w:cs="宋体"/>
          <w:color w:val="000000"/>
          <w:kern w:val="0"/>
          <w:lang w:val="zh-CN"/>
        </w:rPr>
        <w:t>（三）改进建议。</w:t>
      </w:r>
      <w:r>
        <w:rPr>
          <w:rFonts w:ascii="仿宋" w:hAnsi="仿宋" w:eastAsia="仿宋"/>
          <w:sz w:val="30"/>
          <w:szCs w:val="30"/>
        </w:rPr>
        <w:t>为了进一步提高本部门整体绩效水平，在预算编制和预算执行过程中，我们提出如下建议：</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1.</w:t>
      </w:r>
      <w:r>
        <w:rPr>
          <w:rFonts w:ascii="仿宋" w:hAnsi="仿宋" w:eastAsia="仿宋"/>
          <w:sz w:val="30"/>
          <w:szCs w:val="30"/>
        </w:rPr>
        <w:t>加强组织领导。统一思想，加强领导，明确责任，明确由相关部门牵头，各部门参与的绩效评价管理联席会议制度，为绩效评价工作开展创造好的条件。</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2.</w:t>
      </w:r>
      <w:r>
        <w:rPr>
          <w:rFonts w:ascii="仿宋" w:hAnsi="仿宋" w:eastAsia="仿宋"/>
          <w:sz w:val="30"/>
          <w:szCs w:val="30"/>
        </w:rPr>
        <w:t>加强队伍建设。要抓好绩效评价管理部门的队伍建设和业务指导，培育统计调查项目和部门的绩效评价管理队伍，组建专家队伍，并加强业务培训。</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3.</w:t>
      </w:r>
      <w:r>
        <w:rPr>
          <w:rFonts w:ascii="仿宋" w:hAnsi="仿宋" w:eastAsia="仿宋"/>
          <w:sz w:val="30"/>
          <w:szCs w:val="30"/>
        </w:rPr>
        <w:t>建立长效机制。把绩效评价作为统计系统各级各部门的日常性工作，建立绩效评价管理工作考核的长效机制。</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p>
    <w:p>
      <w:pPr>
        <w:widowControl/>
        <w:adjustRightInd w:val="0"/>
        <w:snapToGrid w:val="0"/>
        <w:spacing w:line="580" w:lineRule="exact"/>
        <w:ind w:firstLine="640" w:firstLineChars="200"/>
        <w:jc w:val="left"/>
        <w:rPr>
          <w:rFonts w:ascii="仿宋_GB2312" w:cs="仿宋_GB2312"/>
          <w:color w:val="000000"/>
          <w:kern w:val="0"/>
          <w:shd w:val="clear" w:color="auto" w:fill="FFFFFF"/>
          <w:lang w:val="zh-CN"/>
        </w:rPr>
      </w:pPr>
    </w:p>
    <w:sectPr>
      <w:headerReference r:id="rId3" w:type="default"/>
      <w:pgSz w:w="11906" w:h="16838"/>
      <w:pgMar w:top="907" w:right="1361" w:bottom="851" w:left="1361" w:header="851" w:footer="992" w:gutter="0"/>
      <w:pgNumType w:fmt="numberInDash" w:start="12"/>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ED130"/>
    <w:multiLevelType w:val="singleLevel"/>
    <w:tmpl w:val="223ED130"/>
    <w:lvl w:ilvl="0" w:tentative="0">
      <w:start w:val="2"/>
      <w:numFmt w:val="chineseCounting"/>
      <w:suff w:val="nothing"/>
      <w:lvlText w:val="（%1）"/>
      <w:lvlJc w:val="left"/>
      <w:rPr>
        <w:rFonts w:hint="eastAsia"/>
      </w:rPr>
    </w:lvl>
  </w:abstractNum>
  <w:abstractNum w:abstractNumId="1">
    <w:nsid w:val="2F177460"/>
    <w:multiLevelType w:val="singleLevel"/>
    <w:tmpl w:val="2F17746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oNotHyphenateCaps/>
  <w:drawingGridHorizontalSpacing w:val="160"/>
  <w:drawingGridVerticalSpacing w:val="435"/>
  <w:displayHorizontalDrawingGridEvery w:val="0"/>
  <w:characterSpacingControl w:val="compressPunctuation"/>
  <w:noLineBreaksAfter w:lang="zh-CN" w:val="$([{£¥·‘“〈《「『【〔〖〝﹙﹛﹝＄（．［｛￡￥"/>
  <w:noLineBreaksBefore w:lang="zh-CN" w:val="!%),.:;&gt;?]}¢¨°·ˇˉ―‖’”…‰′″›℃∶、。〃〉》」』】〕〗〞︶︺︾﹀﹄﹚﹜﹞！＂％＇），．：；？］｀｜｝～￠"/>
  <w:doNotValidateAgainstSchema/>
  <w:doNotDemarcateInvalidXml/>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yMzY4ZWQxNmRiMWU0ZDM4YzcxOWMyYTFlZjlmNmIifQ=="/>
  </w:docVars>
  <w:rsids>
    <w:rsidRoot w:val="00707090"/>
    <w:rsid w:val="00024E52"/>
    <w:rsid w:val="00116DE2"/>
    <w:rsid w:val="00321064"/>
    <w:rsid w:val="003E0309"/>
    <w:rsid w:val="00404F46"/>
    <w:rsid w:val="00570579"/>
    <w:rsid w:val="00707090"/>
    <w:rsid w:val="008119D5"/>
    <w:rsid w:val="009A093C"/>
    <w:rsid w:val="009B4C4D"/>
    <w:rsid w:val="00A73204"/>
    <w:rsid w:val="00B6260E"/>
    <w:rsid w:val="00DE3E9E"/>
    <w:rsid w:val="00E51072"/>
    <w:rsid w:val="1C42413A"/>
    <w:rsid w:val="28BFEB8D"/>
    <w:rsid w:val="3F2245CB"/>
    <w:rsid w:val="4F5B2DB7"/>
    <w:rsid w:val="4FBF0FEF"/>
    <w:rsid w:val="54663372"/>
    <w:rsid w:val="55620E4C"/>
    <w:rsid w:val="63292C16"/>
    <w:rsid w:val="683F0167"/>
    <w:rsid w:val="788365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9"/>
    <w:pPr>
      <w:keepNext/>
      <w:keepLines/>
      <w:spacing w:before="260" w:after="260" w:line="415" w:lineRule="auto"/>
      <w:outlineLvl w:val="1"/>
    </w:pPr>
    <w:rPr>
      <w:rFonts w:ascii="Arial" w:hAnsi="Arial" w:eastAsia="黑体" w:cs="Arial"/>
      <w:b/>
      <w:bCs/>
    </w:rPr>
  </w:style>
  <w:style w:type="paragraph" w:styleId="4">
    <w:name w:val="heading 3"/>
    <w:basedOn w:val="1"/>
    <w:next w:val="1"/>
    <w:link w:val="14"/>
    <w:qFormat/>
    <w:uiPriority w:val="99"/>
    <w:pPr>
      <w:keepNext/>
      <w:keepLines/>
      <w:spacing w:before="260" w:after="260" w:line="415" w:lineRule="auto"/>
      <w:outlineLvl w:val="2"/>
    </w:pPr>
    <w:rPr>
      <w:b/>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5"/>
    <w:semiHidden/>
    <w:qFormat/>
    <w:uiPriority w:val="99"/>
    <w:rPr>
      <w:rFonts w:ascii="宋体" w:eastAsia="宋体" w:cs="宋体"/>
      <w:sz w:val="18"/>
      <w:szCs w:val="18"/>
    </w:rPr>
  </w:style>
  <w:style w:type="paragraph" w:styleId="6">
    <w:name w:val="Balloon Text"/>
    <w:basedOn w:val="1"/>
    <w:link w:val="16"/>
    <w:semiHidden/>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rFonts w:eastAsia="宋体"/>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rFonts w:eastAsia="宋体"/>
      <w:sz w:val="18"/>
      <w:szCs w:val="18"/>
    </w:rPr>
  </w:style>
  <w:style w:type="character" w:styleId="11">
    <w:name w:val="page number"/>
    <w:basedOn w:val="10"/>
    <w:qFormat/>
    <w:uiPriority w:val="99"/>
  </w:style>
  <w:style w:type="character" w:customStyle="1" w:styleId="12">
    <w:name w:val="标题 1 Char"/>
    <w:basedOn w:val="10"/>
    <w:link w:val="2"/>
    <w:qFormat/>
    <w:locked/>
    <w:uiPriority w:val="99"/>
    <w:rPr>
      <w:rFonts w:eastAsia="仿宋_GB2312"/>
      <w:b/>
      <w:bCs/>
      <w:kern w:val="44"/>
      <w:sz w:val="44"/>
      <w:szCs w:val="44"/>
    </w:rPr>
  </w:style>
  <w:style w:type="character" w:customStyle="1" w:styleId="13">
    <w:name w:val="标题 2 Char"/>
    <w:basedOn w:val="10"/>
    <w:link w:val="3"/>
    <w:semiHidden/>
    <w:qFormat/>
    <w:locked/>
    <w:uiPriority w:val="99"/>
    <w:rPr>
      <w:rFonts w:ascii="Cambria" w:hAnsi="Cambria" w:eastAsia="宋体" w:cs="Cambria"/>
      <w:b/>
      <w:bCs/>
      <w:sz w:val="32"/>
      <w:szCs w:val="32"/>
    </w:rPr>
  </w:style>
  <w:style w:type="character" w:customStyle="1" w:styleId="14">
    <w:name w:val="标题 3 Char"/>
    <w:basedOn w:val="10"/>
    <w:link w:val="4"/>
    <w:semiHidden/>
    <w:qFormat/>
    <w:locked/>
    <w:uiPriority w:val="99"/>
    <w:rPr>
      <w:rFonts w:eastAsia="仿宋_GB2312"/>
      <w:b/>
      <w:bCs/>
      <w:sz w:val="32"/>
      <w:szCs w:val="32"/>
    </w:rPr>
  </w:style>
  <w:style w:type="character" w:customStyle="1" w:styleId="15">
    <w:name w:val="文档结构图 Char"/>
    <w:basedOn w:val="10"/>
    <w:link w:val="5"/>
    <w:semiHidden/>
    <w:qFormat/>
    <w:locked/>
    <w:uiPriority w:val="99"/>
    <w:rPr>
      <w:rFonts w:eastAsia="仿宋_GB2312"/>
      <w:sz w:val="2"/>
      <w:szCs w:val="2"/>
    </w:rPr>
  </w:style>
  <w:style w:type="character" w:customStyle="1" w:styleId="16">
    <w:name w:val="批注框文本 Char"/>
    <w:basedOn w:val="10"/>
    <w:link w:val="6"/>
    <w:semiHidden/>
    <w:qFormat/>
    <w:locked/>
    <w:uiPriority w:val="99"/>
    <w:rPr>
      <w:rFonts w:eastAsia="仿宋_GB2312"/>
      <w:sz w:val="2"/>
      <w:szCs w:val="2"/>
    </w:rPr>
  </w:style>
  <w:style w:type="character" w:customStyle="1" w:styleId="17">
    <w:name w:val="页脚 Char"/>
    <w:basedOn w:val="10"/>
    <w:link w:val="7"/>
    <w:semiHidden/>
    <w:qFormat/>
    <w:locked/>
    <w:uiPriority w:val="99"/>
    <w:rPr>
      <w:rFonts w:eastAsia="仿宋_GB2312"/>
      <w:sz w:val="18"/>
      <w:szCs w:val="18"/>
    </w:rPr>
  </w:style>
  <w:style w:type="character" w:customStyle="1" w:styleId="18">
    <w:name w:val="页眉 Char"/>
    <w:basedOn w:val="10"/>
    <w:link w:val="8"/>
    <w:semiHidden/>
    <w:qFormat/>
    <w:locked/>
    <w:uiPriority w:val="99"/>
    <w:rPr>
      <w:rFonts w:eastAsia="仿宋_GB2312"/>
      <w:sz w:val="18"/>
      <w:szCs w:val="18"/>
    </w:rPr>
  </w:style>
  <w:style w:type="paragraph" w:customStyle="1" w:styleId="19">
    <w:name w:val="四号正文"/>
    <w:basedOn w:val="1"/>
    <w:qFormat/>
    <w:uiPriority w:val="99"/>
    <w:pPr>
      <w:spacing w:line="360" w:lineRule="auto"/>
    </w:pPr>
    <w:rPr>
      <w:rFonts w:ascii="??" w:hAnsi="??" w:eastAsia="宋体" w:cs="??"/>
      <w:color w:val="000000"/>
      <w:kern w:val="0"/>
      <w:sz w:val="28"/>
      <w:szCs w:val="28"/>
    </w:rPr>
  </w:style>
  <w:style w:type="paragraph" w:customStyle="1" w:styleId="20">
    <w:name w:val="a"/>
    <w:basedOn w:val="1"/>
    <w:qFormat/>
    <w:uiPriority w:val="99"/>
    <w:pPr>
      <w:widowControl/>
      <w:spacing w:before="100" w:beforeAutospacing="1" w:after="100" w:afterAutospacing="1"/>
      <w:jc w:val="left"/>
    </w:pPr>
    <w:rPr>
      <w:rFonts w:asci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PSZX</Company>
  <Pages>5</Pages>
  <Words>2475</Words>
  <Characters>2588</Characters>
  <Lines>23</Lines>
  <Paragraphs>6</Paragraphs>
  <TotalTime>35</TotalTime>
  <ScaleCrop>false</ScaleCrop>
  <LinksUpToDate>false</LinksUpToDate>
  <CharactersWithSpaces>2621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2021-08-11T18:30:00Z</dcterms:created>
  <dc:creator>陈萍</dc:creator>
  <cp:lastModifiedBy>冬梅</cp:lastModifiedBy>
  <cp:lastPrinted>2021-08-11T18:29:00Z</cp:lastPrinted>
  <dcterms:modified xsi:type="dcterms:W3CDTF">2022-08-17T02:03:33Z</dcterms:modified>
  <dc:title>区域性就业培训基地建设项目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4C5144C8018A4F16A9CA7D61F923D156</vt:lpwstr>
  </property>
</Properties>
</file>