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公安局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171.01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13.31%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仿宋" w:eastAsia="仿宋_GB2312" w:cs="仿宋"/>
          <w:b w:val="0"/>
          <w:bCs w:val="0"/>
          <w:color w:val="000000"/>
          <w:sz w:val="32"/>
          <w:szCs w:val="32"/>
          <w:lang w:eastAsia="zh-CN"/>
        </w:rPr>
        <w:t>新旧车辆更替，节省了开支，同时，规范了车辆管理。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117.07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巡查办案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53.94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公安局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171.02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53.94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117.07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D0B2F60"/>
    <w:rsid w:val="29B0386A"/>
    <w:rsid w:val="4F6E2F93"/>
    <w:rsid w:val="6220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4</TotalTime>
  <ScaleCrop>false</ScaleCrop>
  <LinksUpToDate>false</LinksUpToDate>
  <CharactersWithSpaces>529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2020-08-07T02:55:45Z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