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公安局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2022年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增加0.75万元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国内公务接待2批次，公务接待20余人。主要用于执行公务、开展业务活动开支的交通费、住宿费、用餐费等支出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default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194.05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与预算数持，平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下降126.41万元，下降42.30%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是执法办案、应急处突、道路交通跨县交叉检查，2021年有8台公务用车购置费支出。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eastAsia="仿宋_GB2312"/>
          <w:color w:val="000000"/>
          <w:sz w:val="32"/>
          <w:szCs w:val="32"/>
        </w:rPr>
        <w:t>一般执法执勤用车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color w:val="000000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辆、应急保障用车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安排公务用车运行维护费</w:t>
      </w:r>
      <w:r>
        <w:rPr>
          <w:rFonts w:hint="default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194.05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执法办案、治安保卫、应急处突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194.05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194.05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5MGY3NzNhMGRhYjYwNTAyNzJiZTJlNDE4NGI3NTIifQ=="/>
  </w:docVars>
  <w:rsids>
    <w:rsidRoot w:val="003F1AE8"/>
    <w:rsid w:val="003F1AE8"/>
    <w:rsid w:val="007153A1"/>
    <w:rsid w:val="035557DA"/>
    <w:rsid w:val="052328F8"/>
    <w:rsid w:val="0CF90EDE"/>
    <w:rsid w:val="0D391A0B"/>
    <w:rsid w:val="1D0B2F60"/>
    <w:rsid w:val="1DA7570D"/>
    <w:rsid w:val="231C0795"/>
    <w:rsid w:val="287B1A5A"/>
    <w:rsid w:val="2C126F3C"/>
    <w:rsid w:val="4E5C209E"/>
    <w:rsid w:val="504C2913"/>
    <w:rsid w:val="5F7E7D51"/>
    <w:rsid w:val="60B41EB3"/>
    <w:rsid w:val="66090EF9"/>
    <w:rsid w:val="6B063308"/>
    <w:rsid w:val="70E7079E"/>
    <w:rsid w:val="71F459EF"/>
    <w:rsid w:val="77A4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404</Words>
  <Characters>488</Characters>
  <Lines>3</Lines>
  <Paragraphs>1</Paragraphs>
  <TotalTime>1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2021-08-09T08:26:00Z</cp:lastPrinted>
  <dcterms:modified xsi:type="dcterms:W3CDTF">2023-09-26T02:58:04Z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482DEB5C29544448B36FBC60157310AA</vt:lpwstr>
  </property>
</Properties>
</file>