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color w:val="FF0000"/>
          <w:spacing w:val="-11"/>
          <w:w w:val="75"/>
          <w:sz w:val="140"/>
          <w:szCs w:val="140"/>
        </w:rPr>
      </w:pPr>
      <w:bookmarkStart w:id="0" w:name="_Toc15396616"/>
      <w:r>
        <w:rPr>
          <w:rFonts w:hint="eastAsia" w:asciiTheme="minorEastAsia" w:hAnsiTheme="minorEastAsia" w:eastAsiaTheme="minorEastAsia" w:cstheme="minorEastAsia"/>
          <w:b/>
          <w:bCs/>
          <w:color w:val="FF0000"/>
          <w:spacing w:val="-11"/>
          <w:w w:val="75"/>
          <w:kern w:val="2"/>
          <w:sz w:val="140"/>
          <w:szCs w:val="140"/>
          <w:lang w:val="en-US" w:eastAsia="zh-CN" w:bidi="ar-SA"/>
        </w:rPr>
        <w:t>黑水县司法局文件</w:t>
      </w:r>
    </w:p>
    <w:p>
      <w:pPr>
        <w:rPr>
          <w:rFonts w:hint="eastAsia" w:asciiTheme="minorEastAsia" w:hAnsiTheme="minorEastAsia" w:eastAsiaTheme="minorEastAsia" w:cstheme="minorEastAsia"/>
          <w:u w:val="single" w:color="FF0000"/>
        </w:rPr>
      </w:pPr>
      <w:r>
        <w:rPr>
          <w:rFonts w:hint="eastAsia" w:asciiTheme="minorEastAsia" w:hAnsiTheme="minorEastAsia" w:eastAsiaTheme="minorEastAsia" w:cstheme="minorEastAsia"/>
        </w:rPr>
        <w:pict>
          <v:shape id="任意多边形 4" o:spid="_x0000_s1026" style="position:absolute;left:0pt;margin-left:-0.8pt;margin-top:6.8pt;height:0.05pt;width:439.35pt;z-index:251660288;mso-width-relative:page;mso-height-relative:page;" filled="f" stroked="t" coordsize="9422,1" o:gfxdata="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T2to1wAAAAgBAAAPAAAAAAAAAAEAIAAAACIAAABkcnMvZG93&#10;bnJldi54bWxQSwECFAAUAAAACACHTuJAm8Ej1joCAACRBAAADgAAAAAAAAABACAAAAAmAQAAZHJz&#10;L2Uyb0RvYy54bWxQSwUGAAAAAAYABgBZAQAA0gUAAAAA&#10;" path="m0,0l9422,1e">
            <v:fill on="f" focussize="0,0"/>
            <v:stroke weight="4.5pt" color="#FF0000" linestyle="thickThin" joinstyle="round"/>
            <v:imagedata o:title=""/>
            <o:lock v:ext="edit" aspectratio="f"/>
          </v:shape>
        </w:pict>
      </w:r>
    </w:p>
    <w:p>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黑水县司法局(本级）</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val="0"/>
          <w:bCs/>
          <w:sz w:val="44"/>
          <w:szCs w:val="44"/>
        </w:rPr>
        <w:t>20</w:t>
      </w:r>
      <w:r>
        <w:rPr>
          <w:rFonts w:hint="eastAsia" w:ascii="方正小标宋_GBK" w:hAnsi="方正小标宋_GBK" w:eastAsia="方正小标宋_GBK" w:cs="方正小标宋_GBK"/>
          <w:b w:val="0"/>
          <w:bCs/>
          <w:sz w:val="44"/>
          <w:szCs w:val="44"/>
          <w:lang w:val="en-US" w:eastAsia="zh-CN"/>
        </w:rPr>
        <w:t>22</w:t>
      </w:r>
      <w:r>
        <w:rPr>
          <w:rFonts w:hint="eastAsia" w:ascii="方正小标宋_GBK" w:hAnsi="方正小标宋_GBK" w:eastAsia="方正小标宋_GBK" w:cs="方正小标宋_GBK"/>
          <w:b w:val="0"/>
          <w:bCs/>
          <w:sz w:val="44"/>
          <w:szCs w:val="44"/>
        </w:rPr>
        <w:t>年部门整体支出绩效评价报告</w:t>
      </w:r>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一、部门（单位）概况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（一）机构组成。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局机关1个，机关直属事业单位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个派</w:t>
      </w:r>
      <w:r>
        <w:rPr>
          <w:rFonts w:hint="eastAsia" w:ascii="仿宋_GB2312" w:hAnsi="仿宋_GB2312" w:eastAsia="仿宋_GB2312" w:cs="仿宋_GB2312"/>
          <w:sz w:val="32"/>
          <w:szCs w:val="32"/>
          <w:lang w:eastAsia="zh-CN"/>
        </w:rPr>
        <w:t>驻</w:t>
      </w:r>
      <w:r>
        <w:rPr>
          <w:rFonts w:hint="eastAsia" w:ascii="仿宋_GB2312" w:hAnsi="仿宋_GB2312" w:eastAsia="仿宋_GB2312" w:cs="仿宋_GB2312"/>
          <w:sz w:val="32"/>
          <w:szCs w:val="32"/>
        </w:rPr>
        <w:t>机构，机关内设股室</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个(含县委依法治县办秘书股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主要职能</w:t>
      </w:r>
      <w:r>
        <w:rPr>
          <w:rFonts w:hint="eastAsia" w:ascii="仿宋_GB2312" w:hAnsi="仿宋_GB2312" w:eastAsia="仿宋_GB2312" w:cs="仿宋_GB2312"/>
          <w:b/>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
          <w:sz w:val="32"/>
          <w:szCs w:val="32"/>
        </w:rPr>
      </w:pPr>
      <w:r>
        <w:rPr>
          <w:rFonts w:hint="eastAsia" w:ascii="仿宋_GB2312" w:hAnsi="仿宋_GB2312" w:eastAsia="仿宋_GB2312" w:cs="仿宋"/>
          <w:sz w:val="32"/>
          <w:szCs w:val="32"/>
        </w:rPr>
        <w:t>1.承担全面依法治国、依法治省、依法治州、依法治县重大问题的政策研究，协调有关方面提出全面依法治县规划建议，负责有关重大决策部署督察工作。</w:t>
      </w:r>
    </w:p>
    <w:p>
      <w:pPr>
        <w:keepNext w:val="0"/>
        <w:keepLines w:val="0"/>
        <w:pageBreakBefore w:val="0"/>
        <w:kinsoku/>
        <w:wordWrap/>
        <w:overflowPunct/>
        <w:topLinePunct w:val="0"/>
        <w:autoSpaceDE/>
        <w:autoSpaceDN/>
        <w:bidi w:val="0"/>
        <w:adjustRightInd/>
        <w:snapToGrid/>
        <w:spacing w:line="560" w:lineRule="exact"/>
        <w:ind w:firstLine="588" w:firstLineChars="184"/>
        <w:textAlignment w:val="auto"/>
        <w:rPr>
          <w:rFonts w:ascii="仿宋_GB2312" w:hAnsi="仿宋_GB2312" w:eastAsia="仿宋_GB2312" w:cs="仿宋"/>
          <w:sz w:val="32"/>
          <w:szCs w:val="32"/>
        </w:rPr>
      </w:pPr>
      <w:r>
        <w:rPr>
          <w:rFonts w:hint="eastAsia" w:ascii="仿宋_GB2312" w:hAnsi="仿宋_GB2312" w:eastAsia="仿宋_GB2312" w:cs="仿宋"/>
          <w:sz w:val="32"/>
          <w:szCs w:val="32"/>
        </w:rPr>
        <w:t>2.负责县政府规范性文件、重大行政决策发布前的合法性审查。承办县政府规范性文件的报送备案工作。负责县政府各部门和各乡(镇)政府规范性文件报送县政府的备案审查工作。组织开展规范性文件清理。</w:t>
      </w:r>
    </w:p>
    <w:p>
      <w:pPr>
        <w:keepNext w:val="0"/>
        <w:keepLines w:val="0"/>
        <w:pageBreakBefore w:val="0"/>
        <w:kinsoku/>
        <w:wordWrap/>
        <w:overflowPunct/>
        <w:topLinePunct w:val="0"/>
        <w:autoSpaceDE/>
        <w:autoSpaceDN/>
        <w:bidi w:val="0"/>
        <w:adjustRightInd/>
        <w:snapToGrid/>
        <w:spacing w:line="560" w:lineRule="exact"/>
        <w:ind w:firstLine="588" w:firstLineChars="184"/>
        <w:textAlignment w:val="auto"/>
        <w:rPr>
          <w:rFonts w:ascii="仿宋_GB2312" w:hAnsi="仿宋_GB2312" w:eastAsia="仿宋_GB2312" w:cs="仿宋"/>
          <w:sz w:val="32"/>
          <w:szCs w:val="32"/>
        </w:rPr>
      </w:pPr>
      <w:r>
        <w:rPr>
          <w:rFonts w:hint="eastAsia" w:ascii="仿宋_GB2312" w:hAnsi="仿宋_GB2312" w:eastAsia="仿宋_GB2312" w:cs="仿宋"/>
          <w:sz w:val="32"/>
          <w:szCs w:val="32"/>
        </w:rPr>
        <w:t>3.承担统筹推进法治政府建设的责任。指导监督县政府各部门、各乡(镇)政府依法行政工作。负责综合协调、监督检查行政执法，承担推进行政执法体制改革有关工作，推进严格规范公正文明执法。指导监督全县行政复议、行政应诉和行政赔偿工作，承办向县政府申请的行政复议、行政赔偿案件，代理县政府行政应诉案件。</w:t>
      </w:r>
    </w:p>
    <w:p>
      <w:pPr>
        <w:keepNext w:val="0"/>
        <w:keepLines w:val="0"/>
        <w:pageBreakBefore w:val="0"/>
        <w:kinsoku/>
        <w:wordWrap/>
        <w:overflowPunct/>
        <w:topLinePunct w:val="0"/>
        <w:autoSpaceDE/>
        <w:autoSpaceDN/>
        <w:bidi w:val="0"/>
        <w:adjustRightInd/>
        <w:snapToGrid/>
        <w:spacing w:line="560" w:lineRule="exact"/>
        <w:ind w:firstLine="588" w:firstLineChars="184"/>
        <w:textAlignment w:val="auto"/>
        <w:rPr>
          <w:rFonts w:ascii="仿宋_GB2312" w:hAnsi="仿宋_GB2312" w:eastAsia="仿宋_GB2312" w:cs="仿宋"/>
          <w:sz w:val="32"/>
          <w:szCs w:val="32"/>
        </w:rPr>
      </w:pPr>
      <w:r>
        <w:rPr>
          <w:rFonts w:hint="eastAsia" w:ascii="仿宋_GB2312" w:hAnsi="仿宋_GB2312" w:eastAsia="仿宋_GB2312" w:cs="仿宋"/>
          <w:sz w:val="32"/>
          <w:szCs w:val="32"/>
        </w:rPr>
        <w:t>4.承担统筹规划法治社会建设的责任。负责拟订法治宣传教育规划，组织实施普法宣传工作，组织对外法治宣传。推动人民参与和促进法治建设。指导依法治理和法治创建工作。指导调解工作。负责并指导人民监督员的选任管理工作。指导人民陪审员选任工作。推进司法所建设。将安全生产、职业健康、环境保护法律法规纳入公民普法教育重要内容并会同有关部门开展宣传普及，做好职责范围内的安全生产工作。</w:t>
      </w:r>
    </w:p>
    <w:p>
      <w:pPr>
        <w:keepNext w:val="0"/>
        <w:keepLines w:val="0"/>
        <w:pageBreakBefore w:val="0"/>
        <w:kinsoku/>
        <w:wordWrap/>
        <w:overflowPunct/>
        <w:topLinePunct w:val="0"/>
        <w:autoSpaceDE/>
        <w:autoSpaceDN/>
        <w:bidi w:val="0"/>
        <w:adjustRightInd/>
        <w:snapToGrid/>
        <w:spacing w:line="560" w:lineRule="exact"/>
        <w:ind w:firstLine="588" w:firstLineChars="184"/>
        <w:textAlignment w:val="auto"/>
        <w:rPr>
          <w:rFonts w:ascii="仿宋_GB2312" w:hAnsi="仿宋_GB2312" w:eastAsia="仿宋_GB2312" w:cs="仿宋"/>
          <w:sz w:val="32"/>
          <w:szCs w:val="32"/>
        </w:rPr>
      </w:pPr>
      <w:r>
        <w:rPr>
          <w:rFonts w:hint="eastAsia" w:ascii="仿宋_GB2312" w:hAnsi="仿宋_GB2312" w:eastAsia="仿宋_GB2312" w:cs="仿宋"/>
          <w:sz w:val="32"/>
          <w:szCs w:val="32"/>
        </w:rPr>
        <w:t>5.指导管理社区矫正工作。指导刑满释放人员帮教安置工作。指导监督本系统强制隔离戒毒执行和戒毒康复工作。对社区戒毒和社区康复工作提供指导、支持和协助。</w:t>
      </w:r>
    </w:p>
    <w:p>
      <w:pPr>
        <w:keepNext w:val="0"/>
        <w:keepLines w:val="0"/>
        <w:pageBreakBefore w:val="0"/>
        <w:kinsoku/>
        <w:wordWrap/>
        <w:overflowPunct/>
        <w:topLinePunct w:val="0"/>
        <w:autoSpaceDE/>
        <w:autoSpaceDN/>
        <w:bidi w:val="0"/>
        <w:adjustRightInd/>
        <w:snapToGrid/>
        <w:spacing w:line="560" w:lineRule="exact"/>
        <w:ind w:firstLine="588" w:firstLineChars="184"/>
        <w:textAlignment w:val="auto"/>
        <w:rPr>
          <w:rFonts w:ascii="仿宋_GB2312" w:hAnsi="仿宋_GB2312" w:eastAsia="仿宋_GB2312" w:cs="仿宋"/>
          <w:sz w:val="32"/>
          <w:szCs w:val="32"/>
        </w:rPr>
      </w:pPr>
      <w:r>
        <w:rPr>
          <w:rFonts w:hint="eastAsia" w:ascii="仿宋_GB2312" w:hAnsi="仿宋_GB2312" w:eastAsia="仿宋_GB2312" w:cs="仿宋"/>
          <w:sz w:val="32"/>
          <w:szCs w:val="32"/>
        </w:rPr>
        <w:t>6.负责拟订全县公共法律服务体系建设规划并指导实施，统筹和布局全县法律服务资源。指导监督律师、法律援助、司法鉴定、公证、仲裁和基层法律服务管理工作。</w:t>
      </w:r>
    </w:p>
    <w:p>
      <w:pPr>
        <w:keepNext w:val="0"/>
        <w:keepLines w:val="0"/>
        <w:pageBreakBefore w:val="0"/>
        <w:kinsoku/>
        <w:wordWrap/>
        <w:overflowPunct/>
        <w:topLinePunct w:val="0"/>
        <w:autoSpaceDE/>
        <w:autoSpaceDN/>
        <w:bidi w:val="0"/>
        <w:adjustRightInd/>
        <w:snapToGrid/>
        <w:spacing w:line="560" w:lineRule="exact"/>
        <w:ind w:firstLine="588" w:firstLineChars="184"/>
        <w:textAlignment w:val="auto"/>
        <w:rPr>
          <w:rFonts w:ascii="仿宋_GB2312" w:hAnsi="仿宋_GB2312" w:eastAsia="仿宋_GB2312" w:cs="仿宋"/>
          <w:sz w:val="32"/>
          <w:szCs w:val="32"/>
        </w:rPr>
      </w:pPr>
      <w:r>
        <w:rPr>
          <w:rFonts w:hint="eastAsia" w:ascii="仿宋_GB2312" w:hAnsi="仿宋_GB2312" w:eastAsia="仿宋_GB2312" w:cs="仿宋"/>
          <w:sz w:val="32"/>
          <w:szCs w:val="32"/>
        </w:rPr>
        <w:t>7.负责本系统服装和警车管理工作。指导监督本系统财务、装备、设施、场所等保障工作。</w:t>
      </w:r>
    </w:p>
    <w:p>
      <w:pPr>
        <w:keepNext w:val="0"/>
        <w:keepLines w:val="0"/>
        <w:pageBreakBefore w:val="0"/>
        <w:kinsoku/>
        <w:wordWrap/>
        <w:overflowPunct/>
        <w:topLinePunct w:val="0"/>
        <w:autoSpaceDE/>
        <w:autoSpaceDN/>
        <w:bidi w:val="0"/>
        <w:adjustRightInd/>
        <w:snapToGrid/>
        <w:spacing w:line="560" w:lineRule="exact"/>
        <w:ind w:firstLine="588" w:firstLineChars="184"/>
        <w:textAlignment w:val="auto"/>
        <w:rPr>
          <w:rFonts w:ascii="仿宋_GB2312" w:hAnsi="仿宋_GB2312" w:eastAsia="仿宋_GB2312" w:cs="仿宋"/>
          <w:sz w:val="32"/>
          <w:szCs w:val="32"/>
        </w:rPr>
      </w:pPr>
      <w:r>
        <w:rPr>
          <w:rFonts w:hint="eastAsia" w:ascii="仿宋_GB2312" w:hAnsi="仿宋_GB2312" w:eastAsia="仿宋_GB2312" w:cs="仿宋"/>
          <w:sz w:val="32"/>
          <w:szCs w:val="32"/>
        </w:rPr>
        <w:t>8.规划、协调、指导法治人才队伍建设相关工作，指导监督本系统队伍建设。负责本系统警务管理和警务督察工作，做好乡(镇)司法所所长、助理员日常管理工作。</w:t>
      </w:r>
    </w:p>
    <w:p>
      <w:pPr>
        <w:keepNext w:val="0"/>
        <w:keepLines w:val="0"/>
        <w:pageBreakBefore w:val="0"/>
        <w:kinsoku/>
        <w:wordWrap/>
        <w:overflowPunct/>
        <w:topLinePunct w:val="0"/>
        <w:autoSpaceDE/>
        <w:autoSpaceDN/>
        <w:bidi w:val="0"/>
        <w:adjustRightInd/>
        <w:snapToGrid/>
        <w:spacing w:line="560" w:lineRule="exact"/>
        <w:ind w:firstLine="588" w:firstLineChars="184"/>
        <w:textAlignment w:val="auto"/>
        <w:rPr>
          <w:rFonts w:ascii="仿宋_GB2312" w:hAnsi="仿宋_GB2312" w:eastAsia="仿宋_GB2312" w:cs="仿宋"/>
          <w:sz w:val="32"/>
          <w:szCs w:val="32"/>
        </w:rPr>
      </w:pPr>
      <w:r>
        <w:rPr>
          <w:rFonts w:hint="eastAsia" w:ascii="仿宋_GB2312" w:hAnsi="仿宋_GB2312" w:eastAsia="仿宋_GB2312" w:cs="仿宋"/>
          <w:sz w:val="32"/>
          <w:szCs w:val="32"/>
        </w:rPr>
        <w:t>9.负责并指导本系统行政审批工作。负责全县外来企业投诉处理和民营企业法律服务工作。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sz w:val="32"/>
          <w:szCs w:val="32"/>
        </w:rPr>
      </w:pPr>
      <w:r>
        <w:rPr>
          <w:rFonts w:hint="eastAsia" w:ascii="仿宋_GB2312" w:hAnsi="仿宋_GB2312" w:eastAsia="仿宋_GB2312" w:cs="仿宋"/>
          <w:sz w:val="32"/>
          <w:szCs w:val="32"/>
        </w:rPr>
        <w:t>10.完成县委、县政府交办的其他任务</w:t>
      </w:r>
      <w:r>
        <w:rPr>
          <w:rFonts w:ascii="仿宋_GB2312" w:hAnsi="仿宋_GB2312" w:eastAsia="仿宋_GB2312" w:cs="仿宋"/>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（三）人员概况。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县司法局</w:t>
      </w:r>
      <w:r>
        <w:rPr>
          <w:rFonts w:hint="eastAsia" w:ascii="仿宋_GB2312" w:hAnsi="仿宋_GB2312" w:eastAsia="仿宋_GB2312" w:cs="仿宋_GB2312"/>
          <w:sz w:val="32"/>
          <w:szCs w:val="32"/>
          <w:lang w:val="en-US" w:eastAsia="zh-CN"/>
        </w:rPr>
        <w:t>总编制36名，其中：</w:t>
      </w:r>
      <w:r>
        <w:rPr>
          <w:rFonts w:hint="eastAsia" w:ascii="仿宋_GB2312" w:hAnsi="仿宋_GB2312" w:eastAsia="仿宋_GB2312" w:cs="仿宋_GB2312"/>
          <w:sz w:val="32"/>
          <w:szCs w:val="32"/>
        </w:rPr>
        <w:t>政法专项编制</w:t>
      </w:r>
      <w:r>
        <w:rPr>
          <w:rFonts w:hint="eastAsia" w:ascii="仿宋_GB2312" w:hAnsi="仿宋_GB2312" w:eastAsia="仿宋_GB2312" w:cs="仿宋_GB2312"/>
          <w:sz w:val="32"/>
          <w:szCs w:val="32"/>
          <w:lang w:val="en-US" w:eastAsia="zh-CN"/>
        </w:rPr>
        <w:t>32名，工勤编制2名，参公编制2名。年末在职总人数为32人，其中：</w:t>
      </w:r>
      <w:r>
        <w:rPr>
          <w:rFonts w:hint="eastAsia" w:ascii="仿宋_GB2312" w:hAnsi="仿宋_GB2312" w:eastAsia="仿宋_GB2312" w:cs="仿宋_GB2312"/>
          <w:sz w:val="32"/>
          <w:szCs w:val="32"/>
        </w:rPr>
        <w:t>政法专项编制</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人，工勤2人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参公</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退休</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遗属</w:t>
      </w:r>
      <w:r>
        <w:rPr>
          <w:rFonts w:hint="eastAsia" w:ascii="仿宋_GB2312" w:hAnsi="仿宋_GB2312" w:eastAsia="仿宋_GB2312" w:cs="仿宋_GB2312"/>
          <w:sz w:val="32"/>
          <w:szCs w:val="32"/>
        </w:rPr>
        <w:t>2人。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二、部门财政资金收支情况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bCs/>
          <w:color w:val="auto"/>
          <w:sz w:val="32"/>
          <w:szCs w:val="32"/>
        </w:rPr>
        <w:t>（一）部门财政资金收入情况</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2021年末</w:t>
      </w:r>
      <w:r>
        <w:rPr>
          <w:rFonts w:hint="eastAsia" w:ascii="仿宋_GB2312" w:hAnsi="仿宋" w:eastAsia="仿宋_GB2312" w:cs="仿宋_GB2312"/>
          <w:color w:val="auto"/>
          <w:sz w:val="32"/>
          <w:szCs w:val="32"/>
          <w:lang w:val="en-US" w:eastAsia="zh-CN"/>
        </w:rPr>
        <w:t>资金结转5.04万元，</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22</w:t>
      </w:r>
      <w:r>
        <w:rPr>
          <w:rFonts w:hint="eastAsia" w:ascii="仿宋_GB2312" w:hAnsi="仿宋_GB2312" w:eastAsia="仿宋_GB2312" w:cs="仿宋_GB2312"/>
          <w:b w:val="0"/>
          <w:bCs w:val="0"/>
          <w:color w:val="auto"/>
          <w:sz w:val="32"/>
          <w:szCs w:val="32"/>
        </w:rPr>
        <w:t>年度收入总计</w:t>
      </w:r>
      <w:r>
        <w:rPr>
          <w:rFonts w:hint="eastAsia" w:ascii="仿宋_GB2312" w:hAnsi="仿宋_GB2312" w:eastAsia="仿宋_GB2312" w:cs="仿宋_GB2312"/>
          <w:b w:val="0"/>
          <w:bCs w:val="0"/>
          <w:color w:val="auto"/>
          <w:sz w:val="32"/>
          <w:szCs w:val="32"/>
          <w:lang w:val="en-US" w:eastAsia="zh-CN"/>
        </w:rPr>
        <w:t>891.81</w:t>
      </w:r>
      <w:r>
        <w:rPr>
          <w:rFonts w:hint="eastAsia" w:ascii="仿宋_GB2312" w:hAnsi="仿宋_GB2312" w:eastAsia="仿宋_GB2312" w:cs="仿宋_GB2312"/>
          <w:b w:val="0"/>
          <w:bCs w:val="0"/>
          <w:color w:val="auto"/>
          <w:sz w:val="32"/>
          <w:szCs w:val="32"/>
        </w:rPr>
        <w:t>万元。与20</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rPr>
        <w:t>年相比，收入总计</w:t>
      </w:r>
      <w:r>
        <w:rPr>
          <w:rFonts w:hint="eastAsia" w:ascii="仿宋_GB2312" w:hAnsi="仿宋_GB2312" w:eastAsia="仿宋_GB2312" w:cs="仿宋_GB2312"/>
          <w:b w:val="0"/>
          <w:bCs w:val="0"/>
          <w:color w:val="auto"/>
          <w:sz w:val="32"/>
          <w:szCs w:val="32"/>
          <w:lang w:eastAsia="zh-CN"/>
        </w:rPr>
        <w:t>增加</w:t>
      </w:r>
      <w:r>
        <w:rPr>
          <w:rFonts w:hint="eastAsia" w:ascii="仿宋_GB2312" w:hAnsi="仿宋_GB2312" w:eastAsia="仿宋_GB2312" w:cs="仿宋_GB2312"/>
          <w:b w:val="0"/>
          <w:bCs w:val="0"/>
          <w:color w:val="auto"/>
          <w:sz w:val="32"/>
          <w:szCs w:val="32"/>
          <w:lang w:val="en-US" w:eastAsia="zh-CN"/>
        </w:rPr>
        <w:t>55.4</w:t>
      </w:r>
      <w:r>
        <w:rPr>
          <w:rFonts w:hint="eastAsia" w:ascii="仿宋_GB2312" w:hAnsi="仿宋_GB2312" w:eastAsia="仿宋_GB2312" w:cs="仿宋_GB2312"/>
          <w:b w:val="0"/>
          <w:bCs w:val="0"/>
          <w:color w:val="auto"/>
          <w:sz w:val="32"/>
          <w:szCs w:val="32"/>
        </w:rPr>
        <w:t>万元，比上年同期</w:t>
      </w:r>
      <w:r>
        <w:rPr>
          <w:rFonts w:hint="eastAsia" w:ascii="仿宋_GB2312" w:hAnsi="仿宋_GB2312" w:eastAsia="仿宋_GB2312" w:cs="仿宋_GB2312"/>
          <w:b w:val="0"/>
          <w:bCs w:val="0"/>
          <w:color w:val="auto"/>
          <w:sz w:val="32"/>
          <w:szCs w:val="32"/>
          <w:lang w:eastAsia="zh-CN"/>
        </w:rPr>
        <w:t>上升</w:t>
      </w:r>
      <w:r>
        <w:rPr>
          <w:rFonts w:hint="eastAsia" w:ascii="仿宋_GB2312" w:hAnsi="仿宋_GB2312" w:eastAsia="仿宋_GB2312" w:cs="仿宋_GB2312"/>
          <w:b w:val="0"/>
          <w:bCs w:val="0"/>
          <w:color w:val="auto"/>
          <w:sz w:val="32"/>
          <w:szCs w:val="32"/>
          <w:lang w:val="en-US" w:eastAsia="zh-CN"/>
        </w:rPr>
        <w:t>6.62</w:t>
      </w:r>
      <w:r>
        <w:rPr>
          <w:rFonts w:hint="eastAsia" w:ascii="仿宋_GB2312" w:hAnsi="仿宋_GB2312" w:eastAsia="仿宋_GB2312" w:cs="仿宋_GB2312"/>
          <w:b w:val="0"/>
          <w:bCs w:val="0"/>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部门财政资金支出情况</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b w:val="0"/>
          <w:bCs w:val="0"/>
          <w:color w:val="auto"/>
          <w:sz w:val="32"/>
          <w:szCs w:val="32"/>
          <w:lang w:eastAsia="zh-CN"/>
        </w:rPr>
        <w:t>20</w:t>
      </w:r>
      <w:r>
        <w:rPr>
          <w:rFonts w:hint="eastAsia" w:ascii="仿宋_GB2312" w:hAnsi="仿宋_GB2312" w:eastAsia="仿宋_GB2312" w:cs="仿宋_GB2312"/>
          <w:b w:val="0"/>
          <w:bCs w:val="0"/>
          <w:color w:val="auto"/>
          <w:sz w:val="32"/>
          <w:szCs w:val="32"/>
          <w:lang w:val="en-US" w:eastAsia="zh-CN"/>
        </w:rPr>
        <w:t>22</w:t>
      </w:r>
      <w:r>
        <w:rPr>
          <w:rFonts w:hint="eastAsia" w:ascii="仿宋_GB2312" w:hAnsi="仿宋_GB2312" w:eastAsia="仿宋_GB2312" w:cs="仿宋_GB2312"/>
          <w:b w:val="0"/>
          <w:bCs w:val="0"/>
          <w:color w:val="auto"/>
          <w:sz w:val="32"/>
          <w:szCs w:val="32"/>
          <w:lang w:eastAsia="zh-CN"/>
        </w:rPr>
        <w:t>年</w:t>
      </w:r>
      <w:r>
        <w:rPr>
          <w:rFonts w:hint="eastAsia" w:ascii="仿宋_GB2312" w:hAnsi="仿宋_GB2312" w:eastAsia="仿宋_GB2312" w:cs="仿宋_GB2312"/>
          <w:b w:val="0"/>
          <w:bCs w:val="0"/>
          <w:color w:val="auto"/>
          <w:sz w:val="32"/>
          <w:szCs w:val="32"/>
          <w:lang w:val="en-US" w:eastAsia="zh-CN"/>
        </w:rPr>
        <w:t>度支出总计896.85</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与</w:t>
      </w:r>
      <w:r>
        <w:rPr>
          <w:rFonts w:hint="eastAsia" w:ascii="仿宋_GB2312" w:hAnsi="仿宋_GB2312" w:eastAsia="仿宋_GB2312" w:cs="仿宋_GB2312"/>
          <w:b w:val="0"/>
          <w:bCs w:val="0"/>
          <w:color w:val="auto"/>
          <w:sz w:val="32"/>
          <w:szCs w:val="32"/>
          <w:lang w:eastAsia="zh-CN"/>
        </w:rPr>
        <w:t>20</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lang w:eastAsia="zh-CN"/>
        </w:rPr>
        <w:t>年</w:t>
      </w:r>
      <w:r>
        <w:rPr>
          <w:rFonts w:hint="eastAsia" w:ascii="仿宋_GB2312" w:hAnsi="仿宋_GB2312" w:eastAsia="仿宋_GB2312" w:cs="仿宋_GB2312"/>
          <w:b w:val="0"/>
          <w:bCs w:val="0"/>
          <w:color w:val="auto"/>
          <w:sz w:val="32"/>
          <w:szCs w:val="32"/>
          <w:lang w:val="en-US" w:eastAsia="zh-CN"/>
        </w:rPr>
        <w:t>相比，支出总计减少89.76</w:t>
      </w:r>
      <w:r>
        <w:rPr>
          <w:rFonts w:hint="eastAsia" w:ascii="仿宋_GB2312" w:hAnsi="仿宋_GB2312" w:eastAsia="仿宋_GB2312" w:cs="仿宋_GB2312"/>
          <w:b w:val="0"/>
          <w:bCs w:val="0"/>
          <w:color w:val="auto"/>
          <w:sz w:val="32"/>
          <w:szCs w:val="32"/>
        </w:rPr>
        <w:t>万元，比上年同期</w:t>
      </w:r>
      <w:r>
        <w:rPr>
          <w:rFonts w:hint="eastAsia" w:ascii="仿宋_GB2312" w:hAnsi="仿宋_GB2312" w:eastAsia="仿宋_GB2312" w:cs="仿宋_GB2312"/>
          <w:b w:val="0"/>
          <w:bCs w:val="0"/>
          <w:color w:val="auto"/>
          <w:sz w:val="32"/>
          <w:szCs w:val="32"/>
          <w:lang w:eastAsia="zh-CN"/>
        </w:rPr>
        <w:t>下降</w:t>
      </w:r>
      <w:r>
        <w:rPr>
          <w:rFonts w:hint="eastAsia" w:ascii="仿宋_GB2312" w:hAnsi="仿宋_GB2312" w:eastAsia="仿宋_GB2312" w:cs="仿宋_GB2312"/>
          <w:b w:val="0"/>
          <w:bCs w:val="0"/>
          <w:color w:val="auto"/>
          <w:sz w:val="32"/>
          <w:szCs w:val="32"/>
          <w:lang w:val="en-US" w:eastAsia="zh-CN"/>
        </w:rPr>
        <w:t>9.1</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其中：公共安全</w:t>
      </w:r>
      <w:r>
        <w:rPr>
          <w:rFonts w:hint="eastAsia" w:ascii="仿宋_GB2312" w:hAnsi="仿宋_GB2312" w:eastAsia="仿宋_GB2312" w:cs="仿宋_GB2312"/>
          <w:b w:val="0"/>
          <w:bCs w:val="0"/>
          <w:color w:val="auto"/>
          <w:sz w:val="32"/>
          <w:szCs w:val="32"/>
          <w:lang w:val="en-US" w:eastAsia="zh-CN"/>
        </w:rPr>
        <w:t>支出</w:t>
      </w:r>
      <w:r>
        <w:rPr>
          <w:rFonts w:hint="eastAsia" w:ascii="仿宋_GB2312" w:hAnsi="仿宋_GB2312" w:eastAsia="仿宋_GB2312" w:cs="仿宋_GB2312"/>
          <w:b w:val="0"/>
          <w:bCs w:val="0"/>
          <w:color w:val="auto"/>
          <w:sz w:val="32"/>
          <w:szCs w:val="32"/>
        </w:rPr>
        <w:t>为</w:t>
      </w:r>
      <w:r>
        <w:rPr>
          <w:rFonts w:hint="eastAsia" w:ascii="仿宋_GB2312" w:hAnsi="仿宋" w:eastAsia="仿宋_GB2312"/>
          <w:color w:val="auto"/>
          <w:sz w:val="32"/>
          <w:szCs w:val="32"/>
          <w:lang w:val="en-US" w:eastAsia="zh-CN"/>
        </w:rPr>
        <w:t>713.39</w:t>
      </w:r>
      <w:r>
        <w:rPr>
          <w:rFonts w:hint="eastAsia" w:ascii="仿宋_GB2312" w:hAnsi="仿宋" w:eastAsia="仿宋_GB2312"/>
          <w:color w:val="auto"/>
          <w:sz w:val="32"/>
          <w:szCs w:val="32"/>
        </w:rPr>
        <w:t>万元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社会保障和就业支出为</w:t>
      </w:r>
      <w:r>
        <w:rPr>
          <w:rFonts w:hint="eastAsia" w:ascii="仿宋_GB2312" w:hAnsi="仿宋" w:eastAsia="仿宋_GB2312"/>
          <w:color w:val="auto"/>
          <w:sz w:val="32"/>
          <w:szCs w:val="32"/>
          <w:lang w:val="en-US" w:eastAsia="zh-CN"/>
        </w:rPr>
        <w:t>87.65</w:t>
      </w:r>
      <w:r>
        <w:rPr>
          <w:rFonts w:hint="eastAsia" w:ascii="仿宋_GB2312" w:hAnsi="仿宋" w:eastAsia="仿宋_GB2312"/>
          <w:color w:val="auto"/>
          <w:sz w:val="32"/>
          <w:szCs w:val="32"/>
        </w:rPr>
        <w:t>万元</w:t>
      </w:r>
      <w:r>
        <w:rPr>
          <w:rFonts w:hint="eastAsia" w:ascii="仿宋_GB2312" w:hAnsi="仿宋_GB2312" w:eastAsia="仿宋_GB2312" w:cs="仿宋_GB2312"/>
          <w:b w:val="0"/>
          <w:bCs w:val="0"/>
          <w:color w:val="auto"/>
          <w:sz w:val="32"/>
          <w:szCs w:val="32"/>
        </w:rPr>
        <w:t>；</w:t>
      </w:r>
      <w:r>
        <w:rPr>
          <w:rFonts w:hint="eastAsia" w:ascii="仿宋_GB2312" w:hAnsi="仿宋" w:eastAsia="仿宋_GB2312" w:cs="仿宋_GB2312"/>
          <w:color w:val="auto"/>
          <w:sz w:val="32"/>
          <w:szCs w:val="32"/>
        </w:rPr>
        <w:t>医疗卫生与计划生育支出为</w:t>
      </w:r>
      <w:r>
        <w:rPr>
          <w:rFonts w:hint="eastAsia" w:ascii="仿宋_GB2312" w:hAnsi="仿宋" w:eastAsia="仿宋_GB2312"/>
          <w:color w:val="auto"/>
          <w:sz w:val="32"/>
          <w:szCs w:val="32"/>
          <w:lang w:val="en-US" w:eastAsia="zh-CN"/>
        </w:rPr>
        <w:t>38.74</w:t>
      </w:r>
      <w:r>
        <w:rPr>
          <w:rFonts w:hint="eastAsia" w:ascii="仿宋_GB2312" w:hAnsi="仿宋" w:eastAsia="仿宋_GB2312"/>
          <w:color w:val="auto"/>
          <w:sz w:val="32"/>
          <w:szCs w:val="32"/>
        </w:rPr>
        <w:t>万元</w:t>
      </w:r>
      <w:r>
        <w:rPr>
          <w:rFonts w:hint="eastAsia" w:ascii="仿宋_GB2312" w:hAnsi="仿宋" w:eastAsia="仿宋_GB2312" w:cs="仿宋_GB2312"/>
          <w:color w:val="auto"/>
          <w:sz w:val="32"/>
          <w:szCs w:val="32"/>
        </w:rPr>
        <w:t>；住房保障支出为</w:t>
      </w:r>
      <w:r>
        <w:rPr>
          <w:rFonts w:hint="eastAsia" w:ascii="仿宋_GB2312" w:hAnsi="仿宋" w:eastAsia="仿宋_GB2312"/>
          <w:color w:val="auto"/>
          <w:sz w:val="32"/>
          <w:szCs w:val="32"/>
          <w:lang w:val="en-US" w:eastAsia="zh-CN"/>
        </w:rPr>
        <w:t>57.07</w:t>
      </w:r>
      <w:r>
        <w:rPr>
          <w:rFonts w:hint="eastAsia" w:ascii="仿宋_GB2312" w:hAnsi="仿宋" w:eastAsia="仿宋_GB2312" w:cs="仿宋_GB2312"/>
          <w:color w:val="auto"/>
          <w:sz w:val="32"/>
          <w:szCs w:val="32"/>
        </w:rPr>
        <w:t>万元</w:t>
      </w:r>
      <w:r>
        <w:rPr>
          <w:rFonts w:hint="eastAsia" w:ascii="仿宋_GB2312" w:hAnsi="仿宋" w:eastAsia="仿宋_GB2312" w:cs="仿宋_GB2312"/>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部门整体预算绩效管理情况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sz w:val="32"/>
          <w:szCs w:val="32"/>
        </w:rPr>
      </w:pPr>
      <w:r>
        <w:rPr>
          <w:rFonts w:hint="eastAsia" w:ascii="楷体_GB2312" w:hAnsi="楷体_GB2312" w:eastAsia="楷体_GB2312" w:cs="楷体_GB2312"/>
          <w:b/>
          <w:bCs/>
          <w:sz w:val="32"/>
          <w:szCs w:val="32"/>
        </w:rPr>
        <w:t>（一）部门预算管理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 w:hAnsi="仿宋" w:eastAsia="仿宋" w:cs="楷体_GB2312"/>
          <w:bCs/>
          <w:sz w:val="32"/>
          <w:szCs w:val="32"/>
          <w:lang w:val="en-US" w:eastAsia="zh-CN"/>
        </w:rPr>
        <w:t>1.</w:t>
      </w:r>
      <w:r>
        <w:rPr>
          <w:rFonts w:hint="eastAsia" w:ascii="仿宋" w:hAnsi="仿宋" w:eastAsia="仿宋" w:cs="楷体_GB2312"/>
          <w:bCs/>
          <w:sz w:val="32"/>
          <w:szCs w:val="32"/>
          <w:lang w:val="zh-CN"/>
        </w:rPr>
        <w:t>预算编制情况。</w:t>
      </w:r>
      <w:r>
        <w:rPr>
          <w:rFonts w:hint="eastAsia" w:ascii="仿宋_GB2312" w:hAnsi="仿宋_GB2312" w:eastAsia="仿宋_GB2312" w:cs="仿宋_GB2312"/>
          <w:b w:val="0"/>
          <w:bCs w:val="0"/>
          <w:sz w:val="32"/>
          <w:szCs w:val="32"/>
          <w:lang w:eastAsia="zh-CN"/>
        </w:rPr>
        <w:t>20</w:t>
      </w:r>
      <w:r>
        <w:rPr>
          <w:rFonts w:hint="eastAsia" w:ascii="仿宋_GB2312" w:hAnsi="仿宋_GB2312" w:eastAsia="仿宋_GB2312" w:cs="仿宋_GB2312"/>
          <w:b w:val="0"/>
          <w:bCs w:val="0"/>
          <w:sz w:val="32"/>
          <w:szCs w:val="32"/>
          <w:lang w:val="en-US" w:eastAsia="zh-CN"/>
        </w:rPr>
        <w:t>22</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我局</w:t>
      </w:r>
      <w:r>
        <w:rPr>
          <w:rFonts w:hint="eastAsia" w:ascii="仿宋_GB2312" w:hAnsi="仿宋_GB2312" w:eastAsia="仿宋_GB2312" w:cs="仿宋_GB2312"/>
          <w:b w:val="0"/>
          <w:bCs w:val="0"/>
          <w:sz w:val="32"/>
          <w:szCs w:val="32"/>
          <w:lang w:eastAsia="zh-CN"/>
        </w:rPr>
        <w:t>严格按照财政预算编制要求，准确录入相关信息，各项业务经费参照上两年支出和下年预计开展工作情况合理编制，</w:t>
      </w:r>
      <w:r>
        <w:rPr>
          <w:rFonts w:hint="eastAsia" w:ascii="仿宋" w:hAnsi="仿宋" w:eastAsia="仿宋" w:cs="楷体_GB2312"/>
          <w:bCs/>
          <w:sz w:val="32"/>
          <w:szCs w:val="32"/>
          <w:lang w:val="zh-CN"/>
        </w:rPr>
        <w:t>较好的完成了</w:t>
      </w:r>
      <w:r>
        <w:rPr>
          <w:rFonts w:hint="eastAsia" w:ascii="仿宋" w:hAnsi="仿宋" w:eastAsia="仿宋" w:cs="楷体_GB2312"/>
          <w:bCs/>
          <w:sz w:val="32"/>
          <w:szCs w:val="32"/>
          <w:lang w:val="en-US" w:eastAsia="zh-CN"/>
        </w:rPr>
        <w:t>县司法局</w:t>
      </w:r>
      <w:r>
        <w:rPr>
          <w:rFonts w:hint="eastAsia" w:ascii="仿宋" w:hAnsi="仿宋" w:eastAsia="仿宋" w:cs="楷体_GB2312"/>
          <w:bCs/>
          <w:sz w:val="32"/>
          <w:szCs w:val="32"/>
          <w:lang w:val="zh-CN"/>
        </w:rPr>
        <w:t>预算编制工作，无违规行为</w:t>
      </w:r>
      <w:r>
        <w:rPr>
          <w:rFonts w:hint="eastAsia" w:ascii="仿宋_GB2312" w:hAnsi="仿宋_GB2312" w:eastAsia="仿宋_GB2312" w:cs="仿宋_GB2312"/>
          <w:b w:val="0"/>
          <w:bCs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kern w:val="2"/>
          <w:sz w:val="32"/>
          <w:szCs w:val="32"/>
          <w:lang w:val="zh-CN" w:eastAsia="zh-CN" w:bidi="ar-SA"/>
        </w:rPr>
        <w:t>执行管理情况。</w:t>
      </w:r>
      <w:r>
        <w:rPr>
          <w:rFonts w:hint="eastAsia" w:ascii="仿宋_GB2312" w:hAnsi="仿宋_GB2312" w:eastAsia="仿宋_GB2312" w:cs="仿宋_GB2312"/>
          <w:b w:val="0"/>
          <w:bCs w:val="0"/>
          <w:kern w:val="2"/>
          <w:sz w:val="32"/>
          <w:szCs w:val="32"/>
          <w:lang w:val="en-US" w:eastAsia="zh-CN" w:bidi="ar-SA"/>
        </w:rPr>
        <w:t>我局严格按照规定执行年度预算，</w:t>
      </w:r>
      <w:r>
        <w:rPr>
          <w:rFonts w:hint="eastAsia" w:ascii="仿宋_GB2312" w:hAnsi="仿宋_GB2312" w:eastAsia="仿宋_GB2312" w:cs="仿宋_GB2312"/>
          <w:b w:val="0"/>
          <w:bCs w:val="0"/>
          <w:sz w:val="32"/>
          <w:szCs w:val="32"/>
          <w:lang w:val="en-US" w:eastAsia="zh-CN"/>
        </w:rPr>
        <w:t>2021年末</w:t>
      </w:r>
      <w:r>
        <w:rPr>
          <w:rFonts w:hint="eastAsia" w:ascii="仿宋_GB2312" w:hAnsi="仿宋" w:eastAsia="仿宋_GB2312" w:cs="仿宋_GB2312"/>
          <w:color w:val="auto"/>
          <w:sz w:val="32"/>
          <w:szCs w:val="32"/>
          <w:lang w:val="en-US" w:eastAsia="zh-CN"/>
        </w:rPr>
        <w:t>资金结转5.04万元，</w:t>
      </w:r>
      <w:r>
        <w:rPr>
          <w:rFonts w:hint="eastAsia" w:ascii="仿宋_GB2312" w:hAnsi="仿宋_GB2312" w:eastAsia="仿宋_GB2312" w:cs="仿宋_GB2312"/>
          <w:b w:val="0"/>
          <w:bCs w:val="0"/>
          <w:sz w:val="32"/>
          <w:szCs w:val="32"/>
          <w:lang w:val="en-US" w:eastAsia="zh-CN"/>
        </w:rPr>
        <w:t>2022年度财政预算收入总计891.81万元，</w:t>
      </w:r>
      <w:r>
        <w:rPr>
          <w:rFonts w:hint="eastAsia" w:ascii="仿宋_GB2312" w:hAnsi="仿宋" w:eastAsia="仿宋_GB2312" w:cs="仿宋_GB2312"/>
          <w:sz w:val="32"/>
          <w:szCs w:val="32"/>
        </w:rPr>
        <w:t>财政</w:t>
      </w:r>
      <w:r>
        <w:rPr>
          <w:rFonts w:hint="eastAsia" w:ascii="仿宋_GB2312" w:hAnsi="仿宋" w:eastAsia="仿宋_GB2312" w:cs="仿宋_GB2312"/>
          <w:sz w:val="32"/>
          <w:szCs w:val="32"/>
          <w:lang w:val="en-US" w:eastAsia="zh-CN"/>
        </w:rPr>
        <w:t>实际</w:t>
      </w:r>
      <w:r>
        <w:rPr>
          <w:rFonts w:hint="eastAsia" w:ascii="仿宋_GB2312" w:hAnsi="仿宋" w:eastAsia="仿宋_GB2312" w:cs="仿宋_GB2312"/>
          <w:sz w:val="32"/>
          <w:szCs w:val="32"/>
        </w:rPr>
        <w:t>支出总</w:t>
      </w:r>
      <w:r>
        <w:rPr>
          <w:rFonts w:hint="eastAsia" w:ascii="仿宋_GB2312" w:hAnsi="仿宋" w:eastAsia="仿宋_GB2312" w:cs="仿宋_GB2312"/>
          <w:sz w:val="32"/>
          <w:szCs w:val="32"/>
          <w:lang w:val="en-US" w:eastAsia="zh-CN"/>
        </w:rPr>
        <w:t>计896.85</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当年预算支出完成率</w:t>
      </w:r>
      <w:r>
        <w:rPr>
          <w:rFonts w:hint="eastAsia" w:ascii="仿宋_GB2312" w:hAnsi="仿宋" w:eastAsia="仿宋_GB2312" w:cs="仿宋_GB2312"/>
          <w:sz w:val="32"/>
          <w:szCs w:val="32"/>
          <w:lang w:val="en-US" w:eastAsia="zh-CN"/>
        </w:rPr>
        <w:t>100.56</w:t>
      </w:r>
      <w:r>
        <w:rPr>
          <w:rFonts w:hint="eastAsia" w:ascii="仿宋_GB2312" w:hAnsi="仿宋" w:eastAsia="仿宋_GB2312" w:cs="仿宋_GB2312"/>
          <w:sz w:val="32"/>
          <w:szCs w:val="32"/>
        </w:rPr>
        <w:t>%</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zh-CN" w:eastAsia="zh-CN"/>
        </w:rPr>
        <w:t>资金支出和使用完全按照相关规定操作，无违纪现象发生。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b w:val="0"/>
          <w:bCs w:val="0"/>
          <w:sz w:val="32"/>
          <w:szCs w:val="32"/>
          <w:lang w:val="en-US" w:eastAsia="zh-CN"/>
        </w:rPr>
        <w:t>3.综合管理情况。我局现由专人负责预算绩效管理，并</w:t>
      </w:r>
      <w:r>
        <w:rPr>
          <w:rFonts w:hint="eastAsia" w:ascii="仿宋_GB2312" w:hAnsi="仿宋_GB2312" w:eastAsia="仿宋_GB2312" w:cs="仿宋_GB2312"/>
          <w:b w:val="0"/>
          <w:bCs w:val="0"/>
          <w:sz w:val="32"/>
          <w:szCs w:val="32"/>
          <w:lang w:val="zh-CN" w:eastAsia="zh-CN"/>
        </w:rPr>
        <w:t>根据财政局下发的文件要求</w:t>
      </w:r>
      <w:r>
        <w:rPr>
          <w:rFonts w:hint="eastAsia" w:ascii="仿宋_GB2312" w:hAnsi="仿宋_GB2312" w:eastAsia="仿宋_GB2312" w:cs="仿宋_GB2312"/>
          <w:b w:val="0"/>
          <w:bCs w:val="0"/>
          <w:sz w:val="32"/>
          <w:szCs w:val="32"/>
          <w:lang w:val="en-US" w:eastAsia="zh-CN"/>
        </w:rPr>
        <w:t>，建立</w:t>
      </w:r>
      <w:bookmarkStart w:id="1" w:name="_GoBack"/>
      <w:bookmarkEnd w:id="1"/>
      <w:r>
        <w:rPr>
          <w:rFonts w:hint="eastAsia" w:ascii="仿宋_GB2312" w:hAnsi="仿宋_GB2312" w:eastAsia="仿宋_GB2312" w:cs="仿宋_GB2312"/>
          <w:b w:val="0"/>
          <w:bCs w:val="0"/>
          <w:sz w:val="32"/>
          <w:szCs w:val="32"/>
          <w:lang w:val="en-US" w:eastAsia="zh-CN"/>
        </w:rPr>
        <w:t>“预算编制有目标、预算执行有监控、预算完成有评价、评价结果有反馈、反馈结果有应用”的全过程预算绩效管理机制，</w:t>
      </w:r>
      <w:r>
        <w:rPr>
          <w:rFonts w:hint="eastAsia" w:ascii="仿宋_GB2312" w:hAnsi="仿宋_GB2312" w:eastAsia="仿宋_GB2312" w:cs="仿宋_GB2312"/>
          <w:b w:val="0"/>
          <w:bCs w:val="0"/>
          <w:sz w:val="32"/>
          <w:szCs w:val="32"/>
          <w:lang w:val="zh-CN" w:eastAsia="zh-CN"/>
        </w:rPr>
        <w:t>做好财政收支工作，做好预算及决算工作，保证县</w:t>
      </w:r>
      <w:r>
        <w:rPr>
          <w:rFonts w:hint="eastAsia" w:ascii="仿宋_GB2312" w:hAnsi="仿宋_GB2312" w:eastAsia="仿宋_GB2312" w:cs="仿宋_GB2312"/>
          <w:b w:val="0"/>
          <w:bCs w:val="0"/>
          <w:sz w:val="32"/>
          <w:szCs w:val="32"/>
          <w:lang w:val="en-US" w:eastAsia="zh-CN"/>
        </w:rPr>
        <w:t>司法局</w:t>
      </w:r>
      <w:r>
        <w:rPr>
          <w:rFonts w:hint="eastAsia" w:ascii="仿宋_GB2312" w:hAnsi="仿宋_GB2312" w:eastAsia="仿宋_GB2312" w:cs="仿宋_GB2312"/>
          <w:b w:val="0"/>
          <w:bCs w:val="0"/>
          <w:sz w:val="32"/>
          <w:szCs w:val="32"/>
          <w:lang w:val="zh-CN" w:eastAsia="zh-CN"/>
        </w:rPr>
        <w:t>财务工作公开透明规范运行。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楷体_GB2312"/>
          <w:bCs/>
          <w:sz w:val="32"/>
          <w:szCs w:val="32"/>
          <w:lang w:val="en-US" w:eastAsia="zh-CN"/>
        </w:rPr>
      </w:pPr>
      <w:r>
        <w:rPr>
          <w:rFonts w:hint="eastAsia" w:ascii="仿宋_GB2312" w:hAnsi="仿宋_GB2312" w:eastAsia="仿宋_GB2312" w:cs="仿宋_GB2312"/>
          <w:b w:val="0"/>
          <w:bCs w:val="0"/>
          <w:sz w:val="32"/>
          <w:szCs w:val="32"/>
          <w:lang w:val="en-US" w:eastAsia="zh-CN"/>
        </w:rPr>
        <w:t>我局现已完成部门预算编制工作，绩效目标指向明确，符合国民经济和社会发展规划、结合部门职能及事业发展规划等,特别在数量、质量、成本、时效、效益等方面进行了具体量化。</w:t>
      </w:r>
      <w:r>
        <w:rPr>
          <w:rFonts w:hint="eastAsia" w:ascii="仿宋" w:hAnsi="仿宋" w:eastAsia="仿宋" w:cs="仿宋"/>
          <w:sz w:val="31"/>
          <w:szCs w:val="31"/>
        </w:rPr>
        <w:t>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（二）专项预算管理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color w:val="auto"/>
          <w:sz w:val="32"/>
          <w:szCs w:val="32"/>
          <w:lang w:val="en-US" w:eastAsia="zh-CN"/>
        </w:rPr>
        <w:t>2022年中央政法转移支付资金为55.18万元，本级财政资金为1.59万元，本年项目支付56.77万元，年末结余0万元。项目经费为一般行政管理事务</w:t>
      </w:r>
      <w:r>
        <w:rPr>
          <w:rFonts w:hint="eastAsia" w:ascii="仿宋_GB2312" w:hAnsi="仿宋" w:eastAsia="仿宋_GB2312" w:cs="仿宋_GB2312"/>
          <w:sz w:val="32"/>
          <w:szCs w:val="32"/>
          <w:lang w:val="en-US" w:eastAsia="zh-CN"/>
        </w:rPr>
        <w:t>、法律援助等，我局严格按照资金用途专款专用。无违规违纪现象发生。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结果应用情况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rPr>
        <w:t>我</w:t>
      </w:r>
      <w:r>
        <w:rPr>
          <w:rFonts w:hint="eastAsia" w:ascii="仿宋_GB2312" w:hAnsi="仿宋" w:eastAsia="仿宋_GB2312" w:cs="仿宋_GB2312"/>
          <w:sz w:val="32"/>
          <w:szCs w:val="32"/>
          <w:lang w:eastAsia="zh-CN"/>
        </w:rPr>
        <w:t>局</w:t>
      </w:r>
      <w:r>
        <w:rPr>
          <w:rFonts w:hint="eastAsia" w:ascii="仿宋_GB2312" w:hAnsi="仿宋" w:eastAsia="仿宋_GB2312" w:cs="仿宋_GB2312"/>
          <w:sz w:val="32"/>
          <w:szCs w:val="32"/>
        </w:rPr>
        <w:t>依据财政编审要求,在年度终了后,结合本单位当年全部预算收入、财政拨款收入及支出等,对全口径的资金收入、支出和预算管理、资产管理等工作进行全面总结。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四、评价结论及建议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sz w:val="32"/>
          <w:szCs w:val="32"/>
          <w:lang w:eastAsia="zh-CN"/>
        </w:rPr>
      </w:pPr>
      <w:r>
        <w:rPr>
          <w:rFonts w:hint="eastAsia" w:ascii="楷体_GB2312" w:hAnsi="楷体_GB2312" w:eastAsia="楷体_GB2312" w:cs="楷体_GB2312"/>
          <w:b/>
          <w:bCs/>
          <w:sz w:val="32"/>
          <w:szCs w:val="32"/>
          <w:lang w:eastAsia="zh-CN"/>
        </w:rPr>
        <w:t>（一）评价结论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 w:hAnsi="仿宋" w:eastAsia="仿宋" w:cs="楷体_GB2312"/>
          <w:bCs/>
          <w:sz w:val="32"/>
          <w:szCs w:val="32"/>
          <w:lang w:val="zh-CN"/>
        </w:rPr>
        <w:t>我</w:t>
      </w:r>
      <w:r>
        <w:rPr>
          <w:rFonts w:hint="eastAsia" w:ascii="仿宋" w:hAnsi="仿宋" w:eastAsia="仿宋" w:cs="楷体_GB2312"/>
          <w:bCs/>
          <w:sz w:val="32"/>
          <w:szCs w:val="32"/>
          <w:lang w:val="en-US" w:eastAsia="zh-CN"/>
        </w:rPr>
        <w:t>局</w:t>
      </w:r>
      <w:r>
        <w:rPr>
          <w:rFonts w:hint="eastAsia" w:ascii="仿宋_GB2312" w:hAnsi="仿宋" w:eastAsia="仿宋_GB2312" w:cs="仿宋_GB2312"/>
          <w:sz w:val="32"/>
          <w:szCs w:val="32"/>
          <w:lang w:eastAsia="zh-CN"/>
        </w:rPr>
        <w:t>经过调查研究和科学论证，制定与法律法规、政策和社会发展要求相符的目标任务，目标任务清晰明确，能够体现部门目标任务完成情况和部门预期实现的效益；按照</w:t>
      </w:r>
      <w:r>
        <w:rPr>
          <w:rFonts w:hint="eastAsia" w:ascii="仿宋_GB2312" w:hAnsi="仿宋" w:eastAsia="仿宋_GB2312" w:cs="仿宋_GB2312"/>
          <w:sz w:val="32"/>
          <w:szCs w:val="32"/>
          <w:lang w:val="en-US" w:eastAsia="zh-CN"/>
        </w:rPr>
        <w:t>县</w:t>
      </w:r>
      <w:r>
        <w:rPr>
          <w:rFonts w:hint="eastAsia" w:ascii="仿宋_GB2312" w:hAnsi="仿宋" w:eastAsia="仿宋_GB2312" w:cs="仿宋_GB2312"/>
          <w:sz w:val="32"/>
          <w:szCs w:val="32"/>
          <w:lang w:eastAsia="zh-CN"/>
        </w:rPr>
        <w:t>财政局预算编制要求，按时完成</w:t>
      </w:r>
      <w:r>
        <w:rPr>
          <w:rFonts w:hint="eastAsia" w:ascii="仿宋_GB2312" w:hAnsi="仿宋" w:eastAsia="仿宋_GB2312" w:cs="仿宋_GB2312"/>
          <w:sz w:val="32"/>
          <w:szCs w:val="32"/>
          <w:lang w:val="en-US" w:eastAsia="zh-CN"/>
        </w:rPr>
        <w:t>本部门</w:t>
      </w:r>
      <w:r>
        <w:rPr>
          <w:rFonts w:hint="eastAsia" w:ascii="仿宋_GB2312" w:hAnsi="仿宋" w:eastAsia="仿宋_GB2312" w:cs="仿宋_GB2312"/>
          <w:sz w:val="32"/>
          <w:szCs w:val="32"/>
          <w:lang w:eastAsia="zh-CN"/>
        </w:rPr>
        <w:t>的预算编制工作并提交</w:t>
      </w:r>
      <w:r>
        <w:rPr>
          <w:rFonts w:hint="eastAsia" w:ascii="仿宋_GB2312" w:hAnsi="仿宋" w:eastAsia="仿宋_GB2312" w:cs="仿宋_GB2312"/>
          <w:sz w:val="32"/>
          <w:szCs w:val="32"/>
          <w:lang w:val="en-US" w:eastAsia="zh-CN"/>
        </w:rPr>
        <w:t>县</w:t>
      </w:r>
      <w:r>
        <w:rPr>
          <w:rFonts w:hint="eastAsia" w:ascii="仿宋_GB2312" w:hAnsi="仿宋" w:eastAsia="仿宋_GB2312" w:cs="仿宋_GB2312"/>
          <w:sz w:val="32"/>
          <w:szCs w:val="32"/>
          <w:lang w:eastAsia="zh-CN"/>
        </w:rPr>
        <w:t>财政局，部门预算编制完整、准确、规范；按要求开展预算执行中期评估工作；严格预算执行管理；部门利用资产管理信息系统完成资产占有、使用、处置等动态管理情况，并完成年度国有资产报告编报工作；除涉密信息外，及时向社会公开本部门预算、决算；按要求公开部门整体支出绩效自评报告及其他按要求应公开的绩效信息。按部门职能职责和年度总体目标细化设置履职成效指标；社会公众、相关协同部门、部门管理对象等对部门绩效情况满意度较高；年底基本能够到达年初制定的绩效目标。</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存在问题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绩效目标制定不够完善，预算编制不够科学合理。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改进建议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ascii="仿宋_GB2312" w:hAnsi="仿宋_GB2312" w:eastAsia="仿宋_GB2312" w:cs="仿宋_GB2312"/>
          <w:sz w:val="32"/>
          <w:szCs w:val="32"/>
        </w:rPr>
      </w:pPr>
      <w:r>
        <w:rPr>
          <w:rFonts w:hint="eastAsia" w:ascii="仿宋_GB2312" w:hAnsi="仿宋" w:eastAsia="仿宋_GB2312" w:cs="仿宋_GB2312"/>
          <w:kern w:val="2"/>
          <w:sz w:val="32"/>
          <w:szCs w:val="32"/>
          <w:lang w:val="en-US" w:eastAsia="zh-CN" w:bidi="ar-SA"/>
        </w:rPr>
        <w:t>进一步完善绩效目标填报工作，强化绩效指标实用性。绩效目标是整个预算绩效管理的起点，与部门履职效率形成直接关系，在接下来工作中，严格按照经济型、效率性及效益性原则设置对应指标，提高绩效指标实用性。认真履行预算编报要求，提高预算编报的科学性。严格按照相关预算编报文件要求，结合近年来执行情况，合理编制各项预算，提高预算的科学性和准确性。</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EBAE33-9AD6-4B28-9079-ADCB192786B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93C3F8A-82E9-4A32-A52C-FCDA13B2FE16}"/>
  </w:font>
  <w:font w:name="方正小标宋简体">
    <w:panose1 w:val="02000000000000000000"/>
    <w:charset w:val="86"/>
    <w:family w:val="auto"/>
    <w:pitch w:val="default"/>
    <w:sig w:usb0="00000001" w:usb1="08000000" w:usb2="00000000" w:usb3="00000000" w:csb0="00040000" w:csb1="00000000"/>
    <w:embedRegular r:id="rId3" w:fontKey="{48EA7663-A4E9-4C95-BAC8-AD5CD0B0BEC1}"/>
  </w:font>
  <w:font w:name="方正小标宋_GBK">
    <w:panose1 w:val="03000509000000000000"/>
    <w:charset w:val="86"/>
    <w:family w:val="auto"/>
    <w:pitch w:val="default"/>
    <w:sig w:usb0="00000001" w:usb1="080E0000" w:usb2="00000000" w:usb3="00000000" w:csb0="00040000" w:csb1="00000000"/>
    <w:embedRegular r:id="rId4" w:fontKey="{8DE7EF33-B175-4631-A602-D4BD1583F5EE}"/>
  </w:font>
  <w:font w:name="仿宋_GB2312">
    <w:panose1 w:val="02010609030101010101"/>
    <w:charset w:val="86"/>
    <w:family w:val="modern"/>
    <w:pitch w:val="default"/>
    <w:sig w:usb0="00000001" w:usb1="080E0000" w:usb2="00000000" w:usb3="00000000" w:csb0="00040000" w:csb1="00000000"/>
    <w:embedRegular r:id="rId5" w:fontKey="{6C6361C7-03FE-4778-A752-F5396469482B}"/>
  </w:font>
  <w:font w:name="楷体_GB2312">
    <w:panose1 w:val="02010609030101010101"/>
    <w:charset w:val="86"/>
    <w:family w:val="auto"/>
    <w:pitch w:val="default"/>
    <w:sig w:usb0="00000001" w:usb1="080E0000" w:usb2="00000000" w:usb3="00000000" w:csb0="00040000" w:csb1="00000000"/>
    <w:embedRegular r:id="rId6" w:fontKey="{0812C121-7B6A-4113-90C8-AC5CDF6C741D}"/>
  </w:font>
  <w:font w:name="仿宋">
    <w:panose1 w:val="02010609060101010101"/>
    <w:charset w:val="86"/>
    <w:family w:val="modern"/>
    <w:pitch w:val="default"/>
    <w:sig w:usb0="800002BF" w:usb1="38CF7CFA" w:usb2="00000016" w:usb3="00000000" w:csb0="00040001" w:csb1="00000000"/>
    <w:embedRegular r:id="rId7" w:fontKey="{5A89ECF1-027D-43D6-B0A3-04708584D4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xNWQ2YTkyNzA2ZGNkZDUwMDBjNDMyYWE4MjlhNjEifQ=="/>
  </w:docVars>
  <w:rsids>
    <w:rsidRoot w:val="00491B22"/>
    <w:rsid w:val="00291808"/>
    <w:rsid w:val="00491B22"/>
    <w:rsid w:val="0052390C"/>
    <w:rsid w:val="01AA3E65"/>
    <w:rsid w:val="05435D83"/>
    <w:rsid w:val="0693088A"/>
    <w:rsid w:val="0CA44C5B"/>
    <w:rsid w:val="20D46104"/>
    <w:rsid w:val="27CE42FE"/>
    <w:rsid w:val="29972AF3"/>
    <w:rsid w:val="2CCC463D"/>
    <w:rsid w:val="33D4485E"/>
    <w:rsid w:val="36435EC2"/>
    <w:rsid w:val="3901386C"/>
    <w:rsid w:val="3DE356DF"/>
    <w:rsid w:val="41982E29"/>
    <w:rsid w:val="43686B13"/>
    <w:rsid w:val="437102AA"/>
    <w:rsid w:val="4B58309B"/>
    <w:rsid w:val="51786CFC"/>
    <w:rsid w:val="53782EE0"/>
    <w:rsid w:val="54CA6867"/>
    <w:rsid w:val="57365AEB"/>
    <w:rsid w:val="594737D8"/>
    <w:rsid w:val="59B1522C"/>
    <w:rsid w:val="5C71500A"/>
    <w:rsid w:val="60D032A5"/>
    <w:rsid w:val="63A62D82"/>
    <w:rsid w:val="66117BCF"/>
    <w:rsid w:val="697F2471"/>
    <w:rsid w:val="69AA16EA"/>
    <w:rsid w:val="78322F0E"/>
    <w:rsid w:val="7A085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table of figures"/>
    <w:basedOn w:val="1"/>
    <w:next w:val="1"/>
    <w:unhideWhenUsed/>
    <w:qFormat/>
    <w:uiPriority w:val="99"/>
    <w:pPr>
      <w:ind w:left="200" w:leftChars="200" w:hanging="200" w:hangingChars="200"/>
    </w:pPr>
  </w:style>
  <w:style w:type="paragraph" w:styleId="5">
    <w:name w:val="Normal (Web)"/>
    <w:basedOn w:val="1"/>
    <w:qFormat/>
    <w:uiPriority w:val="0"/>
    <w:pPr>
      <w:spacing w:before="100" w:beforeAutospacing="1" w:after="100" w:afterAutospacing="1"/>
      <w:jc w:val="left"/>
    </w:pPr>
    <w:rPr>
      <w:rFonts w:eastAsia="宋体"/>
      <w:kern w:val="0"/>
      <w:sz w:val="24"/>
      <w:szCs w:val="24"/>
    </w:r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1657</Words>
  <Characters>1770</Characters>
  <Lines>2</Lines>
  <Paragraphs>1</Paragraphs>
  <TotalTime>3</TotalTime>
  <ScaleCrop>false</ScaleCrop>
  <LinksUpToDate>false</LinksUpToDate>
  <CharactersWithSpaces>1799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闪灵</cp:lastModifiedBy>
  <dcterms:modified xsi:type="dcterms:W3CDTF">2023-08-31T05:56:24Z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C0FD8F207129418E957F274EA98D553D</vt:lpwstr>
  </property>
</Properties>
</file>