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Toc15396616"/>
      <w:r>
        <w:rPr>
          <w:rFonts w:hint="eastAsia" w:ascii="仿宋_GB2312" w:hAnsi="仿宋_GB2312" w:eastAsia="仿宋_GB2312" w:cs="仿宋_GB2312"/>
          <w:sz w:val="32"/>
          <w:szCs w:val="32"/>
          <w:lang w:val="en-US" w:eastAsia="zh-CN"/>
        </w:rPr>
        <w:t>附件2</w:t>
      </w:r>
    </w:p>
    <w:p>
      <w:pPr>
        <w:jc w:val="center"/>
        <w:rPr>
          <w:rFonts w:hint="eastAsia" w:asciiTheme="minorEastAsia" w:hAnsiTheme="minorEastAsia" w:eastAsiaTheme="minorEastAsia" w:cstheme="minorEastAsia"/>
          <w:color w:val="FF0000"/>
          <w:spacing w:val="-11"/>
          <w:w w:val="75"/>
          <w:sz w:val="140"/>
          <w:szCs w:val="140"/>
        </w:rPr>
      </w:pPr>
      <w:r>
        <w:rPr>
          <w:rFonts w:hint="eastAsia" w:asciiTheme="minorEastAsia" w:hAnsiTheme="minorEastAsia" w:eastAsiaTheme="minorEastAsia" w:cstheme="minorEastAsia"/>
          <w:b/>
          <w:bCs/>
          <w:color w:val="FF0000"/>
          <w:spacing w:val="-11"/>
          <w:w w:val="75"/>
          <w:kern w:val="2"/>
          <w:sz w:val="140"/>
          <w:szCs w:val="140"/>
          <w:lang w:val="en-US" w:eastAsia="zh-CN" w:bidi="ar-SA"/>
        </w:rPr>
        <w:t>黑水县司法局文件</w:t>
      </w:r>
    </w:p>
    <w:p>
      <w:pPr>
        <w:rPr>
          <w:rFonts w:hint="eastAsia" w:asciiTheme="minorEastAsia" w:hAnsiTheme="minorEastAsia" w:eastAsiaTheme="minorEastAsia" w:cstheme="minorEastAsia"/>
          <w:u w:val="single" w:color="FF0000"/>
        </w:rPr>
      </w:pPr>
      <w:r>
        <w:rPr>
          <w:rFonts w:hint="eastAsia" w:asciiTheme="minorEastAsia" w:hAnsiTheme="minorEastAsia" w:eastAsiaTheme="minorEastAsia" w:cstheme="minorEastAsia"/>
        </w:rPr>
        <w:pict>
          <v:shape id="任意多边形 4" o:spid="_x0000_s1026" style="position:absolute;left:0pt;margin-left:-0.8pt;margin-top:6.8pt;height:0.05pt;width:439.35pt;z-index:251660288;mso-width-relative:page;mso-height-relative:page;" filled="f" stroked="t" coordsize="9422,1" o:gfxdata="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T2to1wAAAAgBAAAPAAAAAAAAAAEAIAAAACIAAABkcnMvZG93&#10;bnJldi54bWxQSwECFAAUAAAACACHTuJAm8Ej1joCAACRBAAADgAAAAAAAAABACAAAAAmAQAAZHJz&#10;L2Uyb0RvYy54bWxQSwUGAAAAAAYABgBZAQAA0gUAAAAA&#10;" path="m0,0l9422,1e">
            <v:fill on="f" focussize="0,0"/>
            <v:stroke weight="4.5pt" color="#FF0000" linestyle="thickThin" joinstyle="round"/>
            <v:imagedata o:title=""/>
            <o:lock v:ext="edit" aspectratio="f"/>
          </v:shape>
        </w:pic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黑水县司法局(本级）</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23</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度</w:t>
      </w:r>
      <w:r>
        <w:rPr>
          <w:rFonts w:hint="eastAsia" w:ascii="方正小标宋_GBK" w:hAnsi="方正小标宋_GBK" w:eastAsia="方正小标宋_GBK" w:cs="方正小标宋_GBK"/>
          <w:b w:val="0"/>
          <w:bCs/>
          <w:sz w:val="44"/>
          <w:szCs w:val="44"/>
        </w:rPr>
        <w:t>部门整体支出绩效评价报告</w:t>
      </w:r>
      <w:bookmarkEnd w:id="0"/>
      <w:bookmarkStart w:id="1" w:name="_GoBack"/>
      <w:bookmarkEnd w:id="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（一）机构组成。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局机关1个，机关直属事业单位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个派</w:t>
      </w:r>
      <w:r>
        <w:rPr>
          <w:rFonts w:hint="eastAsia" w:ascii="仿宋_GB2312" w:hAnsi="仿宋_GB2312" w:eastAsia="仿宋_GB2312" w:cs="仿宋_GB2312"/>
          <w:sz w:val="32"/>
          <w:szCs w:val="32"/>
          <w:lang w:eastAsia="zh-CN"/>
        </w:rPr>
        <w:t>驻</w:t>
      </w:r>
      <w:r>
        <w:rPr>
          <w:rFonts w:hint="eastAsia" w:ascii="仿宋_GB2312" w:hAnsi="仿宋_GB2312" w:eastAsia="仿宋_GB2312" w:cs="仿宋_GB2312"/>
          <w:sz w:val="32"/>
          <w:szCs w:val="32"/>
        </w:rPr>
        <w:t>机构，机关内设股室</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个(含县委依法治县办秘书股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主要职能</w:t>
      </w:r>
      <w:r>
        <w:rPr>
          <w:rFonts w:hint="eastAsia" w:ascii="仿宋_GB2312" w:hAnsi="仿宋_GB2312" w:eastAsia="仿宋_GB2312" w:cs="仿宋_GB2312"/>
          <w:b/>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
          <w:sz w:val="32"/>
          <w:szCs w:val="32"/>
        </w:rPr>
      </w:pPr>
      <w:r>
        <w:rPr>
          <w:rFonts w:hint="eastAsia" w:ascii="仿宋_GB2312" w:hAnsi="仿宋_GB2312" w:eastAsia="仿宋_GB2312" w:cs="仿宋"/>
          <w:sz w:val="32"/>
          <w:szCs w:val="32"/>
        </w:rPr>
        <w:t>1.承担全面依法治国、依法治省、依法治州、依法治县重大问题的政策研究，协调有关方面提出全面依法治县规划建议，负责有关重大决策部署督察工作。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2.负责县政府规范性文件、重大行政决策发布前的合法性审查。承办县政府规范性文件的报送备案工作。负责县政府各部门和各乡(镇)政府规范性文件报送县政府的备案审查工作。组织开展规范性文件清理。</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3.承担统筹推进法治政府建设的责任。指导监督县政府各部门、各乡(镇)政府依法行政工作。负责综合协调、监督检查行政执法，承担推进行政执法体制改革有关工作，推进严格规范公正文明执法。指导监督全县行政复议、行政应诉和行政赔偿工作，承办向县政府申请的行政复议、行政赔偿案件，代理县政府行政应诉案件。</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4.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推进司法所建设。将安全生产、职业健康、环境保护法律法规纳入公民普法教育重要内容并会同有关部门开展宣传普及，做好职责范围内的安全生产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5.指导管理社区矫正工作。指导刑满释放人员帮教安置工作。指导监督本系统强制隔离戒毒执行和戒毒康复工作。对社区戒毒和社区康复工作提供指导、支持和协助。</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6.负责拟订全县公共法律服务体系建设规划并指导实施，统筹和布局全县法律服务资源。指导监督律师、法律援助、司法鉴定、公证、仲裁和基层法律服务管理工作。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7.负责本系统服装和警车管理工作。指导监督本系统财务、装备、设施、场所等保障工作。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8.规划、协调、指导法治人才队伍建设相关工作，指导监督本系统队伍建设。负责本系统警务管理和警务督察工作，做好乡(镇)司法所所长、助理员日常管理工作。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9.负责并指导本系统行政审批工作。负责全县外来企业投诉处理和民营企业法律服务工作。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sz w:val="32"/>
          <w:szCs w:val="32"/>
        </w:rPr>
      </w:pPr>
      <w:r>
        <w:rPr>
          <w:rFonts w:hint="eastAsia" w:ascii="仿宋_GB2312" w:hAnsi="仿宋_GB2312" w:eastAsia="仿宋_GB2312" w:cs="仿宋"/>
          <w:sz w:val="32"/>
          <w:szCs w:val="32"/>
        </w:rPr>
        <w:t>10.完成县委、县政府交办的其他任务</w:t>
      </w:r>
      <w:r>
        <w:rPr>
          <w:rFonts w:ascii="仿宋_GB2312" w:hAnsi="仿宋_GB2312" w:eastAsia="仿宋_GB2312"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（三）人员概况。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县司法局</w:t>
      </w:r>
      <w:r>
        <w:rPr>
          <w:rFonts w:hint="eastAsia" w:ascii="仿宋_GB2312" w:hAnsi="仿宋_GB2312" w:eastAsia="仿宋_GB2312" w:cs="仿宋_GB2312"/>
          <w:sz w:val="32"/>
          <w:szCs w:val="32"/>
          <w:lang w:val="en-US" w:eastAsia="zh-CN"/>
        </w:rPr>
        <w:t>总编制36名，其中：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32名，工勤编制2名，参公编制2名。年末在职总人数</w:t>
      </w:r>
      <w:r>
        <w:rPr>
          <w:rFonts w:hint="eastAsia" w:ascii="仿宋_GB2312" w:hAnsi="仿宋_GB2312" w:eastAsia="仿宋_GB2312" w:cs="仿宋_GB2312"/>
          <w:color w:val="auto"/>
          <w:sz w:val="32"/>
          <w:szCs w:val="32"/>
          <w:lang w:val="en-US" w:eastAsia="zh-CN"/>
        </w:rPr>
        <w:t>为33人</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人，工勤2人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遗属</w:t>
      </w:r>
      <w:r>
        <w:rPr>
          <w:rFonts w:hint="eastAsia" w:ascii="仿宋_GB2312" w:hAnsi="仿宋_GB2312" w:eastAsia="仿宋_GB2312" w:cs="仿宋_GB2312"/>
          <w:sz w:val="32"/>
          <w:szCs w:val="32"/>
        </w:rPr>
        <w:t>2人。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年度收入总计</w:t>
      </w:r>
      <w:r>
        <w:rPr>
          <w:rFonts w:hint="eastAsia" w:ascii="仿宋_GB2312" w:hAnsi="仿宋_GB2312" w:eastAsia="仿宋_GB2312" w:cs="仿宋_GB2312"/>
          <w:b w:val="0"/>
          <w:bCs w:val="0"/>
          <w:color w:val="auto"/>
          <w:sz w:val="32"/>
          <w:szCs w:val="32"/>
          <w:lang w:val="en-US" w:eastAsia="zh-CN"/>
        </w:rPr>
        <w:t>1051.22</w:t>
      </w:r>
      <w:r>
        <w:rPr>
          <w:rFonts w:hint="eastAsia" w:ascii="仿宋_GB2312" w:hAnsi="仿宋_GB2312" w:eastAsia="仿宋_GB2312" w:cs="仿宋_GB2312"/>
          <w:b w:val="0"/>
          <w:bCs w:val="0"/>
          <w:color w:val="auto"/>
          <w:sz w:val="32"/>
          <w:szCs w:val="32"/>
        </w:rPr>
        <w:t>万元。与20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年相比，收入总计</w:t>
      </w:r>
      <w:r>
        <w:rPr>
          <w:rFonts w:hint="eastAsia" w:ascii="仿宋_GB2312" w:hAnsi="仿宋_GB2312" w:eastAsia="仿宋_GB2312" w:cs="仿宋_GB2312"/>
          <w:b w:val="0"/>
          <w:bCs w:val="0"/>
          <w:color w:val="auto"/>
          <w:sz w:val="32"/>
          <w:szCs w:val="32"/>
          <w:lang w:eastAsia="zh-CN"/>
        </w:rPr>
        <w:t>增加</w:t>
      </w:r>
      <w:r>
        <w:rPr>
          <w:rFonts w:hint="eastAsia" w:ascii="仿宋_GB2312" w:hAnsi="仿宋_GB2312" w:eastAsia="仿宋_GB2312" w:cs="仿宋_GB2312"/>
          <w:b w:val="0"/>
          <w:bCs w:val="0"/>
          <w:color w:val="auto"/>
          <w:sz w:val="32"/>
          <w:szCs w:val="32"/>
          <w:lang w:val="en-US" w:eastAsia="zh-CN"/>
        </w:rPr>
        <w:t>159.41</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增长</w:t>
      </w:r>
      <w:r>
        <w:rPr>
          <w:rFonts w:hint="eastAsia" w:ascii="仿宋_GB2312" w:hAnsi="仿宋_GB2312" w:eastAsia="仿宋_GB2312" w:cs="仿宋_GB2312"/>
          <w:b w:val="0"/>
          <w:bCs w:val="0"/>
          <w:color w:val="auto"/>
          <w:sz w:val="32"/>
          <w:szCs w:val="32"/>
          <w:lang w:val="en-US" w:eastAsia="zh-CN"/>
        </w:rPr>
        <w:t>17.87</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部门财政资金支出情况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度支出总计1051.22</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相比，支出总计增加154.37</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增长</w:t>
      </w:r>
      <w:r>
        <w:rPr>
          <w:rFonts w:hint="eastAsia" w:ascii="仿宋_GB2312" w:hAnsi="仿宋_GB2312" w:eastAsia="仿宋_GB2312" w:cs="仿宋_GB2312"/>
          <w:b w:val="0"/>
          <w:bCs w:val="0"/>
          <w:color w:val="auto"/>
          <w:sz w:val="32"/>
          <w:szCs w:val="32"/>
          <w:lang w:val="en-US" w:eastAsia="zh-CN"/>
        </w:rPr>
        <w:t>17.21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其中：公共安全</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eastAsia="仿宋_GB2312" w:cs="仿宋_GB2312"/>
          <w:b w:val="0"/>
          <w:bCs w:val="0"/>
          <w:color w:val="auto"/>
          <w:sz w:val="32"/>
          <w:szCs w:val="32"/>
        </w:rPr>
        <w:t>为</w:t>
      </w:r>
      <w:r>
        <w:rPr>
          <w:rFonts w:hint="eastAsia" w:ascii="仿宋_GB2312" w:hAnsi="仿宋" w:eastAsia="仿宋_GB2312"/>
          <w:color w:val="auto"/>
          <w:sz w:val="32"/>
          <w:szCs w:val="32"/>
          <w:lang w:val="en-US" w:eastAsia="zh-CN"/>
        </w:rPr>
        <w:t>846.24</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社会保障和就业支出为</w:t>
      </w:r>
      <w:r>
        <w:rPr>
          <w:rFonts w:hint="eastAsia" w:ascii="仿宋_GB2312" w:hAnsi="仿宋" w:eastAsia="仿宋_GB2312"/>
          <w:color w:val="auto"/>
          <w:sz w:val="32"/>
          <w:szCs w:val="32"/>
          <w:lang w:val="en-US" w:eastAsia="zh-CN"/>
        </w:rPr>
        <w:t>102.53</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rPr>
        <w:t>；</w:t>
      </w:r>
      <w:r>
        <w:rPr>
          <w:rFonts w:hint="eastAsia" w:ascii="仿宋_GB2312" w:hAnsi="仿宋" w:eastAsia="仿宋_GB2312" w:cs="仿宋_GB2312"/>
          <w:color w:val="auto"/>
          <w:sz w:val="32"/>
          <w:szCs w:val="32"/>
        </w:rPr>
        <w:t>医疗卫生与计划生育支出为</w:t>
      </w:r>
      <w:r>
        <w:rPr>
          <w:rFonts w:hint="eastAsia" w:ascii="仿宋_GB2312" w:hAnsi="仿宋" w:eastAsia="仿宋_GB2312"/>
          <w:color w:val="auto"/>
          <w:sz w:val="32"/>
          <w:szCs w:val="32"/>
          <w:lang w:val="en-US" w:eastAsia="zh-CN"/>
        </w:rPr>
        <w:t>41.95</w:t>
      </w:r>
      <w:r>
        <w:rPr>
          <w:rFonts w:hint="eastAsia" w:ascii="仿宋_GB2312" w:hAnsi="仿宋" w:eastAsia="仿宋_GB2312"/>
          <w:color w:val="auto"/>
          <w:sz w:val="32"/>
          <w:szCs w:val="32"/>
        </w:rPr>
        <w:t>万元</w:t>
      </w:r>
      <w:r>
        <w:rPr>
          <w:rFonts w:hint="eastAsia" w:ascii="仿宋_GB2312" w:hAnsi="仿宋" w:eastAsia="仿宋_GB2312" w:cs="仿宋_GB2312"/>
          <w:color w:val="auto"/>
          <w:sz w:val="32"/>
          <w:szCs w:val="32"/>
        </w:rPr>
        <w:t>；住房保障支出为</w:t>
      </w:r>
      <w:r>
        <w:rPr>
          <w:rFonts w:hint="eastAsia" w:ascii="仿宋_GB2312" w:hAnsi="仿宋" w:eastAsia="仿宋_GB2312"/>
          <w:color w:val="auto"/>
          <w:sz w:val="32"/>
          <w:szCs w:val="32"/>
          <w:lang w:val="en-US" w:eastAsia="zh-CN"/>
        </w:rPr>
        <w:t>60.50</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楷体_GB2312"/>
          <w:bCs/>
          <w:sz w:val="32"/>
          <w:szCs w:val="32"/>
          <w:lang w:val="en-US" w:eastAsia="zh-CN"/>
        </w:rPr>
        <w:t>1.</w:t>
      </w:r>
      <w:r>
        <w:rPr>
          <w:rFonts w:hint="eastAsia" w:ascii="仿宋" w:hAnsi="仿宋" w:eastAsia="仿宋" w:cs="楷体_GB2312"/>
          <w:bCs/>
          <w:sz w:val="32"/>
          <w:szCs w:val="32"/>
          <w:lang w:val="zh-CN"/>
        </w:rPr>
        <w:t>预算编制情况。</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我局</w:t>
      </w:r>
      <w:r>
        <w:rPr>
          <w:rFonts w:hint="eastAsia" w:ascii="仿宋_GB2312" w:hAns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hAnsi="仿宋" w:eastAsia="仿宋" w:cs="楷体_GB2312"/>
          <w:bCs/>
          <w:sz w:val="32"/>
          <w:szCs w:val="32"/>
          <w:lang w:val="zh-CN"/>
        </w:rPr>
        <w:t>较好地完成了</w:t>
      </w:r>
      <w:r>
        <w:rPr>
          <w:rFonts w:hint="eastAsia" w:ascii="仿宋" w:hAnsi="仿宋" w:eastAsia="仿宋" w:cs="楷体_GB2312"/>
          <w:bCs/>
          <w:sz w:val="32"/>
          <w:szCs w:val="32"/>
          <w:lang w:val="en-US" w:eastAsia="zh-CN"/>
        </w:rPr>
        <w:t>县司法局</w:t>
      </w:r>
      <w:r>
        <w:rPr>
          <w:rFonts w:hint="eastAsia" w:ascii="仿宋" w:hAnsi="仿宋" w:eastAsia="仿宋" w:cs="楷体_GB2312"/>
          <w:bCs/>
          <w:sz w:val="32"/>
          <w:szCs w:val="32"/>
          <w:lang w:val="zh-CN"/>
        </w:rPr>
        <w:t>预算编制工作，无违规行为</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zh-CN" w:eastAsia="zh-CN" w:bidi="ar-SA"/>
        </w:rPr>
        <w:t>执行管理情况。</w:t>
      </w:r>
      <w:r>
        <w:rPr>
          <w:rFonts w:hint="eastAsia" w:ascii="仿宋_GB2312" w:hAnsi="仿宋_GB2312" w:eastAsia="仿宋_GB2312" w:cs="仿宋_GB2312"/>
          <w:b w:val="0"/>
          <w:bCs w:val="0"/>
          <w:kern w:val="2"/>
          <w:sz w:val="32"/>
          <w:szCs w:val="32"/>
          <w:lang w:val="en-US" w:eastAsia="zh-CN" w:bidi="ar-SA"/>
        </w:rPr>
        <w:t>我局严格按照规定执行年度预算，</w:t>
      </w:r>
      <w:r>
        <w:rPr>
          <w:rFonts w:hint="eastAsia" w:ascii="仿宋_GB2312" w:hAnsi="仿宋_GB2312" w:eastAsia="仿宋_GB2312" w:cs="仿宋_GB2312"/>
          <w:b w:val="0"/>
          <w:bCs w:val="0"/>
          <w:sz w:val="32"/>
          <w:szCs w:val="32"/>
          <w:lang w:val="en-US" w:eastAsia="zh-CN"/>
        </w:rPr>
        <w:t>2023年度财政预算收入总计1051.22万元，</w:t>
      </w:r>
      <w:r>
        <w:rPr>
          <w:rFonts w:hint="eastAsia" w:ascii="仿宋_GB2312" w:hAnsi="仿宋" w:eastAsia="仿宋_GB2312" w:cs="仿宋_GB2312"/>
          <w:sz w:val="32"/>
          <w:szCs w:val="32"/>
        </w:rPr>
        <w:t>财政</w:t>
      </w:r>
      <w:r>
        <w:rPr>
          <w:rFonts w:hint="eastAsia" w:ascii="仿宋_GB2312" w:hAnsi="仿宋" w:eastAsia="仿宋_GB2312" w:cs="仿宋_GB2312"/>
          <w:sz w:val="32"/>
          <w:szCs w:val="32"/>
          <w:lang w:val="en-US" w:eastAsia="zh-CN"/>
        </w:rPr>
        <w:t>实际</w:t>
      </w:r>
      <w:r>
        <w:rPr>
          <w:rFonts w:hint="eastAsia" w:ascii="仿宋_GB2312" w:hAnsi="仿宋" w:eastAsia="仿宋_GB2312" w:cs="仿宋_GB2312"/>
          <w:sz w:val="32"/>
          <w:szCs w:val="32"/>
        </w:rPr>
        <w:t>支出总</w:t>
      </w:r>
      <w:r>
        <w:rPr>
          <w:rFonts w:hint="eastAsia" w:ascii="仿宋_GB2312" w:hAnsi="仿宋" w:eastAsia="仿宋_GB2312" w:cs="仿宋_GB2312"/>
          <w:sz w:val="32"/>
          <w:szCs w:val="32"/>
          <w:lang w:val="en-US" w:eastAsia="zh-CN"/>
        </w:rPr>
        <w:t>计1051.22</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当年预算支出完成率</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资金支出和使用完全按照相关规定操作，无违纪现象发生。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3.综合管理情况。我局现由专人负责预算绩效管理，并</w:t>
      </w:r>
      <w:r>
        <w:rPr>
          <w:rFonts w:hint="eastAsia" w:ascii="仿宋_GB2312" w:hAnsi="仿宋_GB2312" w:eastAsia="仿宋_GB2312" w:cs="仿宋_GB2312"/>
          <w:b w:val="0"/>
          <w:bCs w:val="0"/>
          <w:sz w:val="32"/>
          <w:szCs w:val="32"/>
          <w:lang w:val="zh-CN" w:eastAsia="zh-CN"/>
        </w:rPr>
        <w:t>根据财政局下发的文件要求</w:t>
      </w:r>
      <w:r>
        <w:rPr>
          <w:rFonts w:hint="eastAsia" w:ascii="仿宋_GB2312" w:hAnsi="仿宋_GB2312" w:eastAsia="仿宋_GB2312" w:cs="仿宋_GB2312"/>
          <w:b w:val="0"/>
          <w:bCs w:val="0"/>
          <w:sz w:val="32"/>
          <w:szCs w:val="32"/>
          <w:lang w:val="en-US" w:eastAsia="zh-CN"/>
        </w:rPr>
        <w:t>，建立“预算编制有目标、预算执行有监控、预算完成有评价、评价结果有反馈、反馈结果有应用”的全过程预算绩效管理机制，</w:t>
      </w:r>
      <w:r>
        <w:rPr>
          <w:rFonts w:hint="eastAsia" w:ascii="仿宋_GB2312" w:hAnsi="仿宋_GB2312" w:eastAsia="仿宋_GB2312" w:cs="仿宋_GB2312"/>
          <w:b w:val="0"/>
          <w:bCs w:val="0"/>
          <w:sz w:val="32"/>
          <w:szCs w:val="32"/>
          <w:lang w:val="zh-CN" w:eastAsia="zh-CN"/>
        </w:rPr>
        <w:t>做好财政收支工作，做好预算及决算工作，保证县</w:t>
      </w:r>
      <w:r>
        <w:rPr>
          <w:rFonts w:hint="eastAsia" w:ascii="仿宋_GB2312" w:hAnsi="仿宋_GB2312" w:eastAsia="仿宋_GB2312" w:cs="仿宋_GB2312"/>
          <w:b w:val="0"/>
          <w:bCs w:val="0"/>
          <w:sz w:val="32"/>
          <w:szCs w:val="32"/>
          <w:lang w:val="en-US" w:eastAsia="zh-CN"/>
        </w:rPr>
        <w:t>司法局</w:t>
      </w:r>
      <w:r>
        <w:rPr>
          <w:rFonts w:hint="eastAsia" w:ascii="仿宋_GB2312" w:hAnsi="仿宋_GB2312" w:eastAsia="仿宋_GB2312" w:cs="仿宋_GB2312"/>
          <w:b w:val="0"/>
          <w:bCs w:val="0"/>
          <w:sz w:val="32"/>
          <w:szCs w:val="32"/>
          <w:lang w:val="zh-CN" w:eastAsia="zh-CN"/>
        </w:rPr>
        <w:t>财务工作公开透明规范运行。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_GB2312"/>
          <w:bCs/>
          <w:sz w:val="32"/>
          <w:szCs w:val="32"/>
          <w:lang w:val="en-US" w:eastAsia="zh-CN"/>
        </w:rPr>
      </w:pPr>
      <w:r>
        <w:rPr>
          <w:rFonts w:hint="eastAsia" w:ascii="仿宋_GB2312" w:hAnsi="仿宋_GB2312" w:eastAsia="仿宋_GB2312" w:cs="仿宋_GB2312"/>
          <w:b w:val="0"/>
          <w:bCs w:val="0"/>
          <w:sz w:val="32"/>
          <w:szCs w:val="32"/>
          <w:lang w:val="en-US" w:eastAsia="zh-CN"/>
        </w:rPr>
        <w:t>我局现已完成部门预算编制工作，绩效目标指向明确，符合国民经济和社会发展规划、结合部门职能及事业发展规划等,特别在数量、质量、成本、时效、效益等方面进行了具体量化。</w:t>
      </w:r>
      <w:r>
        <w:rPr>
          <w:rFonts w:hint="eastAsia" w:ascii="仿宋" w:hAnsi="仿宋" w:eastAsia="仿宋" w:cs="仿宋"/>
          <w:sz w:val="31"/>
          <w:szCs w:val="31"/>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color w:val="auto"/>
          <w:sz w:val="32"/>
          <w:szCs w:val="32"/>
          <w:lang w:val="en-US" w:eastAsia="zh-CN"/>
        </w:rPr>
        <w:t>2023年度中央政法转移支付资金为170万元，本级财政资金为28.8万元，本年项目支付198.8万元，年末结余0万元。项目经费为一般行政管理事务、公共法律服务经费、法律顾问服务经费等，我局严格按照资金用途专款专用。无违规违纪现象发生</w:t>
      </w:r>
      <w:r>
        <w:rPr>
          <w:rFonts w:hint="eastAsia" w:ascii="仿宋_GB2312" w:hAnsi="仿宋"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结果应用情况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四、评价结论及建议</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（一）评价结论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 w:hAnsi="仿宋" w:eastAsia="仿宋" w:cs="楷体_GB2312"/>
          <w:bCs/>
          <w:sz w:val="32"/>
          <w:szCs w:val="32"/>
          <w:lang w:val="zh-CN"/>
        </w:rPr>
        <w:t>我</w:t>
      </w:r>
      <w:r>
        <w:rPr>
          <w:rFonts w:hint="eastAsia" w:ascii="仿宋" w:hAnsi="仿宋" w:eastAsia="仿宋" w:cs="楷体_GB2312"/>
          <w:bCs/>
          <w:sz w:val="32"/>
          <w:szCs w:val="32"/>
          <w:lang w:val="en-US" w:eastAsia="zh-CN"/>
        </w:rPr>
        <w:t>局</w:t>
      </w:r>
      <w:r>
        <w:rPr>
          <w:rFonts w:hint="eastAsia" w:ascii="仿宋_GB2312" w:hAnsi="仿宋"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财政局预算编制要求，按时完成</w:t>
      </w:r>
      <w:r>
        <w:rPr>
          <w:rFonts w:hint="eastAsia" w:ascii="仿宋_GB2312" w:hAnsi="仿宋" w:eastAsia="仿宋_GB2312" w:cs="仿宋_GB2312"/>
          <w:sz w:val="32"/>
          <w:szCs w:val="32"/>
          <w:lang w:val="en-US" w:eastAsia="zh-CN"/>
        </w:rPr>
        <w:t>本部门</w:t>
      </w:r>
      <w:r>
        <w:rPr>
          <w:rFonts w:hint="eastAsia" w:ascii="仿宋_GB2312" w:hAnsi="仿宋" w:eastAsia="仿宋_GB2312" w:cs="仿宋_GB2312"/>
          <w:sz w:val="32"/>
          <w:szCs w:val="32"/>
          <w:lang w:eastAsia="zh-CN"/>
        </w:rPr>
        <w:t>的预算编制工作并提交</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绩效目标制定不够完善，预算编制不够科学合理。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改进建议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性、效率性及效益性原则设置对应指标，提高绩效指标实用性。认真履行预算编报要求，提高预算编报的科学性。严格按照相关预算编报文件要求，结合近年来执行情况，合理编制各项预算，提高预算的科学性和准确性。</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mYTA0NjA3NmMwZWJlODQzOTA2NGNmZDNlNmI5N2UifQ=="/>
  </w:docVars>
  <w:rsids>
    <w:rsidRoot w:val="00491B22"/>
    <w:rsid w:val="00291808"/>
    <w:rsid w:val="00491B22"/>
    <w:rsid w:val="0052390C"/>
    <w:rsid w:val="01AA3E65"/>
    <w:rsid w:val="05435D83"/>
    <w:rsid w:val="0693088A"/>
    <w:rsid w:val="0CA44C5B"/>
    <w:rsid w:val="112577AA"/>
    <w:rsid w:val="20D46104"/>
    <w:rsid w:val="27CE42FE"/>
    <w:rsid w:val="29972AF3"/>
    <w:rsid w:val="2BA36789"/>
    <w:rsid w:val="2CCC463D"/>
    <w:rsid w:val="2F983DCA"/>
    <w:rsid w:val="33D4485E"/>
    <w:rsid w:val="36435EC2"/>
    <w:rsid w:val="3901386C"/>
    <w:rsid w:val="3DE356DF"/>
    <w:rsid w:val="41982E29"/>
    <w:rsid w:val="43686B13"/>
    <w:rsid w:val="437102AA"/>
    <w:rsid w:val="4B58309B"/>
    <w:rsid w:val="51786CFC"/>
    <w:rsid w:val="53782EE0"/>
    <w:rsid w:val="54CA6867"/>
    <w:rsid w:val="57365AEB"/>
    <w:rsid w:val="594737D8"/>
    <w:rsid w:val="59B1522C"/>
    <w:rsid w:val="5C71500A"/>
    <w:rsid w:val="60D032A5"/>
    <w:rsid w:val="61E45E33"/>
    <w:rsid w:val="63A62D82"/>
    <w:rsid w:val="66117BCF"/>
    <w:rsid w:val="697F2471"/>
    <w:rsid w:val="69AA16EA"/>
    <w:rsid w:val="6BDE1A5A"/>
    <w:rsid w:val="78322F0E"/>
    <w:rsid w:val="7A085D28"/>
    <w:rsid w:val="7EA144D7"/>
    <w:rsid w:val="EE2D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able of figures"/>
    <w:basedOn w:val="1"/>
    <w:next w:val="1"/>
    <w:unhideWhenUsed/>
    <w:qFormat/>
    <w:uiPriority w:val="99"/>
    <w:pPr>
      <w:ind w:left="200" w:leftChars="200" w:hanging="200" w:hangingChars="200"/>
    </w:pPr>
  </w:style>
  <w:style w:type="paragraph" w:styleId="5">
    <w:name w:val="Normal (Web)"/>
    <w:basedOn w:val="1"/>
    <w:qFormat/>
    <w:uiPriority w:val="0"/>
    <w:pPr>
      <w:spacing w:before="100" w:beforeAutospacing="1" w:after="100" w:afterAutospacing="1"/>
      <w:jc w:val="left"/>
    </w:pPr>
    <w:rPr>
      <w:rFonts w:eastAsia="宋体"/>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2450</Words>
  <Characters>2567</Characters>
  <Lines>2</Lines>
  <Paragraphs>1</Paragraphs>
  <TotalTime>2</TotalTime>
  <ScaleCrop>false</ScaleCrop>
  <LinksUpToDate>false</LinksUpToDate>
  <CharactersWithSpaces>2567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2024-11-22T17:27:05Z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C0FD8F207129418E957F274EA98D553D</vt:lpwstr>
  </property>
</Properties>
</file>