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cs="宋体"/>
          <w:b/>
          <w:bCs/>
          <w:color w:val="FF0000"/>
          <w:w w:val="79"/>
          <w:sz w:val="60"/>
          <w:szCs w:val="60"/>
        </w:rPr>
      </w:pPr>
      <w:r>
        <w:rPr>
          <w:rFonts w:hint="eastAsia"/>
        </w:rPr>
        <w:drawing>
          <wp:anchor distT="0" distB="0" distL="114300" distR="114300" simplePos="0" relativeHeight="251659264" behindDoc="1" locked="0" layoutInCell="1" allowOverlap="1">
            <wp:simplePos x="0" y="0"/>
            <wp:positionH relativeFrom="column">
              <wp:posOffset>25400</wp:posOffset>
            </wp:positionH>
            <wp:positionV relativeFrom="paragraph">
              <wp:posOffset>162560</wp:posOffset>
            </wp:positionV>
            <wp:extent cx="5412740" cy="516255"/>
            <wp:effectExtent l="0" t="0" r="12700" b="1905"/>
            <wp:wrapNone/>
            <wp:docPr id="7" name="图片 8" descr="统计局文件头子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统计局文件头子11"/>
                    <pic:cNvPicPr>
                      <a:picLocks noChangeAspect="1"/>
                    </pic:cNvPicPr>
                  </pic:nvPicPr>
                  <pic:blipFill>
                    <a:blip r:embed="rId6"/>
                    <a:stretch>
                      <a:fillRect/>
                    </a:stretch>
                  </pic:blipFill>
                  <pic:spPr>
                    <a:xfrm>
                      <a:off x="0" y="0"/>
                      <a:ext cx="5412641" cy="516255"/>
                    </a:xfrm>
                    <a:prstGeom prst="rect">
                      <a:avLst/>
                    </a:prstGeom>
                    <a:noFill/>
                    <a:ln w="9525" cap="flat" cmpd="sng">
                      <a:noFill/>
                      <a:prstDash val="solid"/>
                      <a:round/>
                    </a:ln>
                  </pic:spPr>
                </pic:pic>
              </a:graphicData>
            </a:graphic>
          </wp:anchor>
        </w:drawing>
      </w:r>
    </w:p>
    <w:p>
      <w:pPr>
        <w:rPr>
          <w:rFonts w:hint="eastAsia" w:ascii="宋体" w:cs="宋体"/>
          <w:w w:val="79"/>
          <w:sz w:val="136"/>
          <w:szCs w:val="136"/>
        </w:rPr>
      </w:pPr>
      <w:r>
        <w:rPr>
          <w:rFonts w:hint="eastAsia" w:ascii="宋体" w:cs="宋体"/>
          <w:b/>
          <w:bCs/>
          <w:color w:val="FF0000"/>
          <w:w w:val="79"/>
          <w:sz w:val="136"/>
          <w:szCs w:val="136"/>
        </w:rPr>
        <w:t>黑水县统计局文件</w:t>
      </w:r>
    </w:p>
    <w:p>
      <w:pPr>
        <w:spacing w:line="460" w:lineRule="exact"/>
        <w:ind w:left="0" w:right="38" w:rightChars="12"/>
        <w:jc w:val="center"/>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rPr>
        <w:t>黑统计〔</w:t>
      </w:r>
      <w:r>
        <w:rPr>
          <w:rFonts w:ascii="Times New Roman" w:hAnsi="Times New Roman" w:eastAsia="仿宋_GB2312" w:cs="Times New Roman"/>
          <w:sz w:val="32"/>
          <w:szCs w:val="32"/>
          <w:lang w:val="en-US" w:eastAsia="zh-CN"/>
        </w:rPr>
        <w:t>2026</w:t>
      </w:r>
      <w:r>
        <w:rPr>
          <w:rFonts w:ascii="Times New Roman" w:hAnsi="Times New Roman" w:eastAsia="仿宋_GB2312" w:cs="Times New Roman"/>
          <w:sz w:val="32"/>
          <w:szCs w:val="32"/>
        </w:rPr>
        <w:t>〕</w:t>
      </w:r>
      <w:r>
        <w:rPr>
          <w:rFonts w:hint="eastAsia" w:cs="Times New Roman"/>
          <w:sz w:val="32"/>
          <w:szCs w:val="32"/>
          <w:lang w:val="en-US" w:eastAsia="zh-CN"/>
        </w:rPr>
        <w:t>5</w:t>
      </w:r>
      <w:r>
        <w:rPr>
          <w:rFonts w:ascii="Times New Roman" w:hAnsi="Times New Roman" w:eastAsia="仿宋_GB2312" w:cs="Times New Roman"/>
          <w:sz w:val="32"/>
          <w:szCs w:val="32"/>
        </w:rPr>
        <w:t>号</w:t>
      </w:r>
    </w:p>
    <w:p>
      <w:pPr>
        <w:spacing w:line="560" w:lineRule="exact"/>
        <w:jc w:val="center"/>
        <w:rPr>
          <w:rFonts w:ascii="Times New Roman" w:hAnsi="Times New Roman" w:eastAsia="方正小标宋_GBK" w:cs="Times New Roman"/>
          <w:sz w:val="44"/>
          <w:szCs w:val="44"/>
          <w:lang w:val="en-US" w:eastAsia="zh-CN"/>
        </w:rPr>
      </w:pPr>
      <w:r>
        <w:rPr>
          <w:rFonts w:ascii="Times New Roman" w:hAnsi="Times New Roman" w:eastAsia="仿宋" w:cs="Times New Roman"/>
          <w:sz w:val="32"/>
          <w:szCs w:val="32"/>
        </w:rPr>
        <w:pict>
          <v:line id="直接连接符 3" o:spid="_x0000_s2053" o:spt="20" style="position:absolute;left:0pt;flip:y;margin-left:-1.9pt;margin-top:4.3pt;height:0.55pt;width:435.95pt;z-index:251659264;mso-width-relative:page;mso-height-relative:page;" filled="f" stroked="t" coordsize="21600,21600" o:gfxdata="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5Qtgw1QAAAAYBAAAPAAAAAAAAAAEAIAAAACIAAABkcnMvZG93bnJl&#10;di54bWxQSwECFAAUAAAACACHTuJA680/eDkCAABKBAAADgAAAAAAAAABACAAAAAkAQAAZHJzL2Uy&#10;b0RvYy54bWxQSwUGAAAAAAYABgBZAQAAzwUAAAAA&#10;">
            <v:path arrowok="t"/>
            <v:fill on="f" focussize="0,0"/>
            <v:stroke weight="5pt" color="#FF0000" linestyle="thickThin" joinstyle="miter"/>
            <v:imagedata o:title=""/>
            <o:lock v:ext="edit" aspectratio="f"/>
          </v:line>
        </w:pict>
      </w:r>
    </w:p>
    <w:p>
      <w:pPr>
        <w:widowControl/>
        <w:spacing w:line="578" w:lineRule="exact"/>
        <w:contextualSpacing/>
        <w:jc w:val="left"/>
        <w:rPr>
          <w:rFonts w:eastAsia="宋体"/>
          <w:b/>
          <w:sz w:val="44"/>
          <w:szCs w:val="44"/>
          <w:shd w:val="clear" w:color="auto" w:fill="FFFFFF"/>
        </w:rPr>
      </w:pPr>
    </w:p>
    <w:p>
      <w:pPr>
        <w:keepNext w:val="0"/>
        <w:keepLines w:val="0"/>
        <w:pageBreakBefore w:val="0"/>
        <w:widowControl/>
        <w:kinsoku/>
        <w:wordWrap/>
        <w:overflowPunct/>
        <w:topLinePunct w:val="0"/>
        <w:bidi w:val="0"/>
        <w:spacing w:line="550" w:lineRule="exact"/>
        <w:ind w:firstLine="3092" w:firstLineChars="700"/>
        <w:jc w:val="both"/>
        <w:rPr>
          <w:rFonts w:hint="eastAsia" w:ascii="方正小标宋简体" w:eastAsia="方正小标宋简体"/>
          <w:b/>
          <w:bCs/>
          <w:sz w:val="44"/>
          <w:szCs w:val="44"/>
          <w:shd w:val="clear" w:color="auto" w:fill="FFFFFF"/>
          <w:lang w:val="en-US" w:eastAsia="zh-CN"/>
        </w:rPr>
      </w:pPr>
      <w:r>
        <w:rPr>
          <w:rFonts w:hint="eastAsia" w:ascii="方正小标宋简体" w:eastAsia="方正小标宋简体"/>
          <w:b/>
          <w:bCs/>
          <w:sz w:val="44"/>
          <w:szCs w:val="44"/>
          <w:shd w:val="clear" w:color="auto" w:fill="FFFFFF"/>
          <w:lang w:val="en-US" w:eastAsia="zh-CN"/>
        </w:rPr>
        <w:t>黑水县统计局</w:t>
      </w:r>
    </w:p>
    <w:p>
      <w:pPr>
        <w:keepNext w:val="0"/>
        <w:keepLines w:val="0"/>
        <w:pageBreakBefore w:val="0"/>
        <w:widowControl/>
        <w:kinsoku/>
        <w:wordWrap/>
        <w:overflowPunct/>
        <w:topLinePunct w:val="0"/>
        <w:bidi w:val="0"/>
        <w:spacing w:line="550" w:lineRule="exact"/>
        <w:jc w:val="center"/>
        <w:rPr>
          <w:rFonts w:hint="eastAsia" w:eastAsia="黑体" w:cs="Times New Roman"/>
          <w:color w:val="000000"/>
          <w:kern w:val="0"/>
          <w:sz w:val="44"/>
          <w:szCs w:val="44"/>
          <w:highlight w:val="none"/>
          <w:shd w:val="clear" w:color="auto" w:fill="FFFFFF"/>
          <w:lang w:val="zh-CN"/>
        </w:rPr>
      </w:pPr>
      <w:r>
        <w:rPr>
          <w:rFonts w:hint="eastAsia" w:ascii="方正小标宋简体" w:eastAsia="方正小标宋简体"/>
          <w:b/>
          <w:bCs/>
          <w:sz w:val="44"/>
          <w:szCs w:val="44"/>
          <w:shd w:val="clear" w:color="auto" w:fill="FFFFFF"/>
        </w:rPr>
        <w:t>202</w:t>
      </w:r>
      <w:r>
        <w:rPr>
          <w:rFonts w:hint="eastAsia" w:ascii="方正小标宋简体" w:eastAsia="方正小标宋简体"/>
          <w:b/>
          <w:bCs/>
          <w:sz w:val="44"/>
          <w:szCs w:val="44"/>
          <w:shd w:val="clear" w:color="auto" w:fill="FFFFFF"/>
          <w:lang w:val="en-US" w:eastAsia="zh-CN"/>
        </w:rPr>
        <w:t>5</w:t>
      </w:r>
      <w:r>
        <w:rPr>
          <w:rFonts w:hint="eastAsia" w:ascii="方正小标宋简体" w:eastAsia="方正小标宋简体"/>
          <w:b/>
          <w:bCs/>
          <w:sz w:val="44"/>
          <w:szCs w:val="44"/>
          <w:shd w:val="clear" w:color="auto" w:fill="FFFFFF"/>
        </w:rPr>
        <w:t>年</w:t>
      </w:r>
      <w:r>
        <w:rPr>
          <w:rFonts w:hint="eastAsia" w:ascii="方正小标宋简体" w:eastAsia="方正小标宋简体"/>
          <w:b/>
          <w:bCs/>
          <w:sz w:val="44"/>
          <w:szCs w:val="44"/>
          <w:shd w:val="clear" w:color="auto" w:fill="FFFFFF"/>
          <w:lang w:val="en-US" w:eastAsia="zh-CN"/>
        </w:rPr>
        <w:t>度</w:t>
      </w:r>
      <w:r>
        <w:rPr>
          <w:rFonts w:hint="eastAsia" w:ascii="方正小标宋简体" w:eastAsia="方正小标宋简体"/>
          <w:b/>
          <w:bCs/>
          <w:sz w:val="44"/>
          <w:szCs w:val="44"/>
          <w:shd w:val="clear" w:color="auto" w:fill="FFFFFF"/>
        </w:rPr>
        <w:t>部门整体支出绩效</w:t>
      </w:r>
      <w:r>
        <w:rPr>
          <w:rFonts w:hint="eastAsia" w:ascii="方正小标宋简体" w:eastAsia="方正小标宋简体"/>
          <w:b/>
          <w:bCs/>
          <w:sz w:val="44"/>
          <w:szCs w:val="44"/>
          <w:shd w:val="clear" w:color="auto" w:fill="FFFFFF"/>
          <w:lang w:val="en-US" w:eastAsia="zh-CN"/>
        </w:rPr>
        <w:t>自评</w:t>
      </w:r>
      <w:r>
        <w:rPr>
          <w:rFonts w:hint="eastAsia" w:ascii="方正小标宋简体" w:eastAsia="方正小标宋简体"/>
          <w:b/>
          <w:bCs/>
          <w:sz w:val="44"/>
          <w:szCs w:val="44"/>
          <w:shd w:val="clear" w:color="auto" w:fill="FFFFFF"/>
        </w:rPr>
        <w:t>报告</w:t>
      </w: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szCs w:val="32"/>
        </w:rPr>
      </w:pPr>
      <w:r>
        <w:rPr>
          <w:rFonts w:eastAsia="黑体"/>
          <w:color w:val="000000"/>
          <w:kern w:val="0"/>
          <w:szCs w:val="32"/>
          <w:shd w:val="clear" w:color="auto" w:fill="FFFFFF"/>
          <w:lang w:val="zh-CN"/>
        </w:rPr>
        <w:t>一、部门（单位）基本情况</w:t>
      </w:r>
    </w:p>
    <w:p>
      <w:pPr>
        <w:widowControl/>
        <w:adjustRightInd w:val="0"/>
        <w:snapToGrid w:val="0"/>
        <w:spacing w:line="578" w:lineRule="exact"/>
        <w:ind w:firstLine="642" w:firstLineChars="200"/>
        <w:contextualSpacing/>
        <w:jc w:val="left"/>
        <w:rPr>
          <w:rFonts w:hint="eastAsia" w:ascii="仿宋_GB2312" w:hAnsi="仿宋_GB2312" w:cs="仿宋_GB2312"/>
          <w:sz w:val="32"/>
          <w:szCs w:val="32"/>
          <w:lang w:val="en-US" w:eastAsia="zh-CN"/>
        </w:rPr>
      </w:pPr>
      <w:r>
        <w:rPr>
          <w:rFonts w:eastAsia="楷体_GB2312"/>
          <w:b/>
          <w:bCs/>
          <w:color w:val="000000"/>
          <w:kern w:val="0"/>
          <w:szCs w:val="32"/>
          <w:shd w:val="clear" w:color="auto" w:fill="FFFFFF"/>
          <w:lang w:val="zh-CN"/>
        </w:rPr>
        <w:t>（一）机构组成。</w:t>
      </w:r>
      <w:r>
        <w:rPr>
          <w:rFonts w:hint="eastAsia" w:ascii="仿宋_GB2312" w:hAnsi="仿宋_GB2312" w:eastAsia="仿宋_GB2312" w:cs="仿宋_GB2312"/>
          <w:sz w:val="32"/>
          <w:szCs w:val="32"/>
        </w:rPr>
        <w:t>我局内设</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股1室（综合统计股(执法监督股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、办公室）。下设参公事业单位黑水县统计局普查中心。</w:t>
      </w:r>
      <w:r>
        <w:rPr>
          <w:rFonts w:hint="eastAsia" w:ascii="仿宋_GB2312" w:hAnsi="仿宋_GB2312" w:cs="仿宋_GB2312"/>
          <w:sz w:val="32"/>
          <w:szCs w:val="32"/>
          <w:lang w:val="en-US" w:eastAsia="zh-CN"/>
        </w:rPr>
        <w:t xml:space="preserve">   </w:t>
      </w:r>
    </w:p>
    <w:p>
      <w:pPr>
        <w:keepNext w:val="0"/>
        <w:keepLines w:val="0"/>
        <w:pageBreakBefore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sz w:val="32"/>
          <w:szCs w:val="32"/>
        </w:rPr>
      </w:pPr>
      <w:r>
        <w:rPr>
          <w:rFonts w:eastAsia="楷体_GB2312"/>
          <w:b/>
          <w:bCs/>
          <w:color w:val="000000"/>
          <w:kern w:val="0"/>
          <w:szCs w:val="32"/>
          <w:shd w:val="clear" w:color="auto" w:fill="FFFFFF"/>
          <w:lang w:val="zh-CN"/>
        </w:rPr>
        <w:t>（二）机构职能。</w:t>
      </w:r>
      <w:r>
        <w:rPr>
          <w:rFonts w:hint="eastAsia" w:ascii="仿宋_GB2312" w:hAnsi="仿宋_GB2312" w:eastAsia="仿宋_GB2312" w:cs="仿宋_GB2312"/>
          <w:sz w:val="32"/>
          <w:szCs w:val="32"/>
        </w:rPr>
        <w:t>承担全县统计工作，负责组织实施国家、省、州统计局及县委、县政府下达的统计调查任务；组织领导和综合协调各乡镇、各部门的统计和国民经济核算工作；在县政府统一领导下，会同有关部门组织实施重大的国情国力普查；负责组织协调各乡镇、各部门的统计调查、社会经济调查、社会监测；负责对国民经济、社会发展进行统计分析、统计预测和统计监督，向县委、县政府及有关部门提供统计信息和咨询建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统一核定、管理、公布、出版全县性的基本统计资料，定期向社会发布全县国民经济和社会发展情况统计公报；依照《</w:t>
      </w:r>
      <w:r>
        <w:rPr>
          <w:rFonts w:hint="default" w:ascii="仿宋_GB2312" w:hAnsi="仿宋_GB2312" w:cs="仿宋_GB2312"/>
          <w:sz w:val="32"/>
          <w:szCs w:val="32"/>
        </w:rPr>
        <w:t>中华人民共和国</w:t>
      </w:r>
      <w:r>
        <w:rPr>
          <w:rFonts w:hint="eastAsia" w:ascii="仿宋_GB2312" w:hAnsi="仿宋_GB2312" w:eastAsia="仿宋_GB2312" w:cs="仿宋_GB2312"/>
          <w:sz w:val="32"/>
          <w:szCs w:val="32"/>
        </w:rPr>
        <w:t>统计法》和《统计法实施细则》及《四川省统计管理条例》的有关规定，监督各乡镇、各部门对统计法律法规的贯彻实施，组织统计执法检查，查处统计违法案件。承办县委、县政府和上级机关交办的其他事项。</w:t>
      </w:r>
    </w:p>
    <w:p>
      <w:pPr>
        <w:spacing w:line="578" w:lineRule="exact"/>
        <w:ind w:firstLine="642" w:firstLineChars="200"/>
        <w:jc w:val="left"/>
        <w:rPr>
          <w:szCs w:val="32"/>
        </w:rPr>
      </w:pPr>
      <w:r>
        <w:rPr>
          <w:rFonts w:eastAsia="楷体_GB2312"/>
          <w:b/>
          <w:bCs/>
          <w:color w:val="000000"/>
          <w:kern w:val="0"/>
          <w:szCs w:val="32"/>
          <w:shd w:val="clear" w:color="auto" w:fill="FFFFFF"/>
          <w:lang w:val="zh-CN"/>
        </w:rPr>
        <w:t>（三）人员概况。</w:t>
      </w:r>
      <w:r>
        <w:rPr>
          <w:szCs w:val="32"/>
        </w:rPr>
        <w:t>截至202</w:t>
      </w:r>
      <w:r>
        <w:rPr>
          <w:rFonts w:hint="eastAsia"/>
          <w:szCs w:val="32"/>
        </w:rPr>
        <w:t>5</w:t>
      </w:r>
      <w:r>
        <w:rPr>
          <w:szCs w:val="32"/>
        </w:rPr>
        <w:t>年末，</w:t>
      </w:r>
      <w:r>
        <w:rPr>
          <w:rFonts w:hint="eastAsia" w:ascii="仿宋_GB2312" w:hAnsi="仿宋_GB2312" w:eastAsia="仿宋_GB2312" w:cs="仿宋_GB2312"/>
          <w:sz w:val="32"/>
          <w:szCs w:val="32"/>
        </w:rPr>
        <w:t>县统计局行政编制</w:t>
      </w:r>
      <w:r>
        <w:rPr>
          <w:rFonts w:hint="eastAsia" w:ascii="仿宋_GB2312" w:hAnsi="仿宋_GB2312" w:cs="仿宋_GB2312"/>
          <w:sz w:val="32"/>
          <w:szCs w:val="32"/>
          <w:lang w:val="en-US" w:eastAsia="zh-CN"/>
        </w:rPr>
        <w:t>8</w:t>
      </w:r>
      <w:r>
        <w:rPr>
          <w:rFonts w:hint="eastAsia" w:ascii="仿宋_GB2312" w:hAnsi="仿宋_GB2312" w:eastAsia="仿宋_GB2312" w:cs="仿宋_GB2312"/>
          <w:sz w:val="32"/>
          <w:szCs w:val="32"/>
        </w:rPr>
        <w:t>名，其中：局长1名，副局长2名，股级领导职数2名</w:t>
      </w:r>
      <w:r>
        <w:rPr>
          <w:rFonts w:hint="eastAsia" w:ascii="仿宋_GB2312" w:hAnsi="仿宋_GB2312" w:cs="仿宋_GB2312"/>
          <w:sz w:val="32"/>
          <w:szCs w:val="32"/>
          <w:lang w:val="en-US" w:eastAsia="zh-CN"/>
        </w:rPr>
        <w:t>,行政人员3名</w:t>
      </w:r>
      <w:r>
        <w:rPr>
          <w:rFonts w:hint="eastAsia" w:ascii="仿宋_GB2312" w:hAnsi="仿宋_GB2312" w:eastAsia="仿宋_GB2312" w:cs="仿宋_GB2312"/>
          <w:sz w:val="32"/>
          <w:szCs w:val="32"/>
        </w:rPr>
        <w:t>。机关工勤人员事业编制</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县统计局普查中心事业编制6</w:t>
      </w:r>
      <w:r>
        <w:rPr>
          <w:rFonts w:hint="eastAsia" w:ascii="仿宋_GB2312" w:hAnsi="仿宋_GB2312" w:eastAsia="仿宋_GB2312" w:cs="仿宋_GB2312"/>
          <w:sz w:val="32"/>
          <w:szCs w:val="32"/>
          <w:lang w:eastAsia="zh-CN"/>
        </w:rPr>
        <w:t>名。在岗人员</w:t>
      </w: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sz w:val="32"/>
          <w:szCs w:val="32"/>
        </w:rPr>
        <w:t>行政人员</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人，行政工勤3人，事业人员</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人。</w:t>
      </w:r>
    </w:p>
    <w:p>
      <w:pPr>
        <w:widowControl/>
        <w:adjustRightInd w:val="0"/>
        <w:snapToGrid w:val="0"/>
        <w:spacing w:line="578"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pPr>
        <w:widowControl/>
        <w:adjustRightInd w:val="0"/>
        <w:snapToGrid w:val="0"/>
        <w:spacing w:line="578" w:lineRule="exact"/>
        <w:ind w:firstLine="642" w:firstLineChars="200"/>
        <w:contextualSpacing/>
        <w:jc w:val="left"/>
        <w:rPr>
          <w:rFonts w:hint="eastAsia" w:cs="Times New Roman"/>
          <w:szCs w:val="32"/>
          <w:lang w:val="en-US" w:eastAsia="zh-CN"/>
        </w:rPr>
      </w:pPr>
      <w:r>
        <w:rPr>
          <w:rFonts w:eastAsia="楷体_GB2312"/>
          <w:b/>
          <w:bCs/>
          <w:color w:val="000000"/>
          <w:kern w:val="0"/>
          <w:szCs w:val="32"/>
          <w:shd w:val="clear" w:color="auto" w:fill="FFFFFF"/>
          <w:lang w:val="zh-CN"/>
        </w:rPr>
        <w:t>（一）收入情况。</w:t>
      </w:r>
      <w:r>
        <w:rPr>
          <w:rFonts w:hint="eastAsia" w:cs="Times New Roman"/>
          <w:szCs w:val="32"/>
          <w:lang w:val="en-US" w:eastAsia="zh-CN"/>
        </w:rPr>
        <w:t>2025年年初预算收入454.03万元、决算报表收入454.03万元，其中：</w:t>
      </w:r>
      <w:r>
        <w:rPr>
          <w:rFonts w:hint="eastAsia" w:ascii="仿宋_GB2312" w:hAnsi="仿宋_GB2312" w:eastAsia="仿宋_GB2312" w:cs="仿宋_GB2312"/>
          <w:sz w:val="32"/>
          <w:szCs w:val="32"/>
          <w:highlight w:val="none"/>
        </w:rPr>
        <w:t>一般公共预算</w:t>
      </w:r>
      <w:r>
        <w:rPr>
          <w:rFonts w:hint="eastAsia" w:ascii="仿宋_GB2312" w:hAnsi="仿宋_GB2312" w:eastAsia="仿宋_GB2312" w:cs="仿宋_GB2312"/>
          <w:sz w:val="32"/>
          <w:szCs w:val="32"/>
          <w:highlight w:val="none"/>
          <w:lang w:eastAsia="zh-CN"/>
        </w:rPr>
        <w:t>收入</w:t>
      </w:r>
      <w:r>
        <w:rPr>
          <w:rFonts w:hint="eastAsia" w:ascii="Times New Roman" w:hAnsi="Times New Roman" w:cs="Times New Roman"/>
          <w:szCs w:val="32"/>
          <w:lang w:val="en-US" w:eastAsia="zh-CN"/>
        </w:rPr>
        <w:t>预算</w:t>
      </w:r>
      <w:r>
        <w:rPr>
          <w:rFonts w:hint="eastAsia" w:cs="Times New Roman"/>
          <w:szCs w:val="32"/>
          <w:lang w:val="en-US" w:eastAsia="zh-CN"/>
        </w:rPr>
        <w:t>454.03</w:t>
      </w:r>
      <w:r>
        <w:rPr>
          <w:rFonts w:hint="eastAsia" w:ascii="Times New Roman" w:hAnsi="Times New Roman" w:cs="Times New Roman"/>
          <w:szCs w:val="32"/>
          <w:lang w:val="en-US" w:eastAsia="zh-CN"/>
        </w:rPr>
        <w:t>万元，与决算差异为0万元，差异率为0%</w:t>
      </w:r>
      <w:r>
        <w:rPr>
          <w:rFonts w:hint="eastAsia" w:cs="Times New Roman"/>
          <w:szCs w:val="32"/>
          <w:lang w:val="en-US" w:eastAsia="zh-CN"/>
        </w:rPr>
        <w:t>。</w:t>
      </w:r>
    </w:p>
    <w:p>
      <w:pPr>
        <w:widowControl/>
        <w:adjustRightInd w:val="0"/>
        <w:snapToGrid w:val="0"/>
        <w:spacing w:line="578" w:lineRule="exact"/>
        <w:ind w:firstLine="642" w:firstLineChars="200"/>
        <w:contextualSpacing/>
        <w:jc w:val="left"/>
        <w:rPr>
          <w:szCs w:val="32"/>
          <w:lang w:val="zh-CN"/>
        </w:rPr>
      </w:pPr>
      <w:r>
        <w:rPr>
          <w:rFonts w:eastAsia="楷体_GB2312"/>
          <w:b/>
          <w:bCs/>
          <w:color w:val="000000"/>
          <w:kern w:val="0"/>
          <w:szCs w:val="32"/>
          <w:shd w:val="clear" w:color="auto" w:fill="FFFFFF"/>
          <w:lang w:val="zh-CN"/>
        </w:rPr>
        <w:t>（二）支出情况。</w:t>
      </w:r>
      <w:bookmarkStart w:id="0" w:name="_Toc7746"/>
      <w:bookmarkStart w:id="1" w:name="_Toc27912"/>
      <w:bookmarkStart w:id="2" w:name="_Toc4608"/>
      <w:bookmarkStart w:id="3" w:name="_Toc11423"/>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年度支出合计</w:t>
      </w:r>
      <w:r>
        <w:rPr>
          <w:rFonts w:hint="eastAsia" w:cs="Times New Roman"/>
          <w:szCs w:val="32"/>
          <w:lang w:val="en-US" w:eastAsia="zh-CN"/>
        </w:rPr>
        <w:t>454.03</w:t>
      </w:r>
      <w:r>
        <w:rPr>
          <w:rFonts w:hint="eastAsia" w:ascii="仿宋" w:hAnsi="仿宋" w:eastAsia="仿宋"/>
          <w:sz w:val="32"/>
          <w:szCs w:val="32"/>
        </w:rPr>
        <w:t>万元，其中：基本支出</w:t>
      </w:r>
      <w:r>
        <w:rPr>
          <w:rFonts w:hint="eastAsia" w:ascii="仿宋" w:hAnsi="仿宋" w:eastAsia="仿宋"/>
          <w:b/>
          <w:sz w:val="32"/>
          <w:szCs w:val="32"/>
          <w:lang w:val="en-US" w:eastAsia="zh-CN"/>
        </w:rPr>
        <w:t>344.08</w:t>
      </w:r>
      <w:r>
        <w:rPr>
          <w:rFonts w:hint="eastAsia" w:ascii="仿宋" w:hAnsi="仿宋" w:eastAsia="仿宋"/>
          <w:sz w:val="32"/>
          <w:szCs w:val="32"/>
        </w:rPr>
        <w:t>万元，占</w:t>
      </w:r>
      <w:r>
        <w:rPr>
          <w:rFonts w:hint="eastAsia" w:ascii="仿宋" w:hAnsi="仿宋" w:eastAsia="仿宋"/>
          <w:b/>
          <w:sz w:val="32"/>
          <w:szCs w:val="32"/>
          <w:lang w:val="en-US" w:eastAsia="zh-CN"/>
        </w:rPr>
        <w:t>75.79</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b/>
          <w:sz w:val="32"/>
          <w:szCs w:val="32"/>
          <w:lang w:val="en-US" w:eastAsia="zh-CN"/>
        </w:rPr>
        <w:t>109.94</w:t>
      </w:r>
      <w:r>
        <w:rPr>
          <w:rFonts w:hint="eastAsia" w:ascii="仿宋" w:hAnsi="仿宋" w:eastAsia="仿宋"/>
          <w:sz w:val="32"/>
          <w:szCs w:val="32"/>
        </w:rPr>
        <w:t>万元，占</w:t>
      </w:r>
      <w:r>
        <w:rPr>
          <w:rFonts w:hint="eastAsia" w:ascii="仿宋" w:hAnsi="仿宋" w:eastAsia="仿宋"/>
          <w:b/>
          <w:sz w:val="32"/>
          <w:szCs w:val="32"/>
          <w:lang w:val="en-US" w:eastAsia="zh-CN"/>
        </w:rPr>
        <w:t>24.21</w:t>
      </w:r>
      <w:r>
        <w:rPr>
          <w:rFonts w:ascii="仿宋" w:hAnsi="仿宋" w:eastAsia="仿宋"/>
          <w:sz w:val="32"/>
          <w:szCs w:val="32"/>
        </w:rPr>
        <w:t>%</w:t>
      </w:r>
      <w:bookmarkEnd w:id="0"/>
      <w:bookmarkEnd w:id="1"/>
      <w:bookmarkEnd w:id="2"/>
      <w:bookmarkEnd w:id="3"/>
      <w:r>
        <w:rPr>
          <w:rFonts w:hint="eastAsia" w:ascii="仿宋" w:hAnsi="仿宋" w:eastAsia="仿宋"/>
          <w:sz w:val="32"/>
          <w:szCs w:val="32"/>
          <w:lang w:eastAsia="zh-CN"/>
        </w:rPr>
        <w:t>，</w:t>
      </w:r>
      <w:r>
        <w:rPr>
          <w:rFonts w:hint="eastAsia" w:ascii="Times New Roman" w:hAnsi="Times New Roman" w:cs="Times New Roman"/>
          <w:szCs w:val="32"/>
          <w:lang w:val="en-US" w:eastAsia="zh-CN"/>
        </w:rPr>
        <w:t>与决算差异为0万元，差异率为0%</w:t>
      </w:r>
      <w:r>
        <w:rPr>
          <w:rFonts w:hint="eastAsia" w:cs="Times New Roman"/>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eastAsia="楷体_GB2312"/>
          <w:b/>
          <w:bCs/>
          <w:color w:val="000000"/>
          <w:kern w:val="0"/>
          <w:szCs w:val="32"/>
          <w:shd w:val="clear" w:color="auto" w:fill="FFFFFF"/>
          <w:lang w:val="zh-CN"/>
        </w:rPr>
        <w:t>（三）</w:t>
      </w:r>
      <w:r>
        <w:rPr>
          <w:rFonts w:eastAsia="楷体_GB2312"/>
          <w:b/>
          <w:szCs w:val="32"/>
        </w:rPr>
        <w:t>结余分配和结转结余情况。</w:t>
      </w:r>
      <w:r>
        <w:rPr>
          <w:rFonts w:hint="eastAsia" w:cs="Times New Roman"/>
          <w:szCs w:val="32"/>
          <w:lang w:val="en-US" w:eastAsia="zh-CN"/>
        </w:rPr>
        <w:t>2025年</w:t>
      </w:r>
      <w:r>
        <w:rPr>
          <w:rFonts w:hint="eastAsia" w:ascii="Times New Roman" w:hAnsi="Times New Roman" w:cs="Times New Roman"/>
          <w:szCs w:val="32"/>
          <w:lang w:val="en-US" w:eastAsia="zh-CN"/>
        </w:rPr>
        <w:t>决算报表</w:t>
      </w:r>
      <w:r>
        <w:rPr>
          <w:rFonts w:hint="eastAsia" w:cs="Times New Roman"/>
          <w:szCs w:val="32"/>
          <w:lang w:val="en-US" w:eastAsia="zh-CN"/>
        </w:rPr>
        <w:t>无</w:t>
      </w:r>
      <w:r>
        <w:rPr>
          <w:rFonts w:hint="default"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情况</w:t>
      </w:r>
      <w:r>
        <w:rPr>
          <w:rFonts w:hint="default" w:ascii="Times New Roman" w:hAnsi="Times New Roman" w:eastAsia="仿宋_GB2312" w:cs="Times New Roman"/>
          <w:b w:val="0"/>
          <w:bCs w:val="0"/>
          <w:color w:val="000000"/>
          <w:kern w:val="0"/>
          <w:szCs w:val="32"/>
          <w:highlight w:val="none"/>
          <w:shd w:val="clear" w:color="auto" w:fill="FFFFFF"/>
          <w:lang w:val="en-US" w:eastAsia="zh-CN"/>
        </w:rPr>
        <w:t>。</w:t>
      </w:r>
    </w:p>
    <w:p>
      <w:pPr>
        <w:widowControl/>
        <w:adjustRightInd w:val="0"/>
        <w:snapToGrid w:val="0"/>
        <w:spacing w:line="578" w:lineRule="exact"/>
        <w:ind w:firstLine="640" w:firstLineChars="200"/>
        <w:contextualSpacing/>
        <w:jc w:val="left"/>
        <w:rPr>
          <w:rFonts w:eastAsia="黑体"/>
          <w:color w:val="000000" w:themeColor="text1"/>
          <w:kern w:val="0"/>
          <w:szCs w:val="32"/>
          <w:shd w:val="clear" w:color="auto" w:fill="FFFFFF"/>
        </w:rPr>
      </w:pPr>
      <w:r>
        <w:rPr>
          <w:rFonts w:eastAsia="黑体"/>
          <w:color w:val="000000"/>
          <w:kern w:val="0"/>
          <w:szCs w:val="32"/>
          <w:shd w:val="clear" w:color="auto" w:fill="FFFFFF"/>
        </w:rPr>
        <w:t>三、部门预算绩效分析</w:t>
      </w:r>
    </w:p>
    <w:p>
      <w:pPr>
        <w:keepNext w:val="0"/>
        <w:keepLines w:val="0"/>
        <w:pageBreakBefore w:val="0"/>
        <w:widowControl/>
        <w:suppressLineNumbers w:val="0"/>
        <w:kinsoku/>
        <w:wordWrap/>
        <w:overflowPunct/>
        <w:topLinePunct w:val="0"/>
        <w:autoSpaceDE/>
        <w:autoSpaceDN/>
        <w:bidi w:val="0"/>
        <w:spacing w:line="560" w:lineRule="exact"/>
        <w:ind w:firstLine="642" w:firstLineChars="200"/>
        <w:jc w:val="left"/>
        <w:textAlignment w:val="auto"/>
        <w:rPr>
          <w:rFonts w:hint="default" w:ascii="仿宋_GB2312" w:hAnsi="仿宋_GB2312" w:eastAsia="仿宋_GB2312" w:cs="仿宋_GB2312"/>
          <w:sz w:val="32"/>
          <w:szCs w:val="32"/>
          <w:lang w:val="zh-CN" w:eastAsia="zh-CN"/>
        </w:rPr>
      </w:pPr>
      <w:r>
        <w:rPr>
          <w:rFonts w:eastAsia="楷体_GB2312"/>
          <w:b/>
          <w:bCs/>
          <w:color w:val="000000"/>
          <w:kern w:val="0"/>
          <w:szCs w:val="32"/>
          <w:shd w:val="clear" w:color="auto" w:fill="FFFFFF"/>
          <w:lang w:val="zh-CN"/>
        </w:rPr>
        <w:t>（一）部门预算总体绩效分析。</w:t>
      </w:r>
      <w:r>
        <w:rPr>
          <w:rFonts w:hint="eastAsia" w:ascii="仿宋_GB2312" w:hAnsi="仿宋_GB2312" w:eastAsia="仿宋_GB2312" w:cs="仿宋_GB2312"/>
          <w:sz w:val="32"/>
          <w:szCs w:val="32"/>
          <w:lang w:val="en-US" w:eastAsia="zh-CN"/>
        </w:rPr>
        <w:t>预算支出在保障本单位工作运转、履行职能职责上整体情况良好。具体有：1、202</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lang w:val="en-US" w:eastAsia="zh-CN"/>
        </w:rPr>
        <w:t>年度支出绩效较好，预算编制比较精确、合理;2、为认真落实中央八项规定</w:t>
      </w:r>
      <w:r>
        <w:rPr>
          <w:rFonts w:hint="default" w:ascii="仿宋_GB2312" w:hAnsi="仿宋_GB2312" w:cs="仿宋_GB2312"/>
          <w:sz w:val="32"/>
          <w:szCs w:val="32"/>
          <w:lang w:eastAsia="zh-CN"/>
        </w:rPr>
        <w:t>精神</w:t>
      </w:r>
      <w:bookmarkStart w:id="6" w:name="_GoBack"/>
      <w:bookmarkEnd w:id="6"/>
      <w:r>
        <w:rPr>
          <w:rFonts w:hint="eastAsia" w:ascii="仿宋_GB2312" w:hAnsi="仿宋_GB2312" w:eastAsia="仿宋_GB2312" w:cs="仿宋_GB2312"/>
          <w:sz w:val="32"/>
          <w:szCs w:val="32"/>
          <w:lang w:val="en-US" w:eastAsia="zh-CN"/>
        </w:rPr>
        <w:t>等厉行节约，反对浪费规定要求，压缩了部分培训费及一般性支出;3、动态优化了年度预算安排，保障了在经费压缩情况下的高效转;4、各项目经费的支出有力保障了办公设备购置等项目所需，推动了改革和各类便民措施的实行;5、提高了管理工作的信息化水平;6、强化机关公用经费及日常运行经费管理，对于日常公用经费按照相关政策进行管理，对于办公室日常运行维护费用加强审核力度，公用经费及水、电等日常运行经费均有一定下降。</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zh-CN"/>
        </w:rPr>
      </w:pPr>
      <w:r>
        <w:rPr>
          <w:rFonts w:eastAsia="楷体_GB2312"/>
          <w:color w:val="000000"/>
          <w:kern w:val="0"/>
          <w:szCs w:val="32"/>
          <w:shd w:val="clear" w:color="auto" w:fill="FFFFFF"/>
        </w:rPr>
        <w:t>1.</w:t>
      </w:r>
      <w:r>
        <w:rPr>
          <w:rFonts w:eastAsia="楷体_GB2312"/>
          <w:color w:val="000000"/>
          <w:kern w:val="0"/>
          <w:szCs w:val="32"/>
          <w:shd w:val="clear" w:color="auto" w:fill="FFFFFF"/>
          <w:lang w:val="zh-CN"/>
        </w:rPr>
        <w:t>履职效能。</w:t>
      </w:r>
      <w:r>
        <w:rPr>
          <w:rFonts w:hint="default" w:ascii="Times New Roman" w:hAnsi="Times New Roman" w:eastAsia="楷体_GB2312" w:cs="Times New Roman"/>
          <w:color w:val="000000"/>
          <w:kern w:val="0"/>
          <w:szCs w:val="32"/>
          <w:highlight w:val="none"/>
          <w:shd w:val="clear" w:color="auto" w:fill="FFFFFF"/>
          <w:lang w:val="zh-CN"/>
        </w:rPr>
        <w:t>履职效能。</w:t>
      </w:r>
      <w:r>
        <w:rPr>
          <w:rFonts w:hint="eastAsia" w:eastAsia="楷体_GB2312" w:cs="Times New Roman"/>
          <w:color w:val="000000"/>
          <w:kern w:val="0"/>
          <w:szCs w:val="32"/>
          <w:highlight w:val="none"/>
          <w:shd w:val="clear" w:color="auto" w:fill="FFFFFF"/>
          <w:lang w:val="zh-CN"/>
        </w:rPr>
        <w:t>（得分</w:t>
      </w:r>
      <w:r>
        <w:rPr>
          <w:rFonts w:hint="eastAsia" w:eastAsia="楷体_GB2312" w:cs="Times New Roman"/>
          <w:color w:val="000000"/>
          <w:kern w:val="0"/>
          <w:szCs w:val="32"/>
          <w:highlight w:val="none"/>
          <w:shd w:val="clear" w:color="auto" w:fill="FFFFFF"/>
          <w:lang w:val="en-US" w:eastAsia="zh-CN"/>
        </w:rPr>
        <w:t>14分</w:t>
      </w:r>
      <w:r>
        <w:rPr>
          <w:rFonts w:hint="eastAsia" w:eastAsia="楷体_GB2312" w:cs="Times New Roman"/>
          <w:color w:val="000000"/>
          <w:kern w:val="0"/>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担全县统计工作，负责组织实施国家、省、州统计局及县委、县政府下达的统计调查任务；组织领导和综合协调各乡镇、各部门的统计和国民经济核算工作；在县政府统一领导下，会同有关部门组织实施重大的国情国力普查；负责组织协调各乡镇、各部门的统计调查、社会经济调查、社会监测；负责对国民经济、社会发展进行统计分析、统计预测和统计监督，向县委、县政府及有关部门提供统计信息和咨询建议。统一核定、管理、公布、出版全县性的基本统计资料，定期向社会发布全县国民经济和社会发展情况统计公报；依照《</w:t>
      </w:r>
      <w:r>
        <w:rPr>
          <w:rFonts w:hint="default" w:ascii="仿宋_GB2312" w:hAnsi="仿宋_GB2312" w:cs="仿宋_GB2312"/>
          <w:sz w:val="32"/>
          <w:szCs w:val="32"/>
        </w:rPr>
        <w:t>中华人民共和国</w:t>
      </w:r>
      <w:r>
        <w:rPr>
          <w:rFonts w:hint="eastAsia" w:ascii="仿宋_GB2312" w:hAnsi="仿宋_GB2312" w:eastAsia="仿宋_GB2312" w:cs="仿宋_GB2312"/>
          <w:sz w:val="32"/>
          <w:szCs w:val="32"/>
        </w:rPr>
        <w:t>统计法》和《统计法实施细则》及《四川省统计管理条例》的有关规定，监督各乡镇、各部门对统计法律法规的贯彻实施，组织统计执法检查，查处统计违法案件。承办县委、县政府和上级机关交办的其他事项</w:t>
      </w:r>
      <w:r>
        <w:rPr>
          <w:rFonts w:hint="eastAsia" w:ascii="仿宋_GB2312" w:hAnsi="仿宋_GB2312" w:cs="仿宋_GB2312"/>
          <w:sz w:val="32"/>
          <w:szCs w:val="32"/>
          <w:lang w:val="en-US" w:eastAsia="zh-CN"/>
        </w:rPr>
        <w:t>,履职效能该项指标得分14分</w:t>
      </w:r>
      <w:r>
        <w:rPr>
          <w:rFonts w:hint="eastAsia" w:ascii="仿宋_GB2312" w:hAnsi="仿宋_GB2312" w:eastAsia="仿宋_GB2312" w:cs="仿宋_GB2312"/>
          <w:sz w:val="32"/>
          <w:szCs w:val="32"/>
        </w:rPr>
        <w:t>。</w:t>
      </w:r>
    </w:p>
    <w:p>
      <w:pPr>
        <w:pStyle w:val="11"/>
        <w:numPr>
          <w:ilvl w:val="0"/>
          <w:numId w:val="0"/>
        </w:numPr>
        <w:tabs>
          <w:tab w:val="left" w:pos="894"/>
          <w:tab w:val="clear" w:pos="4153"/>
        </w:tabs>
        <w:wordWrap/>
        <w:spacing w:line="560" w:lineRule="exact"/>
        <w:ind w:firstLine="640" w:firstLineChars="200"/>
        <w:textAlignment w:val="auto"/>
        <w:rPr>
          <w:rFonts w:hint="default" w:ascii="Times New Roman" w:hAnsi="Times New Roman" w:eastAsia="楷体_GB2312" w:cs="Times New Roman"/>
          <w:color w:val="000000"/>
          <w:kern w:val="0"/>
          <w:sz w:val="32"/>
          <w:szCs w:val="32"/>
          <w:highlight w:val="none"/>
          <w:shd w:val="clear" w:color="auto" w:fill="FFFFFF"/>
          <w:lang w:val="zh-CN" w:eastAsia="zh-CN" w:bidi="ar-SA"/>
        </w:rPr>
      </w:pPr>
      <w:r>
        <w:rPr>
          <w:rFonts w:hint="default" w:ascii="Times New Roman" w:hAnsi="Times New Roman" w:eastAsia="楷体_GB2312" w:cs="Times New Roman"/>
          <w:color w:val="000000"/>
          <w:kern w:val="0"/>
          <w:sz w:val="32"/>
          <w:szCs w:val="32"/>
          <w:highlight w:val="none"/>
          <w:shd w:val="clear" w:color="auto" w:fill="FFFFFF"/>
          <w:lang w:val="en-US" w:eastAsia="zh-CN" w:bidi="ar-SA"/>
        </w:rPr>
        <w:t>2.</w:t>
      </w:r>
      <w:r>
        <w:rPr>
          <w:rFonts w:hint="default" w:ascii="Times New Roman" w:hAnsi="Times New Roman" w:eastAsia="楷体_GB2312" w:cs="Times New Roman"/>
          <w:color w:val="000000"/>
          <w:kern w:val="0"/>
          <w:sz w:val="32"/>
          <w:szCs w:val="32"/>
          <w:highlight w:val="none"/>
          <w:shd w:val="clear" w:color="auto" w:fill="FFFFFF"/>
          <w:lang w:val="zh-CN" w:eastAsia="zh-CN" w:bidi="ar-SA"/>
        </w:rPr>
        <w:t>预算管理。</w:t>
      </w:r>
      <w:r>
        <w:rPr>
          <w:rFonts w:hint="eastAsia" w:ascii="Times New Roman" w:hAnsi="Times New Roman" w:eastAsia="楷体_GB2312" w:cs="Times New Roman"/>
          <w:color w:val="000000"/>
          <w:kern w:val="0"/>
          <w:sz w:val="32"/>
          <w:szCs w:val="32"/>
          <w:highlight w:val="none"/>
          <w:shd w:val="clear" w:color="auto" w:fill="FFFFFF"/>
          <w:lang w:val="zh-CN" w:eastAsia="zh-CN" w:bidi="ar-SA"/>
        </w:rPr>
        <w:t>（得分</w:t>
      </w:r>
      <w:r>
        <w:rPr>
          <w:rFonts w:hint="eastAsia" w:ascii="Times New Roman" w:hAnsi="Times New Roman" w:eastAsia="楷体_GB2312" w:cs="Times New Roman"/>
          <w:color w:val="000000"/>
          <w:kern w:val="0"/>
          <w:sz w:val="32"/>
          <w:szCs w:val="32"/>
          <w:highlight w:val="none"/>
          <w:shd w:val="clear" w:color="auto" w:fill="FFFFFF"/>
          <w:lang w:val="en-US" w:eastAsia="zh-CN" w:bidi="ar-SA"/>
        </w:rPr>
        <w:t>23分</w:t>
      </w:r>
      <w:r>
        <w:rPr>
          <w:rFonts w:hint="eastAsia" w:ascii="Times New Roman" w:hAnsi="Times New Roman" w:eastAsia="楷体_GB2312" w:cs="Times New Roman"/>
          <w:color w:val="000000"/>
          <w:kern w:val="0"/>
          <w:sz w:val="32"/>
          <w:szCs w:val="32"/>
          <w:highlight w:val="none"/>
          <w:shd w:val="clear" w:color="auto" w:fill="FFFFFF"/>
          <w:lang w:val="zh-CN" w:eastAsia="zh-CN" w:bidi="ar-SA"/>
        </w:rPr>
        <w:t>）</w:t>
      </w:r>
    </w:p>
    <w:p>
      <w:pPr>
        <w:pStyle w:val="11"/>
        <w:numPr>
          <w:ilvl w:val="0"/>
          <w:numId w:val="0"/>
        </w:numPr>
        <w:tabs>
          <w:tab w:val="left" w:pos="894"/>
          <w:tab w:val="clear" w:pos="4153"/>
        </w:tabs>
        <w:wordWrap/>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CN" w:eastAsia="zh-CN"/>
        </w:rPr>
        <w:t>）预算编制质量：</w:t>
      </w:r>
      <w:r>
        <w:rPr>
          <w:rFonts w:hint="eastAsia" w:ascii="仿宋_GB2312" w:hAnsi="仿宋_GB2312" w:eastAsia="仿宋_GB2312" w:cs="仿宋_GB2312"/>
          <w:sz w:val="32"/>
          <w:szCs w:val="32"/>
        </w:rPr>
        <w:t>严格按照州、县预算编制要求，按时完成基础信息、项目库的报送工作，完成基础信息的更新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预算编制并提交部门预算草案</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eastAsia="zh-CN"/>
        </w:rPr>
        <w:t>该项指标得分</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rPr>
        <w:t>。</w:t>
      </w:r>
    </w:p>
    <w:p>
      <w:pPr>
        <w:pStyle w:val="11"/>
        <w:numPr>
          <w:ilvl w:val="0"/>
          <w:numId w:val="0"/>
        </w:numPr>
        <w:tabs>
          <w:tab w:val="left" w:pos="894"/>
          <w:tab w:val="clear" w:pos="4153"/>
        </w:tabs>
        <w:wordWrap/>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）单位收入统筹：我局无单位收入统筹资金，该项指标得分</w:t>
      </w:r>
      <w:r>
        <w:rPr>
          <w:rFonts w:hint="eastAsia" w:ascii="仿宋_GB2312" w:hAnsi="仿宋_GB2312" w:eastAsia="仿宋_GB2312" w:cs="仿宋_GB2312"/>
          <w:sz w:val="32"/>
          <w:szCs w:val="32"/>
          <w:lang w:val="en-US" w:eastAsia="zh-CN"/>
        </w:rPr>
        <w:t>4分。</w:t>
      </w:r>
    </w:p>
    <w:p>
      <w:pPr>
        <w:pStyle w:val="11"/>
        <w:numPr>
          <w:ilvl w:val="0"/>
          <w:numId w:val="0"/>
        </w:numPr>
        <w:tabs>
          <w:tab w:val="left" w:pos="894"/>
          <w:tab w:val="clear" w:pos="4153"/>
        </w:tabs>
        <w:wordWrap/>
        <w:spacing w:line="560" w:lineRule="exact"/>
        <w:ind w:firstLine="640" w:firstLineChars="200"/>
        <w:textAlignment w:val="auto"/>
        <w:rPr>
          <w:rFonts w:hint="eastAsia"/>
          <w:kern w:val="0"/>
          <w:sz w:val="32"/>
          <w:szCs w:val="32"/>
        </w:rPr>
      </w:pP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val="zh-CN" w:eastAsia="zh-CN"/>
        </w:rPr>
        <w:t>）支出执行进度：</w:t>
      </w:r>
      <w:r>
        <w:rPr>
          <w:rFonts w:hint="eastAsia" w:ascii="仿宋_GB2312" w:hAnsi="仿宋_GB2312" w:eastAsia="仿宋_GB2312" w:cs="仿宋_GB2312"/>
          <w:sz w:val="32"/>
          <w:szCs w:val="32"/>
          <w:lang w:eastAsia="zh-CN"/>
        </w:rPr>
        <w:t>统计局</w:t>
      </w:r>
      <w:r>
        <w:rPr>
          <w:rFonts w:hint="eastAsia" w:ascii="仿宋_GB2312" w:hAnsi="仿宋_GB2312" w:eastAsia="仿宋_GB2312" w:cs="仿宋_GB2312"/>
          <w:sz w:val="32"/>
          <w:szCs w:val="32"/>
        </w:rPr>
        <w:t>支出执行进度部门1至10月预算执行情况</w:t>
      </w:r>
      <w:r>
        <w:rPr>
          <w:rFonts w:hint="eastAsia" w:ascii="仿宋_GB2312" w:hAnsi="仿宋_GB2312" w:eastAsia="仿宋_GB2312" w:cs="仿宋_GB2312"/>
          <w:kern w:val="0"/>
          <w:sz w:val="32"/>
          <w:szCs w:val="32"/>
        </w:rPr>
        <w:t>基本规范和决策程序要求，该项指标得分</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分</w:t>
      </w:r>
      <w:r>
        <w:rPr>
          <w:rFonts w:hint="eastAsia"/>
          <w:kern w:val="0"/>
          <w:sz w:val="32"/>
          <w:szCs w:val="32"/>
        </w:rPr>
        <w:t>。</w:t>
      </w:r>
    </w:p>
    <w:p>
      <w:pPr>
        <w:pStyle w:val="11"/>
        <w:numPr>
          <w:ilvl w:val="0"/>
          <w:numId w:val="0"/>
        </w:numPr>
        <w:tabs>
          <w:tab w:val="left" w:pos="894"/>
          <w:tab w:val="clear" w:pos="4153"/>
        </w:tabs>
        <w:wordWrap/>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eastAsia="仿宋_GB2312"/>
          <w:kern w:val="0"/>
          <w:sz w:val="32"/>
          <w:szCs w:val="32"/>
          <w:lang w:eastAsia="zh-CN"/>
        </w:rPr>
        <w:t>（</w:t>
      </w:r>
      <w:r>
        <w:rPr>
          <w:rFonts w:hint="eastAsia" w:eastAsia="仿宋_GB2312"/>
          <w:kern w:val="0"/>
          <w:sz w:val="32"/>
          <w:szCs w:val="32"/>
          <w:lang w:val="en-US" w:eastAsia="zh-CN"/>
        </w:rPr>
        <w:t>4</w:t>
      </w:r>
      <w:r>
        <w:rPr>
          <w:rFonts w:hint="eastAsia" w:eastAsia="仿宋_GB2312"/>
          <w:kern w:val="0"/>
          <w:sz w:val="32"/>
          <w:szCs w:val="32"/>
          <w:lang w:eastAsia="zh-CN"/>
        </w:rPr>
        <w:t>）</w:t>
      </w:r>
      <w:r>
        <w:rPr>
          <w:rFonts w:hint="eastAsia" w:ascii="仿宋_GB2312" w:hAnsi="仿宋_GB2312" w:eastAsia="仿宋_GB2312" w:cs="仿宋_GB2312"/>
          <w:color w:val="auto"/>
          <w:sz w:val="32"/>
          <w:szCs w:val="32"/>
          <w:lang w:val="zh-CN" w:eastAsia="zh-CN"/>
        </w:rPr>
        <w:t>预算年终结余：</w:t>
      </w:r>
      <w:r>
        <w:rPr>
          <w:rFonts w:hint="eastAsia" w:ascii="仿宋_GB2312" w:hAnsi="仿宋_GB2312" w:eastAsia="仿宋_GB2312" w:cs="仿宋_GB2312"/>
          <w:kern w:val="0"/>
          <w:sz w:val="32"/>
          <w:szCs w:val="32"/>
        </w:rPr>
        <w:t>部门整体年终预算结余情况</w:t>
      </w:r>
      <w:r>
        <w:rPr>
          <w:rFonts w:hint="eastAsia" w:ascii="仿宋_GB2312" w:hAnsi="仿宋_GB2312" w:eastAsia="仿宋_GB2312" w:cs="仿宋_GB2312"/>
          <w:kern w:val="0"/>
          <w:sz w:val="32"/>
          <w:szCs w:val="32"/>
          <w:lang w:eastAsia="zh-CN"/>
        </w:rPr>
        <w:t>符合要求，</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val="en-US" w:eastAsia="zh-CN"/>
        </w:rPr>
        <w:t>。</w:t>
      </w:r>
    </w:p>
    <w:p>
      <w:pPr>
        <w:pStyle w:val="11"/>
        <w:numPr>
          <w:ilvl w:val="0"/>
          <w:numId w:val="0"/>
        </w:numPr>
        <w:tabs>
          <w:tab w:val="left" w:pos="894"/>
          <w:tab w:val="clear" w:pos="4153"/>
        </w:tabs>
        <w:wordWrap/>
        <w:spacing w:line="560" w:lineRule="exact"/>
        <w:ind w:firstLine="640" w:firstLineChars="200"/>
        <w:textAlignment w:val="auto"/>
        <w:rPr>
          <w:rFonts w:hint="eastAsia"/>
          <w:kern w:val="0"/>
          <w:sz w:val="32"/>
          <w:szCs w:val="32"/>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color w:val="auto"/>
          <w:sz w:val="32"/>
          <w:szCs w:val="32"/>
          <w:lang w:val="zh-CN" w:eastAsia="zh-CN"/>
        </w:rPr>
        <w:t>严控一般性支出：</w:t>
      </w:r>
      <w:r>
        <w:rPr>
          <w:rFonts w:hint="eastAsia" w:ascii="仿宋_GB2312" w:hAnsi="仿宋_GB2312" w:eastAsia="仿宋_GB2312" w:cs="仿宋_GB2312"/>
          <w:kern w:val="0"/>
          <w:sz w:val="32"/>
          <w:szCs w:val="32"/>
          <w:lang w:val="en-US" w:eastAsia="zh-CN"/>
        </w:rPr>
        <w:t>部门严控“三公”经费、会议、培训、差旅、办节办展、办公设备购置、信息网络及软件购置更新、课题经费等8项一般性支出情况</w:t>
      </w:r>
      <w:r>
        <w:rPr>
          <w:rFonts w:hint="eastAsia" w:ascii="仿宋_GB2312" w:hAnsi="仿宋_GB2312" w:eastAsia="仿宋_GB2312" w:cs="仿宋_GB2312"/>
          <w:kern w:val="0"/>
          <w:sz w:val="32"/>
          <w:szCs w:val="32"/>
        </w:rPr>
        <w:t>基本规范和决策程序要求，该项指标得分</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分</w:t>
      </w:r>
      <w:r>
        <w:rPr>
          <w:rFonts w:hint="eastAsia"/>
          <w:kern w:val="0"/>
          <w:sz w:val="32"/>
          <w:szCs w:val="32"/>
        </w:rPr>
        <w:t>。</w:t>
      </w:r>
    </w:p>
    <w:p>
      <w:pPr>
        <w:pStyle w:val="9"/>
        <w:spacing w:after="0" w:line="240" w:lineRule="auto"/>
        <w:ind w:left="0" w:leftChars="0" w:firstLine="640" w:firstLineChars="200"/>
        <w:rPr>
          <w:rFonts w:hint="eastAsia" w:ascii="仿宋_GB2312" w:hAnsi="仿宋_GB2312" w:eastAsia="仿宋_GB2312" w:cs="仿宋_GB2312"/>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3.</w:t>
      </w:r>
      <w:r>
        <w:rPr>
          <w:rFonts w:hint="default" w:ascii="Times New Roman" w:hAnsi="Times New Roman" w:eastAsia="楷体_GB2312" w:cs="Times New Roman"/>
          <w:color w:val="000000"/>
          <w:kern w:val="0"/>
          <w:szCs w:val="32"/>
          <w:highlight w:val="none"/>
          <w:shd w:val="clear" w:color="auto" w:fill="FFFFFF"/>
          <w:lang w:val="zh-CN"/>
        </w:rPr>
        <w:t>财务管理。</w:t>
      </w:r>
      <w:r>
        <w:rPr>
          <w:rFonts w:hint="eastAsia" w:ascii="仿宋_GB2312" w:hAnsi="仿宋_GB2312" w:eastAsia="仿宋_GB2312" w:cs="仿宋_GB2312"/>
          <w:color w:val="000000"/>
          <w:kern w:val="0"/>
          <w:szCs w:val="32"/>
          <w:highlight w:val="none"/>
          <w:shd w:val="clear" w:color="auto" w:fill="FFFFFF"/>
          <w:lang w:val="zh-CN"/>
        </w:rPr>
        <w:t>（得分：</w:t>
      </w:r>
      <w:r>
        <w:rPr>
          <w:rFonts w:hint="eastAsia" w:ascii="仿宋_GB2312" w:hAnsi="仿宋_GB2312" w:cs="仿宋_GB2312"/>
          <w:color w:val="000000"/>
          <w:kern w:val="0"/>
          <w:szCs w:val="32"/>
          <w:highlight w:val="none"/>
          <w:shd w:val="clear" w:color="auto" w:fill="FFFFFF"/>
          <w:lang w:val="en-US" w:eastAsia="zh-CN"/>
        </w:rPr>
        <w:t>9</w:t>
      </w:r>
      <w:r>
        <w:rPr>
          <w:rFonts w:hint="eastAsia" w:ascii="仿宋_GB2312" w:hAnsi="仿宋_GB2312" w:eastAsia="仿宋_GB2312" w:cs="仿宋_GB2312"/>
          <w:color w:val="000000"/>
          <w:kern w:val="0"/>
          <w:szCs w:val="32"/>
          <w:highlight w:val="none"/>
          <w:shd w:val="clear" w:color="auto" w:fill="FFFFFF"/>
          <w:lang w:val="en-US" w:eastAsia="zh-CN"/>
        </w:rPr>
        <w:t>分</w:t>
      </w:r>
      <w:r>
        <w:rPr>
          <w:rFonts w:hint="eastAsia" w:ascii="仿宋_GB2312" w:hAnsi="仿宋_GB2312" w:eastAsia="仿宋_GB2312" w:cs="仿宋_GB2312"/>
          <w:color w:val="000000"/>
          <w:kern w:val="0"/>
          <w:szCs w:val="32"/>
          <w:highlight w:val="none"/>
          <w:shd w:val="clear" w:color="auto" w:fill="FFFFFF"/>
          <w:lang w:val="zh-CN"/>
        </w:rPr>
        <w:t>）</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Cs w:val="32"/>
          <w:shd w:val="clear" w:color="auto" w:fill="FFFFFF"/>
          <w:lang w:val="zh-CN"/>
        </w:rPr>
      </w:pPr>
      <w:r>
        <w:rPr>
          <w:rFonts w:hint="eastAsia" w:ascii="仿宋_GB2312" w:hAnsi="仿宋_GB2312" w:eastAsia="仿宋_GB2312" w:cs="仿宋_GB2312"/>
          <w:kern w:val="0"/>
          <w:sz w:val="32"/>
          <w:szCs w:val="32"/>
          <w:lang w:val="zh-CN" w:eastAsia="zh-CN" w:bidi="ar-SA"/>
        </w:rPr>
        <w:t>（</w:t>
      </w:r>
      <w:r>
        <w:rPr>
          <w:rFonts w:hint="eastAsia" w:ascii="仿宋_GB2312" w:hAnsi="仿宋_GB2312" w:eastAsia="仿宋_GB2312" w:cs="仿宋_GB2312"/>
          <w:kern w:val="0"/>
          <w:sz w:val="32"/>
          <w:szCs w:val="32"/>
          <w:lang w:val="en-US" w:eastAsia="zh-CN" w:bidi="ar-SA"/>
        </w:rPr>
        <w:t>1</w:t>
      </w:r>
      <w:r>
        <w:rPr>
          <w:rFonts w:hint="eastAsia" w:ascii="仿宋_GB2312" w:hAnsi="仿宋_GB2312" w:eastAsia="仿宋_GB2312" w:cs="仿宋_GB2312"/>
          <w:kern w:val="0"/>
          <w:sz w:val="32"/>
          <w:szCs w:val="32"/>
          <w:lang w:val="zh-CN" w:eastAsia="zh-CN" w:bidi="ar-SA"/>
        </w:rPr>
        <w:t>）</w:t>
      </w:r>
      <w:r>
        <w:rPr>
          <w:rFonts w:hint="eastAsia" w:ascii="仿宋_GB2312" w:hAnsi="仿宋_GB2312" w:eastAsia="仿宋_GB2312" w:cs="仿宋_GB2312"/>
          <w:color w:val="000000"/>
          <w:kern w:val="0"/>
          <w:szCs w:val="32"/>
          <w:shd w:val="clear" w:color="auto" w:fill="FFFFFF"/>
          <w:lang w:val="zh-CN"/>
        </w:rPr>
        <w:t>财务管理制度：强化制度建设。不断强化财务管理制度建设，依据相关法律、法规及管理办法，制定符合我</w:t>
      </w:r>
      <w:r>
        <w:rPr>
          <w:rFonts w:hint="eastAsia" w:ascii="仿宋_GB2312" w:hAnsi="仿宋_GB2312" w:eastAsia="仿宋_GB2312" w:cs="仿宋_GB2312"/>
          <w:color w:val="000000"/>
          <w:kern w:val="0"/>
          <w:szCs w:val="32"/>
          <w:shd w:val="clear" w:color="auto" w:fill="FFFFFF"/>
          <w:lang w:val="en-US" w:eastAsia="zh-CN"/>
        </w:rPr>
        <w:t>单位</w:t>
      </w:r>
      <w:r>
        <w:rPr>
          <w:rFonts w:hint="eastAsia" w:ascii="仿宋_GB2312" w:hAnsi="仿宋_GB2312" w:eastAsia="仿宋_GB2312" w:cs="仿宋_GB2312"/>
          <w:color w:val="000000"/>
          <w:kern w:val="0"/>
          <w:szCs w:val="32"/>
          <w:shd w:val="clear" w:color="auto" w:fill="FFFFFF"/>
          <w:lang w:val="zh-CN"/>
        </w:rPr>
        <w:t>财务制度，着重从预算绩效管理主要内容和环节，规范操作程序和质量控制要求，构建起工作有指导、实施有方案、内部有规程等相互支撑制度体系。</w:t>
      </w:r>
      <w:r>
        <w:rPr>
          <w:rFonts w:hint="eastAsia" w:ascii="仿宋_GB2312" w:hAnsi="仿宋_GB2312" w:eastAsia="仿宋_GB2312" w:cs="仿宋_GB2312"/>
          <w:color w:val="000000"/>
          <w:kern w:val="0"/>
          <w:szCs w:val="32"/>
          <w:shd w:val="clear" w:color="auto" w:fill="FFFFFF"/>
          <w:lang w:val="zh-CN" w:eastAsia="zh-CN"/>
        </w:rPr>
        <w:t>指标分值</w:t>
      </w:r>
      <w:r>
        <w:rPr>
          <w:rFonts w:hint="eastAsia" w:ascii="仿宋_GB2312" w:hAnsi="仿宋_GB2312" w:eastAsia="仿宋_GB2312" w:cs="仿宋_GB2312"/>
          <w:color w:val="000000"/>
          <w:kern w:val="0"/>
          <w:szCs w:val="32"/>
          <w:shd w:val="clear" w:color="auto" w:fill="FFFFFF"/>
          <w:lang w:val="en-US" w:eastAsia="zh-CN"/>
        </w:rPr>
        <w:t>4</w:t>
      </w:r>
      <w:r>
        <w:rPr>
          <w:rFonts w:hint="eastAsia" w:ascii="仿宋_GB2312" w:hAnsi="仿宋_GB2312" w:eastAsia="仿宋_GB2312" w:cs="仿宋_GB2312"/>
          <w:color w:val="000000"/>
          <w:kern w:val="0"/>
          <w:szCs w:val="32"/>
          <w:shd w:val="clear" w:color="auto" w:fill="FFFFFF"/>
          <w:lang w:val="zh-CN" w:eastAsia="zh-CN"/>
        </w:rPr>
        <w:t>分，自评得分</w:t>
      </w:r>
      <w:r>
        <w:rPr>
          <w:rFonts w:hint="eastAsia" w:ascii="仿宋_GB2312" w:hAnsi="仿宋_GB2312" w:cs="仿宋_GB2312"/>
          <w:color w:val="000000"/>
          <w:kern w:val="0"/>
          <w:szCs w:val="32"/>
          <w:shd w:val="clear" w:color="auto" w:fill="FFFFFF"/>
          <w:lang w:val="en-US" w:eastAsia="zh-CN"/>
        </w:rPr>
        <w:t>3</w:t>
      </w:r>
      <w:r>
        <w:rPr>
          <w:rFonts w:hint="eastAsia" w:ascii="仿宋_GB2312" w:hAnsi="仿宋_GB2312" w:eastAsia="仿宋_GB2312" w:cs="仿宋_GB2312"/>
          <w:color w:val="000000"/>
          <w:kern w:val="0"/>
          <w:szCs w:val="32"/>
          <w:shd w:val="clear" w:color="auto" w:fill="FFFFFF"/>
          <w:lang w:val="zh-CN" w:eastAsia="zh-CN"/>
        </w:rPr>
        <w:t>分。</w:t>
      </w:r>
    </w:p>
    <w:p>
      <w:pPr>
        <w:pStyle w:val="9"/>
        <w:spacing w:after="0" w:line="240" w:lineRule="auto"/>
        <w:ind w:left="0" w:leftChars="0" w:firstLine="640" w:firstLineChars="200"/>
        <w:rPr>
          <w:rFonts w:hint="eastAsia" w:ascii="仿宋_GB2312" w:hAnsi="仿宋_GB2312" w:eastAsia="仿宋_GB2312" w:cs="仿宋_GB2312"/>
          <w:sz w:val="32"/>
          <w:szCs w:val="32"/>
          <w:lang w:eastAsia="zh-CN"/>
        </w:rPr>
      </w:pPr>
    </w:p>
    <w:p>
      <w:pPr>
        <w:pStyle w:val="9"/>
        <w:spacing w:after="0" w:line="240" w:lineRule="auto"/>
        <w:ind w:left="0" w:leftChars="0" w:firstLine="640" w:firstLineChars="200"/>
        <w:rPr>
          <w:rFonts w:hint="eastAsia" w:ascii="仿宋_GB2312" w:hAnsi="仿宋_GB2312" w:eastAsia="仿宋_GB2312" w:cs="仿宋_GB2312"/>
          <w:color w:val="000000"/>
          <w:kern w:val="0"/>
          <w:szCs w:val="32"/>
          <w:highlight w:val="none"/>
          <w:shd w:val="clear" w:color="auto" w:fill="FFFFFF"/>
          <w:lang w:val="zh-CN"/>
        </w:rPr>
      </w:pPr>
      <w:r>
        <w:rPr>
          <w:rFonts w:hint="eastAsia" w:ascii="仿宋_GB2312" w:hAnsi="仿宋_GB2312" w:eastAsia="仿宋_GB2312" w:cs="仿宋_GB2312"/>
          <w:color w:val="000000"/>
          <w:kern w:val="0"/>
          <w:szCs w:val="32"/>
          <w:highlight w:val="none"/>
          <w:shd w:val="clear" w:color="auto" w:fill="FFFFFF"/>
          <w:lang w:val="zh-CN"/>
        </w:rPr>
        <w:t>（</w:t>
      </w:r>
      <w:r>
        <w:rPr>
          <w:rFonts w:hint="eastAsia" w:ascii="仿宋_GB2312" w:hAnsi="仿宋_GB2312" w:eastAsia="仿宋_GB2312" w:cs="仿宋_GB2312"/>
          <w:color w:val="000000"/>
          <w:kern w:val="0"/>
          <w:szCs w:val="32"/>
          <w:highlight w:val="none"/>
          <w:shd w:val="clear" w:color="auto" w:fill="FFFFFF"/>
          <w:lang w:val="en-US" w:eastAsia="zh-CN"/>
        </w:rPr>
        <w:t>2</w:t>
      </w:r>
      <w:r>
        <w:rPr>
          <w:rFonts w:hint="eastAsia" w:ascii="仿宋_GB2312" w:hAnsi="仿宋_GB2312" w:eastAsia="仿宋_GB2312" w:cs="仿宋_GB2312"/>
          <w:color w:val="000000"/>
          <w:kern w:val="0"/>
          <w:szCs w:val="32"/>
          <w:highlight w:val="none"/>
          <w:shd w:val="clear" w:color="auto" w:fill="FFFFFF"/>
          <w:lang w:val="zh-CN"/>
        </w:rPr>
        <w:t>）财务岗位设置：</w:t>
      </w:r>
      <w:bookmarkStart w:id="4" w:name="OLE_LINK13"/>
      <w:r>
        <w:rPr>
          <w:rFonts w:hint="eastAsia" w:ascii="仿宋_GB2312" w:hAnsi="仿宋_GB2312" w:eastAsia="仿宋_GB2312" w:cs="仿宋_GB2312"/>
          <w:color w:val="000000"/>
          <w:kern w:val="0"/>
          <w:szCs w:val="32"/>
          <w:highlight w:val="none"/>
          <w:shd w:val="clear" w:color="auto" w:fill="FFFFFF"/>
          <w:lang w:val="zh-CN"/>
        </w:rPr>
        <w:t>财务室由</w:t>
      </w:r>
      <w:r>
        <w:rPr>
          <w:rFonts w:hint="eastAsia" w:ascii="仿宋_GB2312" w:hAnsi="仿宋_GB2312" w:eastAsia="仿宋_GB2312" w:cs="仿宋_GB2312"/>
          <w:color w:val="000000"/>
          <w:kern w:val="0"/>
          <w:szCs w:val="32"/>
          <w:highlight w:val="none"/>
          <w:shd w:val="clear" w:color="auto" w:fill="FFFFFF"/>
          <w:lang w:val="en-US" w:eastAsia="zh-CN"/>
        </w:rPr>
        <w:t>1名</w:t>
      </w:r>
      <w:r>
        <w:rPr>
          <w:rFonts w:hint="eastAsia" w:ascii="仿宋_GB2312" w:hAnsi="仿宋_GB2312" w:eastAsia="仿宋_GB2312" w:cs="仿宋_GB2312"/>
          <w:color w:val="000000"/>
          <w:kern w:val="0"/>
          <w:szCs w:val="32"/>
          <w:highlight w:val="none"/>
          <w:shd w:val="clear" w:color="auto" w:fill="FFFFFF"/>
          <w:lang w:val="zh-CN"/>
        </w:rPr>
        <w:t>出纳和</w:t>
      </w:r>
      <w:r>
        <w:rPr>
          <w:rFonts w:hint="eastAsia" w:ascii="仿宋_GB2312" w:hAnsi="仿宋_GB2312" w:eastAsia="仿宋_GB2312" w:cs="仿宋_GB2312"/>
          <w:color w:val="000000"/>
          <w:kern w:val="0"/>
          <w:szCs w:val="32"/>
          <w:highlight w:val="none"/>
          <w:shd w:val="clear" w:color="auto" w:fill="FFFFFF"/>
          <w:lang w:val="en-US" w:eastAsia="zh-CN"/>
        </w:rPr>
        <w:t>1名</w:t>
      </w:r>
      <w:r>
        <w:rPr>
          <w:rFonts w:hint="eastAsia" w:ascii="仿宋_GB2312" w:hAnsi="仿宋_GB2312" w:eastAsia="仿宋_GB2312" w:cs="仿宋_GB2312"/>
          <w:color w:val="000000"/>
          <w:kern w:val="0"/>
          <w:szCs w:val="32"/>
          <w:highlight w:val="none"/>
          <w:shd w:val="clear" w:color="auto" w:fill="FFFFFF"/>
          <w:lang w:val="zh-CN"/>
        </w:rPr>
        <w:t>会计组成。（得分：</w:t>
      </w:r>
      <w:r>
        <w:rPr>
          <w:rFonts w:hint="eastAsia" w:ascii="仿宋_GB2312" w:hAnsi="仿宋_GB2312" w:eastAsia="仿宋_GB2312" w:cs="仿宋_GB2312"/>
          <w:color w:val="000000"/>
          <w:kern w:val="0"/>
          <w:szCs w:val="32"/>
          <w:highlight w:val="none"/>
          <w:shd w:val="clear" w:color="auto" w:fill="FFFFFF"/>
          <w:lang w:val="en-US" w:eastAsia="zh-CN"/>
        </w:rPr>
        <w:t>2分</w:t>
      </w:r>
      <w:r>
        <w:rPr>
          <w:rFonts w:hint="eastAsia" w:ascii="仿宋_GB2312" w:hAnsi="仿宋_GB2312" w:eastAsia="仿宋_GB2312" w:cs="仿宋_GB2312"/>
          <w:color w:val="000000"/>
          <w:kern w:val="0"/>
          <w:szCs w:val="32"/>
          <w:highlight w:val="none"/>
          <w:shd w:val="clear" w:color="auto" w:fill="FFFFFF"/>
          <w:lang w:val="zh-CN"/>
        </w:rPr>
        <w:t>）</w:t>
      </w:r>
      <w:bookmarkEnd w:id="4"/>
    </w:p>
    <w:p>
      <w:pPr>
        <w:pStyle w:val="9"/>
        <w:spacing w:after="0" w:line="240" w:lineRule="auto"/>
        <w:ind w:left="0" w:leftChars="0" w:firstLine="640" w:firstLineChars="200"/>
        <w:rPr>
          <w:rFonts w:hint="eastAsia" w:ascii="仿宋_GB2312" w:hAnsi="仿宋_GB2312" w:eastAsia="仿宋_GB2312" w:cs="仿宋_GB2312"/>
          <w:color w:val="000000"/>
          <w:kern w:val="0"/>
          <w:szCs w:val="32"/>
          <w:highlight w:val="none"/>
          <w:shd w:val="clear" w:color="auto" w:fill="FFFFFF"/>
          <w:lang w:val="zh-CN"/>
        </w:rPr>
      </w:pPr>
      <w:r>
        <w:rPr>
          <w:rFonts w:hint="eastAsia" w:ascii="仿宋_GB2312" w:hAnsi="仿宋_GB2312" w:eastAsia="仿宋_GB2312" w:cs="仿宋_GB2312"/>
          <w:color w:val="000000"/>
          <w:kern w:val="0"/>
          <w:szCs w:val="32"/>
          <w:highlight w:val="none"/>
          <w:shd w:val="clear" w:color="auto" w:fill="FFFFFF"/>
          <w:lang w:val="zh-CN"/>
        </w:rPr>
        <w:t>（</w:t>
      </w:r>
      <w:r>
        <w:rPr>
          <w:rFonts w:hint="eastAsia" w:ascii="仿宋_GB2312" w:hAnsi="仿宋_GB2312" w:eastAsia="仿宋_GB2312" w:cs="仿宋_GB2312"/>
          <w:color w:val="000000"/>
          <w:kern w:val="0"/>
          <w:szCs w:val="32"/>
          <w:highlight w:val="none"/>
          <w:shd w:val="clear" w:color="auto" w:fill="FFFFFF"/>
          <w:lang w:val="en-US" w:eastAsia="zh-CN"/>
        </w:rPr>
        <w:t>3</w:t>
      </w:r>
      <w:r>
        <w:rPr>
          <w:rFonts w:hint="eastAsia" w:ascii="仿宋_GB2312" w:hAnsi="仿宋_GB2312" w:eastAsia="仿宋_GB2312" w:cs="仿宋_GB2312"/>
          <w:color w:val="000000"/>
          <w:kern w:val="0"/>
          <w:szCs w:val="32"/>
          <w:highlight w:val="none"/>
          <w:shd w:val="clear" w:color="auto" w:fill="FFFFFF"/>
          <w:lang w:val="zh-CN"/>
        </w:rPr>
        <w:t>）资金使用规范：部门资金使用符合相关财务管理制度规定。（得分：</w:t>
      </w:r>
      <w:r>
        <w:rPr>
          <w:rFonts w:hint="eastAsia" w:ascii="仿宋_GB2312" w:hAnsi="仿宋_GB2312" w:eastAsia="仿宋_GB2312" w:cs="仿宋_GB2312"/>
          <w:color w:val="000000"/>
          <w:kern w:val="0"/>
          <w:szCs w:val="32"/>
          <w:highlight w:val="none"/>
          <w:shd w:val="clear" w:color="auto" w:fill="FFFFFF"/>
          <w:lang w:val="en-US" w:eastAsia="zh-CN"/>
        </w:rPr>
        <w:t>4分</w:t>
      </w:r>
      <w:r>
        <w:rPr>
          <w:rFonts w:hint="eastAsia" w:ascii="仿宋_GB2312" w:hAnsi="仿宋_GB2312" w:eastAsia="仿宋_GB2312" w:cs="仿宋_GB2312"/>
          <w:color w:val="000000"/>
          <w:kern w:val="0"/>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4.</w:t>
      </w:r>
      <w:r>
        <w:rPr>
          <w:rFonts w:hint="default" w:ascii="Times New Roman" w:hAnsi="Times New Roman" w:eastAsia="楷体_GB2312" w:cs="Times New Roman"/>
          <w:color w:val="000000"/>
          <w:kern w:val="0"/>
          <w:szCs w:val="32"/>
          <w:highlight w:val="none"/>
          <w:shd w:val="clear" w:color="auto" w:fill="FFFFFF"/>
          <w:lang w:val="zh-CN"/>
        </w:rPr>
        <w:t>资产管理。</w:t>
      </w:r>
      <w:r>
        <w:rPr>
          <w:rFonts w:hint="eastAsia" w:ascii="仿宋_GB2312" w:hAnsi="仿宋_GB2312" w:eastAsia="仿宋_GB2312" w:cs="仿宋_GB2312"/>
          <w:color w:val="000000"/>
          <w:kern w:val="0"/>
          <w:szCs w:val="32"/>
          <w:highlight w:val="none"/>
          <w:shd w:val="clear" w:color="auto" w:fill="FFFFFF"/>
          <w:lang w:val="zh-CN"/>
        </w:rPr>
        <w:t>（得分：</w:t>
      </w:r>
      <w:r>
        <w:rPr>
          <w:rFonts w:hint="eastAsia" w:ascii="仿宋_GB2312" w:hAnsi="仿宋_GB2312" w:cs="仿宋_GB2312"/>
          <w:color w:val="000000"/>
          <w:kern w:val="0"/>
          <w:szCs w:val="32"/>
          <w:highlight w:val="none"/>
          <w:shd w:val="clear" w:color="auto" w:fill="FFFFFF"/>
          <w:lang w:val="en-US" w:eastAsia="zh-CN"/>
        </w:rPr>
        <w:t>8</w:t>
      </w:r>
      <w:r>
        <w:rPr>
          <w:rFonts w:hint="eastAsia" w:ascii="仿宋_GB2312" w:hAnsi="仿宋_GB2312" w:eastAsia="仿宋_GB2312" w:cs="仿宋_GB2312"/>
          <w:color w:val="000000"/>
          <w:kern w:val="0"/>
          <w:szCs w:val="32"/>
          <w:highlight w:val="none"/>
          <w:shd w:val="clear" w:color="auto" w:fill="FFFFFF"/>
          <w:lang w:val="en-US" w:eastAsia="zh-CN"/>
        </w:rPr>
        <w:t>分</w:t>
      </w:r>
      <w:r>
        <w:rPr>
          <w:rFonts w:hint="eastAsia" w:ascii="仿宋_GB2312" w:hAnsi="仿宋_GB2312" w:eastAsia="仿宋_GB2312" w:cs="仿宋_GB2312"/>
          <w:color w:val="000000"/>
          <w:kern w:val="0"/>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cs="仿宋_GB2312"/>
          <w:sz w:val="32"/>
          <w:szCs w:val="32"/>
          <w:lang w:val="en-US" w:eastAsia="zh-CN"/>
        </w:rPr>
      </w:pPr>
      <w:r>
        <w:rPr>
          <w:rFonts w:hint="eastAsia" w:ascii="楷体_GB2312" w:hAnsi="楷体_GB2312" w:eastAsia="楷体_GB2312" w:cs="楷体_GB2312"/>
          <w:color w:val="000000"/>
          <w:kern w:val="0"/>
          <w:szCs w:val="32"/>
          <w:highlight w:val="none"/>
          <w:shd w:val="clear" w:color="auto" w:fill="FFFFFF"/>
          <w:lang w:val="zh-CN"/>
        </w:rPr>
        <w:t>（</w:t>
      </w:r>
      <w:r>
        <w:rPr>
          <w:rFonts w:hint="eastAsia" w:ascii="楷体_GB2312" w:hAnsi="楷体_GB2312" w:eastAsia="楷体_GB2312" w:cs="楷体_GB2312"/>
          <w:color w:val="000000"/>
          <w:kern w:val="0"/>
          <w:szCs w:val="32"/>
          <w:highlight w:val="none"/>
          <w:shd w:val="clear" w:color="auto" w:fill="FFFFFF"/>
          <w:lang w:val="en-US" w:eastAsia="zh-CN"/>
        </w:rPr>
        <w:t>1</w:t>
      </w:r>
      <w:r>
        <w:rPr>
          <w:rFonts w:hint="eastAsia" w:ascii="楷体_GB2312" w:hAnsi="楷体_GB2312" w:eastAsia="楷体_GB2312" w:cs="楷体_GB2312"/>
          <w:color w:val="000000"/>
          <w:kern w:val="0"/>
          <w:szCs w:val="32"/>
          <w:highlight w:val="none"/>
          <w:shd w:val="clear" w:color="auto" w:fill="FFFFFF"/>
          <w:lang w:val="zh-CN"/>
        </w:rPr>
        <w:t>）人均资产变化率：</w:t>
      </w:r>
      <w:r>
        <w:rPr>
          <w:rFonts w:hint="eastAsia" w:ascii="仿宋_GB2312" w:hAnsi="仿宋_GB2312" w:eastAsia="仿宋_GB2312" w:cs="仿宋_GB2312"/>
          <w:sz w:val="32"/>
          <w:szCs w:val="32"/>
          <w:lang w:val="zh-CN" w:eastAsia="zh-CN"/>
        </w:rPr>
        <w:t>统计局</w:t>
      </w:r>
      <w:r>
        <w:rPr>
          <w:rFonts w:hint="eastAsia" w:ascii="仿宋_GB2312" w:hAnsi="仿宋_GB2312" w:eastAsia="仿宋_GB2312" w:cs="仿宋_GB2312"/>
          <w:sz w:val="32"/>
          <w:szCs w:val="32"/>
          <w:lang w:val="en-US" w:eastAsia="zh-CN"/>
        </w:rPr>
        <w:t>资产</w:t>
      </w:r>
      <w:r>
        <w:rPr>
          <w:rFonts w:hint="eastAsia" w:ascii="仿宋_GB2312" w:hAnsi="仿宋_GB2312" w:eastAsia="仿宋_GB2312" w:cs="仿宋_GB2312"/>
          <w:sz w:val="32"/>
          <w:szCs w:val="32"/>
          <w:lang w:val="zh-CN"/>
        </w:rPr>
        <w:t>资产变化率</w:t>
      </w:r>
      <w:r>
        <w:rPr>
          <w:rFonts w:hint="eastAsia" w:ascii="仿宋_GB2312" w:hAnsi="仿宋_GB2312" w:eastAsia="仿宋_GB2312" w:cs="仿宋_GB2312"/>
          <w:sz w:val="32"/>
          <w:szCs w:val="32"/>
          <w:lang w:val="en-US" w:eastAsia="zh-CN"/>
        </w:rPr>
        <w:t>在可控状态</w:t>
      </w:r>
      <w:r>
        <w:rPr>
          <w:rFonts w:hint="eastAsia" w:ascii="仿宋_GB2312" w:hAnsi="仿宋_GB2312" w:cs="仿宋_GB2312"/>
          <w:sz w:val="32"/>
          <w:szCs w:val="32"/>
          <w:lang w:val="en-US" w:eastAsia="zh-CN"/>
        </w:rPr>
        <w:t>，</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3分。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cs="仿宋_GB2312"/>
          <w:sz w:val="32"/>
          <w:szCs w:val="32"/>
          <w:lang w:val="en-US" w:eastAsia="zh-CN"/>
        </w:rPr>
      </w:pPr>
      <w:r>
        <w:rPr>
          <w:rFonts w:hint="eastAsia" w:ascii="楷体_GB2312" w:hAnsi="楷体_GB2312" w:eastAsia="楷体_GB2312" w:cs="楷体_GB2312"/>
          <w:color w:val="000000"/>
          <w:kern w:val="0"/>
          <w:szCs w:val="32"/>
          <w:highlight w:val="none"/>
          <w:shd w:val="clear" w:color="auto" w:fill="FFFFFF"/>
          <w:lang w:val="zh-CN"/>
        </w:rPr>
        <w:t>（</w:t>
      </w:r>
      <w:r>
        <w:rPr>
          <w:rFonts w:hint="eastAsia" w:ascii="楷体_GB2312" w:hAnsi="楷体_GB2312" w:eastAsia="楷体_GB2312" w:cs="楷体_GB2312"/>
          <w:color w:val="000000"/>
          <w:kern w:val="0"/>
          <w:szCs w:val="32"/>
          <w:highlight w:val="none"/>
          <w:shd w:val="clear" w:color="auto" w:fill="FFFFFF"/>
          <w:lang w:val="en-US" w:eastAsia="zh-CN"/>
        </w:rPr>
        <w:t>2</w:t>
      </w:r>
      <w:r>
        <w:rPr>
          <w:rFonts w:hint="eastAsia" w:ascii="楷体_GB2312" w:hAnsi="楷体_GB2312" w:eastAsia="楷体_GB2312" w:cs="楷体_GB2312"/>
          <w:color w:val="000000"/>
          <w:kern w:val="0"/>
          <w:szCs w:val="32"/>
          <w:highlight w:val="none"/>
          <w:shd w:val="clear" w:color="auto" w:fill="FFFFFF"/>
          <w:lang w:val="zh-CN"/>
        </w:rPr>
        <w:t>）资产利用率：</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lang w:val="zh-CN"/>
        </w:rPr>
        <w:t>资产利用率</w:t>
      </w:r>
      <w:r>
        <w:rPr>
          <w:rFonts w:hint="eastAsia" w:ascii="仿宋_GB2312" w:hAnsi="仿宋_GB2312" w:eastAsia="仿宋_GB2312" w:cs="仿宋_GB2312"/>
          <w:sz w:val="32"/>
          <w:szCs w:val="32"/>
          <w:lang w:val="en-US" w:eastAsia="zh-CN"/>
        </w:rPr>
        <w:t>高效</w:t>
      </w:r>
      <w:r>
        <w:rPr>
          <w:rFonts w:hint="eastAsia" w:ascii="仿宋_GB2312" w:hAnsi="仿宋_GB2312" w:cs="仿宋_GB2312"/>
          <w:sz w:val="32"/>
          <w:szCs w:val="32"/>
          <w:lang w:val="en-US" w:eastAsia="zh-CN"/>
        </w:rPr>
        <w:t>，</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3分。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000000"/>
          <w:kern w:val="0"/>
          <w:szCs w:val="32"/>
          <w:highlight w:val="none"/>
          <w:shd w:val="clear" w:color="auto" w:fill="FFFFFF"/>
          <w:lang w:val="zh-CN"/>
        </w:rPr>
        <w:t>（</w:t>
      </w:r>
      <w:r>
        <w:rPr>
          <w:rFonts w:hint="eastAsia" w:ascii="楷体_GB2312" w:hAnsi="楷体_GB2312" w:eastAsia="楷体_GB2312" w:cs="楷体_GB2312"/>
          <w:color w:val="000000"/>
          <w:kern w:val="0"/>
          <w:szCs w:val="32"/>
          <w:highlight w:val="none"/>
          <w:shd w:val="clear" w:color="auto" w:fill="FFFFFF"/>
          <w:lang w:val="en-US" w:eastAsia="zh-CN"/>
        </w:rPr>
        <w:t>3</w:t>
      </w:r>
      <w:r>
        <w:rPr>
          <w:rFonts w:hint="eastAsia" w:ascii="楷体_GB2312" w:hAnsi="楷体_GB2312" w:eastAsia="楷体_GB2312" w:cs="楷体_GB2312"/>
          <w:color w:val="000000"/>
          <w:kern w:val="0"/>
          <w:szCs w:val="32"/>
          <w:highlight w:val="none"/>
          <w:shd w:val="clear" w:color="auto" w:fill="FFFFFF"/>
          <w:lang w:val="zh-CN"/>
        </w:rPr>
        <w:t>）资产盘活率：</w:t>
      </w:r>
      <w:r>
        <w:rPr>
          <w:rFonts w:hint="eastAsia" w:ascii="仿宋_GB2312" w:hAnsi="仿宋_GB2312" w:eastAsia="仿宋_GB2312" w:cs="仿宋_GB2312"/>
          <w:sz w:val="32"/>
          <w:szCs w:val="32"/>
          <w:lang w:val="en-US" w:eastAsia="zh-CN"/>
        </w:rPr>
        <w:t>近</w:t>
      </w:r>
      <w:r>
        <w:rPr>
          <w:rFonts w:hint="eastAsia" w:ascii="仿宋_GB2312" w:hAnsi="仿宋_GB2312" w:eastAsia="仿宋_GB2312" w:cs="仿宋_GB2312"/>
          <w:sz w:val="32"/>
          <w:szCs w:val="32"/>
          <w:lang w:val="zh-CN"/>
        </w:rPr>
        <w:t>两年均无闲置资产或上年度有闲置资产评价年度无闲置资产</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2分。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5.</w:t>
      </w:r>
      <w:r>
        <w:rPr>
          <w:rFonts w:hint="default" w:ascii="Times New Roman" w:hAnsi="Times New Roman" w:eastAsia="楷体_GB2312" w:cs="Times New Roman"/>
          <w:color w:val="000000"/>
          <w:kern w:val="0"/>
          <w:szCs w:val="32"/>
          <w:highlight w:val="none"/>
          <w:shd w:val="clear" w:color="auto" w:fill="FFFFFF"/>
          <w:lang w:val="zh-CN"/>
        </w:rPr>
        <w:t>采购管理。</w:t>
      </w:r>
      <w:r>
        <w:rPr>
          <w:rFonts w:hint="eastAsia" w:ascii="仿宋_GB2312" w:hAnsi="仿宋_GB2312" w:eastAsia="仿宋_GB2312" w:cs="仿宋_GB2312"/>
          <w:color w:val="000000"/>
          <w:kern w:val="0"/>
          <w:szCs w:val="32"/>
          <w:highlight w:val="none"/>
          <w:shd w:val="clear" w:color="auto" w:fill="FFFFFF"/>
          <w:lang w:val="zh-CN"/>
        </w:rPr>
        <w:t>（得分：</w:t>
      </w:r>
      <w:r>
        <w:rPr>
          <w:rFonts w:hint="eastAsia" w:ascii="仿宋_GB2312" w:hAnsi="仿宋_GB2312" w:cs="仿宋_GB2312"/>
          <w:color w:val="000000"/>
          <w:kern w:val="0"/>
          <w:szCs w:val="32"/>
          <w:highlight w:val="none"/>
          <w:shd w:val="clear" w:color="auto" w:fill="FFFFFF"/>
          <w:lang w:val="en-US" w:eastAsia="zh-CN"/>
        </w:rPr>
        <w:t>6</w:t>
      </w:r>
      <w:r>
        <w:rPr>
          <w:rFonts w:hint="eastAsia" w:ascii="仿宋_GB2312" w:hAnsi="仿宋_GB2312" w:eastAsia="仿宋_GB2312" w:cs="仿宋_GB2312"/>
          <w:color w:val="000000"/>
          <w:kern w:val="0"/>
          <w:szCs w:val="32"/>
          <w:highlight w:val="none"/>
          <w:shd w:val="clear" w:color="auto" w:fill="FFFFFF"/>
          <w:lang w:val="en-US" w:eastAsia="zh-CN"/>
        </w:rPr>
        <w:t>分</w:t>
      </w:r>
      <w:r>
        <w:rPr>
          <w:rFonts w:hint="eastAsia" w:ascii="仿宋_GB2312" w:hAnsi="仿宋_GB2312" w:eastAsia="仿宋_GB2312" w:cs="仿宋_GB2312"/>
          <w:color w:val="000000"/>
          <w:kern w:val="0"/>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cs="仿宋_GB2312"/>
          <w:sz w:val="32"/>
          <w:szCs w:val="32"/>
          <w:lang w:val="en-US" w:eastAsia="zh-CN"/>
        </w:rPr>
      </w:pPr>
      <w:r>
        <w:rPr>
          <w:rFonts w:hint="eastAsia" w:ascii="仿宋_GB2312" w:hAnsi="仿宋_GB2312" w:cs="仿宋_GB2312"/>
          <w:sz w:val="32"/>
          <w:szCs w:val="32"/>
          <w:lang w:val="zh-CN"/>
        </w:rPr>
        <w:t>（</w:t>
      </w:r>
      <w:r>
        <w:rPr>
          <w:rFonts w:hint="eastAsia" w:ascii="仿宋_GB2312" w:hAnsi="仿宋_GB2312" w:cs="仿宋_GB2312"/>
          <w:sz w:val="32"/>
          <w:szCs w:val="32"/>
          <w:lang w:val="en-US" w:eastAsia="zh-CN"/>
        </w:rPr>
        <w:t>1</w:t>
      </w:r>
      <w:r>
        <w:rPr>
          <w:rFonts w:hint="eastAsia" w:ascii="仿宋_GB2312" w:hAnsi="仿宋_GB2312" w:cs="仿宋_GB2312"/>
          <w:sz w:val="32"/>
          <w:szCs w:val="32"/>
          <w:lang w:val="zh-CN"/>
        </w:rPr>
        <w:t>）支持中小企业发展：</w:t>
      </w:r>
      <w:r>
        <w:rPr>
          <w:rFonts w:hint="eastAsia" w:ascii="仿宋_GB2312" w:hAnsi="仿宋_GB2312" w:cs="仿宋_GB2312"/>
          <w:sz w:val="32"/>
          <w:szCs w:val="32"/>
          <w:lang w:val="en-US" w:eastAsia="zh-CN"/>
        </w:rPr>
        <w:t>2025年我局不涉及采购，</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3分。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zh-CN"/>
        </w:rPr>
      </w:pPr>
      <w:r>
        <w:rPr>
          <w:rFonts w:hint="eastAsia" w:ascii="仿宋_GB2312" w:hAnsi="仿宋_GB2312" w:cs="仿宋_GB2312"/>
          <w:sz w:val="32"/>
          <w:szCs w:val="32"/>
          <w:lang w:val="zh-CN"/>
        </w:rPr>
        <w:t>（</w:t>
      </w:r>
      <w:r>
        <w:rPr>
          <w:rFonts w:hint="eastAsia" w:ascii="仿宋_GB2312" w:hAnsi="仿宋_GB2312" w:cs="仿宋_GB2312"/>
          <w:sz w:val="32"/>
          <w:szCs w:val="32"/>
          <w:lang w:val="en-US" w:eastAsia="zh-CN"/>
        </w:rPr>
        <w:t>2</w:t>
      </w:r>
      <w:r>
        <w:rPr>
          <w:rFonts w:hint="eastAsia" w:ascii="仿宋_GB2312" w:hAnsi="仿宋_GB2312" w:cs="仿宋_GB2312"/>
          <w:sz w:val="32"/>
          <w:szCs w:val="32"/>
          <w:lang w:val="zh-CN"/>
        </w:rPr>
        <w:t>）采购执行率：</w:t>
      </w:r>
      <w:r>
        <w:rPr>
          <w:rFonts w:hint="eastAsia" w:ascii="仿宋_GB2312" w:hAnsi="仿宋_GB2312" w:eastAsia="仿宋_GB2312" w:cs="仿宋_GB2312"/>
          <w:sz w:val="32"/>
          <w:szCs w:val="32"/>
          <w:lang w:val="zh-CN"/>
        </w:rPr>
        <w:t>采购预算中单独列示，采购执行率</w:t>
      </w:r>
      <w:r>
        <w:rPr>
          <w:rFonts w:hint="eastAsia" w:ascii="仿宋_GB2312" w:hAnsi="仿宋_GB2312" w:eastAsia="仿宋_GB2312" w:cs="仿宋_GB2312"/>
          <w:sz w:val="32"/>
          <w:szCs w:val="32"/>
          <w:lang w:val="en-US" w:eastAsia="zh-CN"/>
        </w:rPr>
        <w:t>高</w:t>
      </w:r>
      <w:r>
        <w:rPr>
          <w:rFonts w:hint="eastAsia" w:ascii="仿宋_GB2312" w:hAnsi="仿宋_GB2312" w:cs="仿宋_GB2312"/>
          <w:sz w:val="32"/>
          <w:szCs w:val="32"/>
          <w:lang w:val="en-US" w:eastAsia="zh-CN"/>
        </w:rPr>
        <w:t>，</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3分。</w:t>
      </w:r>
    </w:p>
    <w:p>
      <w:pPr>
        <w:adjustRightInd w:val="0"/>
        <w:snapToGrid w:val="0"/>
        <w:spacing w:line="578"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（二）部门预算项目绩效分析。</w:t>
      </w:r>
    </w:p>
    <w:p>
      <w:pPr>
        <w:pStyle w:val="8"/>
        <w:keepNext w:val="0"/>
        <w:keepLines w:val="0"/>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en-US" w:eastAsia="zh-CN"/>
        </w:rPr>
        <w:t>常年项目绩效分析。</w:t>
      </w:r>
      <w:r>
        <w:rPr>
          <w:rFonts w:hint="default" w:ascii="Times New Roman" w:hAnsi="Times New Roman" w:cs="Times New Roman"/>
          <w:color w:val="000000"/>
          <w:kern w:val="0"/>
          <w:szCs w:val="32"/>
          <w:highlight w:val="none"/>
          <w:shd w:val="clear" w:color="auto" w:fill="FFFFFF"/>
          <w:lang w:val="zh-CN" w:eastAsia="zh-CN"/>
        </w:rPr>
        <w:t>该类项目总数</w:t>
      </w:r>
      <w:r>
        <w:rPr>
          <w:rFonts w:hint="eastAsia" w:ascii="Times New Roman" w:hAnsi="Times New Roman" w:cs="Times New Roman"/>
          <w:color w:val="000000"/>
          <w:kern w:val="0"/>
          <w:szCs w:val="32"/>
          <w:highlight w:val="none"/>
          <w:shd w:val="clear" w:color="auto" w:fill="FFFFFF"/>
          <w:lang w:val="en-US" w:eastAsia="zh-CN"/>
        </w:rPr>
        <w:t>4</w:t>
      </w:r>
      <w:r>
        <w:rPr>
          <w:rFonts w:hint="default" w:ascii="Times New Roman" w:hAnsi="Times New Roman" w:cs="Times New Roman"/>
          <w:color w:val="000000"/>
          <w:kern w:val="0"/>
          <w:szCs w:val="32"/>
          <w:highlight w:val="none"/>
          <w:shd w:val="clear" w:color="auto" w:fill="FFFFFF"/>
          <w:lang w:val="zh-CN" w:eastAsia="zh-CN"/>
        </w:rPr>
        <w:t>个，涉及预算总金额</w:t>
      </w:r>
      <w:r>
        <w:rPr>
          <w:rFonts w:hint="default" w:ascii="Times New Roman" w:hAnsi="Times New Roman" w:cs="Times New Roman"/>
          <w:color w:val="000000"/>
          <w:kern w:val="0"/>
          <w:szCs w:val="32"/>
          <w:highlight w:val="none"/>
          <w:shd w:val="clear" w:color="auto" w:fill="FFFFFF"/>
          <w:lang w:val="en-US" w:eastAsia="zh-CN"/>
        </w:rPr>
        <w:t xml:space="preserve">   </w:t>
      </w:r>
      <w:r>
        <w:rPr>
          <w:rFonts w:hint="eastAsia" w:ascii="Times New Roman" w:hAnsi="Times New Roman" w:cs="Times New Roman"/>
          <w:color w:val="000000"/>
          <w:kern w:val="0"/>
          <w:szCs w:val="32"/>
          <w:highlight w:val="none"/>
          <w:shd w:val="clear" w:color="auto" w:fill="FFFFFF"/>
          <w:lang w:val="en-US" w:eastAsia="zh-CN"/>
        </w:rPr>
        <w:t>93.95</w:t>
      </w:r>
      <w:r>
        <w:rPr>
          <w:rFonts w:hint="default" w:ascii="Times New Roman" w:hAnsi="Times New Roman" w:cs="Times New Roman"/>
          <w:color w:val="000000"/>
          <w:kern w:val="0"/>
          <w:szCs w:val="32"/>
          <w:highlight w:val="none"/>
          <w:shd w:val="clear" w:color="auto" w:fill="FFFFFF"/>
          <w:lang w:val="zh-CN" w:eastAsia="zh-CN"/>
        </w:rPr>
        <w:t>万元，</w:t>
      </w:r>
      <w:r>
        <w:rPr>
          <w:rFonts w:hint="default" w:ascii="Times New Roman" w:hAnsi="Times New Roman"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zh-CN"/>
        </w:rPr>
        <w:t>1</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rPr>
        <w:t>月预算执行总体进度为</w:t>
      </w:r>
      <w:r>
        <w:rPr>
          <w:rFonts w:hint="eastAsia" w:ascii="Times New Roman" w:hAnsi="Times New Roman" w:cs="Times New Roman"/>
          <w:color w:val="000000"/>
          <w:kern w:val="0"/>
          <w:szCs w:val="32"/>
          <w:highlight w:val="none"/>
          <w:shd w:val="clear" w:color="auto" w:fill="FFFFFF"/>
          <w:lang w:val="en-US" w:eastAsia="zh-CN"/>
        </w:rPr>
        <w:t>100</w:t>
      </w:r>
      <w:r>
        <w:rPr>
          <w:rFonts w:hint="default" w:ascii="Times New Roman" w:hAnsi="Times New Roman" w:cs="Times New Roman"/>
          <w:color w:val="000000"/>
          <w:kern w:val="0"/>
          <w:szCs w:val="32"/>
          <w:highlight w:val="none"/>
          <w:shd w:val="clear" w:color="auto" w:fill="FFFFFF"/>
          <w:lang w:val="zh-CN"/>
        </w:rPr>
        <w:t>%，其中：</w:t>
      </w:r>
      <w:r>
        <w:rPr>
          <w:rFonts w:hint="default" w:ascii="Times New Roman" w:hAnsi="Times New Roman" w:cs="Times New Roman"/>
          <w:color w:val="000000"/>
          <w:kern w:val="0"/>
          <w:szCs w:val="32"/>
          <w:highlight w:val="none"/>
          <w:shd w:val="clear" w:color="auto" w:fill="FFFFFF"/>
          <w:lang w:val="zh-CN" w:eastAsia="zh-CN"/>
        </w:rPr>
        <w:t>预算结余率大于</w:t>
      </w:r>
      <w:r>
        <w:rPr>
          <w:rFonts w:hint="default" w:ascii="Times New Roman" w:hAnsi="Times New Roman" w:cs="Times New Roman"/>
          <w:color w:val="000000"/>
          <w:kern w:val="0"/>
          <w:szCs w:val="32"/>
          <w:highlight w:val="none"/>
          <w:shd w:val="clear" w:color="auto" w:fill="FFFFFF"/>
          <w:lang w:val="en-US" w:eastAsia="zh-CN"/>
        </w:rPr>
        <w:t>10%</w:t>
      </w:r>
      <w:r>
        <w:rPr>
          <w:rFonts w:hint="default" w:ascii="Times New Roman" w:hAnsi="Times New Roman" w:cs="Times New Roman"/>
          <w:color w:val="000000"/>
          <w:kern w:val="0"/>
          <w:szCs w:val="32"/>
          <w:highlight w:val="none"/>
          <w:shd w:val="clear" w:color="auto" w:fill="FFFFFF"/>
          <w:lang w:val="zh-CN" w:eastAsia="zh-CN"/>
        </w:rPr>
        <w:t>的项目共计</w:t>
      </w:r>
      <w:r>
        <w:rPr>
          <w:rFonts w:hint="eastAsia"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个。</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b/>
          <w:bCs/>
          <w:color w:val="000000" w:themeColor="text1"/>
          <w:kern w:val="0"/>
          <w:szCs w:val="32"/>
          <w:highlight w:val="none"/>
          <w:shd w:val="clear" w:color="auto" w:fill="FFFFFF"/>
          <w:lang w:val="en-US" w:eastAsia="zh-CN"/>
        </w:rPr>
        <w:t>1.劳动力调查：</w:t>
      </w:r>
      <w:r>
        <w:rPr>
          <w:rFonts w:hint="eastAsia" w:cs="Times New Roman"/>
          <w:color w:val="000000"/>
          <w:kern w:val="0"/>
          <w:szCs w:val="32"/>
          <w:highlight w:val="none"/>
          <w:shd w:val="clear" w:color="auto" w:fill="FFFFFF"/>
          <w:lang w:val="en-US" w:eastAsia="zh-CN"/>
        </w:rPr>
        <w:t>2025年预算数2.53万元，2025年拨付2.53万元，拨付率为100%，该项目绩效总体目标为保障日常运转。</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b/>
          <w:bCs/>
          <w:color w:val="000000" w:themeColor="text1"/>
          <w:kern w:val="0"/>
          <w:szCs w:val="32"/>
          <w:highlight w:val="none"/>
          <w:shd w:val="clear" w:color="auto" w:fill="FFFFFF"/>
          <w:lang w:val="en-US" w:eastAsia="zh-CN"/>
        </w:rPr>
        <w:t>2.代管资金：</w:t>
      </w:r>
      <w:r>
        <w:rPr>
          <w:rFonts w:hint="eastAsia" w:cs="Times New Roman"/>
          <w:color w:val="000000"/>
          <w:kern w:val="0"/>
          <w:szCs w:val="32"/>
          <w:highlight w:val="none"/>
          <w:shd w:val="clear" w:color="auto" w:fill="FFFFFF"/>
          <w:lang w:val="en-US" w:eastAsia="zh-CN"/>
        </w:rPr>
        <w:t>2025年预算数3万元，2025年拨付3万元，拨付率为100%，该项目绩效总体目标为保障日常工作正常运转。</w:t>
      </w:r>
    </w:p>
    <w:p>
      <w:pPr>
        <w:pStyle w:val="8"/>
        <w:keepNext w:val="0"/>
        <w:keepLines w:val="0"/>
        <w:pageBreakBefore w:val="0"/>
        <w:kinsoku/>
        <w:wordWrap/>
        <w:overflowPunct/>
        <w:topLinePunct w:val="0"/>
        <w:autoSpaceDE/>
        <w:autoSpaceDN/>
        <w:bidi w:val="0"/>
        <w:spacing w:line="576" w:lineRule="exact"/>
        <w:ind w:firstLine="642" w:firstLineChars="200"/>
        <w:textAlignment w:val="auto"/>
        <w:rPr>
          <w:rFonts w:hint="default" w:cs="Times New Roman"/>
          <w:color w:val="000000"/>
          <w:kern w:val="0"/>
          <w:szCs w:val="32"/>
          <w:highlight w:val="none"/>
          <w:shd w:val="clear" w:color="auto" w:fill="FFFFFF"/>
          <w:lang w:val="en-US" w:eastAsia="zh-CN"/>
        </w:rPr>
      </w:pPr>
      <w:r>
        <w:rPr>
          <w:rFonts w:hint="eastAsia" w:cs="Times New Roman"/>
          <w:b/>
          <w:bCs/>
          <w:color w:val="000000" w:themeColor="text1"/>
          <w:kern w:val="0"/>
          <w:szCs w:val="32"/>
          <w:highlight w:val="none"/>
          <w:shd w:val="clear" w:color="auto" w:fill="FFFFFF"/>
          <w:lang w:val="en-US" w:eastAsia="zh-CN"/>
        </w:rPr>
        <w:t>3.四上企业及部分个体户统计人员补贴：</w:t>
      </w:r>
      <w:r>
        <w:rPr>
          <w:rFonts w:hint="eastAsia" w:cs="Times New Roman"/>
          <w:color w:val="000000"/>
          <w:kern w:val="0"/>
          <w:szCs w:val="32"/>
          <w:highlight w:val="none"/>
          <w:shd w:val="clear" w:color="auto" w:fill="FFFFFF"/>
          <w:lang w:val="en-US" w:eastAsia="zh-CN"/>
        </w:rPr>
        <w:t>2025年预算数6.66万元，2025年支付6.66万元，拨付率为100%，该项目绩效总体目标四上企业及部分个体户统计人员补贴。</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b/>
          <w:bCs/>
          <w:color w:val="000000" w:themeColor="text1"/>
          <w:kern w:val="0"/>
          <w:szCs w:val="32"/>
          <w:highlight w:val="none"/>
          <w:shd w:val="clear" w:color="auto" w:fill="FFFFFF"/>
          <w:lang w:val="en-US" w:eastAsia="zh-CN"/>
        </w:rPr>
        <w:t>4.住户调查奖补：</w:t>
      </w:r>
      <w:r>
        <w:rPr>
          <w:rFonts w:hint="eastAsia" w:cs="Times New Roman"/>
          <w:color w:val="000000"/>
          <w:kern w:val="0"/>
          <w:szCs w:val="32"/>
          <w:highlight w:val="none"/>
          <w:shd w:val="clear" w:color="auto" w:fill="FFFFFF"/>
          <w:lang w:val="en-US" w:eastAsia="zh-CN"/>
        </w:rPr>
        <w:t>2025年预算数81.76万元，2025年拨付81.76万元，拨付率为100%，该项目绩效总体目标</w:t>
      </w:r>
      <w:r>
        <w:rPr>
          <w:rFonts w:hint="eastAsia" w:ascii="仿宋_GB2312" w:hAnsi="宋体" w:eastAsia="仿宋_GB2312" w:cs="Times New Roman"/>
          <w:sz w:val="32"/>
          <w:szCs w:val="32"/>
        </w:rPr>
        <w:t>为</w:t>
      </w:r>
      <w:r>
        <w:rPr>
          <w:rFonts w:hint="eastAsia" w:ascii="仿宋_GB2312" w:hAnsi="宋体" w:eastAsia="仿宋_GB2312" w:cs="Times New Roman"/>
          <w:sz w:val="32"/>
          <w:szCs w:val="32"/>
          <w:lang w:eastAsia="zh-CN"/>
        </w:rPr>
        <w:t>全面、准确、及时了解全国和各地区城乡居民收入、消费及其他生活状况，客观监测居民收入分配格局和不同收入层次居民的生活质量，开展城乡住户收支与生活状况调查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含</w:t>
      </w:r>
      <w:r>
        <w:rPr>
          <w:rFonts w:hint="default" w:ascii="Times New Roman" w:hAnsi="Times New Roman" w:cs="Times New Roman"/>
          <w:color w:val="000000"/>
          <w:kern w:val="0"/>
          <w:szCs w:val="32"/>
          <w:highlight w:val="none"/>
          <w:shd w:val="clear" w:color="auto" w:fill="FFFFFF"/>
          <w:lang w:val="en-US" w:eastAsia="zh-CN"/>
        </w:rPr>
        <w:t>一次性）项目绩效分析。</w:t>
      </w:r>
      <w:r>
        <w:rPr>
          <w:rFonts w:hint="default" w:ascii="Times New Roman" w:hAnsi="Times New Roman"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eastAsia="zh-CN"/>
        </w:rPr>
        <w:t>个，涉及预算总金额</w:t>
      </w:r>
      <w:r>
        <w:rPr>
          <w:rFonts w:hint="eastAsia" w:cs="Times New Roman"/>
          <w:color w:val="000000"/>
          <w:kern w:val="0"/>
          <w:szCs w:val="32"/>
          <w:highlight w:val="none"/>
          <w:shd w:val="clear" w:color="auto" w:fill="FFFFFF"/>
          <w:lang w:val="en-US" w:eastAsia="zh-CN"/>
        </w:rPr>
        <w:t>18.99</w:t>
      </w:r>
      <w:r>
        <w:rPr>
          <w:rFonts w:hint="default" w:ascii="Times New Roman" w:hAnsi="Times New Roman" w:cs="Times New Roman"/>
          <w:color w:val="000000"/>
          <w:kern w:val="0"/>
          <w:szCs w:val="32"/>
          <w:highlight w:val="none"/>
          <w:shd w:val="clear" w:color="auto" w:fill="FFFFFF"/>
          <w:lang w:val="zh-CN" w:eastAsia="zh-CN"/>
        </w:rPr>
        <w:t>万元，</w:t>
      </w:r>
      <w:r>
        <w:rPr>
          <w:rFonts w:hint="default" w:ascii="Times New Roman" w:hAnsi="Times New Roman"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zh-CN"/>
        </w:rPr>
        <w:t>1</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hint="default" w:ascii="Times New Roman" w:hAnsi="Times New Roman" w:cs="Times New Roman"/>
          <w:color w:val="000000"/>
          <w:kern w:val="0"/>
          <w:szCs w:val="32"/>
          <w:highlight w:val="none"/>
          <w:shd w:val="clear" w:color="auto" w:fill="FFFFFF"/>
          <w:lang w:val="zh-CN"/>
        </w:rPr>
        <w:t>%，其中：</w:t>
      </w:r>
      <w:r>
        <w:rPr>
          <w:rFonts w:hint="default" w:ascii="Times New Roman" w:hAnsi="Times New Roman" w:cs="Times New Roman"/>
          <w:color w:val="000000"/>
          <w:kern w:val="0"/>
          <w:szCs w:val="32"/>
          <w:highlight w:val="none"/>
          <w:shd w:val="clear" w:color="auto" w:fill="FFFFFF"/>
          <w:lang w:val="zh-CN" w:eastAsia="zh-CN"/>
        </w:rPr>
        <w:t>预算结余率大于</w:t>
      </w:r>
      <w:r>
        <w:rPr>
          <w:rFonts w:hint="default" w:ascii="Times New Roman" w:hAnsi="Times New Roman" w:cs="Times New Roman"/>
          <w:color w:val="000000"/>
          <w:kern w:val="0"/>
          <w:szCs w:val="32"/>
          <w:highlight w:val="none"/>
          <w:shd w:val="clear" w:color="auto" w:fill="FFFFFF"/>
          <w:lang w:val="en-US" w:eastAsia="zh-CN"/>
        </w:rPr>
        <w:t>10%</w:t>
      </w:r>
      <w:r>
        <w:rPr>
          <w:rFonts w:hint="default" w:ascii="Times New Roman" w:hAnsi="Times New Roman"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个。</w:t>
      </w:r>
    </w:p>
    <w:p>
      <w:pPr>
        <w:pStyle w:val="8"/>
        <w:keepNext w:val="0"/>
        <w:keepLines w:val="0"/>
        <w:pageBreakBefore w:val="0"/>
        <w:numPr>
          <w:ilvl w:val="0"/>
          <w:numId w:val="0"/>
        </w:numPr>
        <w:kinsoku/>
        <w:wordWrap/>
        <w:overflowPunct/>
        <w:topLinePunct w:val="0"/>
        <w:autoSpaceDE/>
        <w:autoSpaceDN/>
        <w:bidi w:val="0"/>
        <w:spacing w:line="576" w:lineRule="exact"/>
        <w:ind w:firstLine="642" w:firstLineChars="200"/>
        <w:textAlignment w:val="auto"/>
        <w:rPr>
          <w:rFonts w:hint="eastAsia" w:cs="Times New Roman"/>
          <w:color w:val="000000"/>
          <w:kern w:val="0"/>
          <w:szCs w:val="32"/>
          <w:highlight w:val="none"/>
          <w:shd w:val="clear" w:color="auto" w:fill="FFFFFF"/>
          <w:lang w:val="en-US" w:eastAsia="zh-CN"/>
        </w:rPr>
      </w:pPr>
      <w:r>
        <w:rPr>
          <w:rFonts w:hint="eastAsia" w:cs="Times New Roman"/>
          <w:b/>
          <w:bCs/>
          <w:color w:val="000000" w:themeColor="text1"/>
          <w:kern w:val="0"/>
          <w:szCs w:val="32"/>
          <w:highlight w:val="none"/>
          <w:shd w:val="clear" w:color="auto" w:fill="FFFFFF"/>
          <w:lang w:val="en-US" w:eastAsia="zh-CN"/>
        </w:rPr>
        <w:t>1.全国第五次经济普查：</w:t>
      </w:r>
      <w:r>
        <w:rPr>
          <w:rFonts w:hint="eastAsia" w:cs="Times New Roman"/>
          <w:color w:val="000000"/>
          <w:kern w:val="0"/>
          <w:szCs w:val="32"/>
          <w:highlight w:val="none"/>
          <w:shd w:val="clear" w:color="auto" w:fill="FFFFFF"/>
          <w:lang w:val="en-US" w:eastAsia="zh-CN"/>
        </w:rPr>
        <w:t>2025年预算数3.3万元，2025年支付3.3万元，拨付率为100%，该项目绩效总体目标对全县第二、三产业全部法人单位产业活动单位，个体经用户经营情况进行全面调查。</w:t>
      </w:r>
    </w:p>
    <w:p>
      <w:pPr>
        <w:pStyle w:val="8"/>
        <w:keepNext w:val="0"/>
        <w:keepLines w:val="0"/>
        <w:pageBreakBefore w:val="0"/>
        <w:kinsoku/>
        <w:wordWrap/>
        <w:overflowPunct/>
        <w:topLinePunct w:val="0"/>
        <w:autoSpaceDE/>
        <w:autoSpaceDN/>
        <w:bidi w:val="0"/>
        <w:spacing w:line="576" w:lineRule="exact"/>
        <w:ind w:firstLine="642" w:firstLineChars="200"/>
        <w:textAlignment w:val="auto"/>
        <w:rPr>
          <w:rFonts w:hint="default" w:cs="Times New Roman"/>
          <w:color w:val="000000"/>
          <w:kern w:val="0"/>
          <w:szCs w:val="32"/>
          <w:highlight w:val="none"/>
          <w:shd w:val="clear" w:color="auto" w:fill="FFFFFF"/>
          <w:lang w:val="en-US" w:eastAsia="zh-CN"/>
        </w:rPr>
      </w:pPr>
      <w:r>
        <w:rPr>
          <w:rFonts w:hint="eastAsia" w:cs="Times New Roman"/>
          <w:b/>
          <w:bCs/>
          <w:color w:val="000000" w:themeColor="text1"/>
          <w:kern w:val="0"/>
          <w:szCs w:val="32"/>
          <w:highlight w:val="none"/>
          <w:shd w:val="clear" w:color="auto" w:fill="FFFFFF"/>
          <w:lang w:val="en-US" w:eastAsia="zh-CN"/>
        </w:rPr>
        <w:t>2.第四次全国农业普查：</w:t>
      </w:r>
      <w:r>
        <w:rPr>
          <w:rFonts w:hint="eastAsia" w:cs="Times New Roman"/>
          <w:color w:val="000000"/>
          <w:kern w:val="0"/>
          <w:szCs w:val="32"/>
          <w:highlight w:val="none"/>
          <w:shd w:val="clear" w:color="auto" w:fill="FFFFFF"/>
          <w:lang w:val="en-US" w:eastAsia="zh-CN"/>
        </w:rPr>
        <w:t>2025年预算数15.69万元，2025年支付15.69万元，拨付率为100%，该项目绩效总体目标对全县行政区域内的农村住户、城镇农业生产经营户、农业生产经营单位、村民委员会及乡（镇）人民政府的农业生产条件、粮食和大食物生产情况等进行全面调查。</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1.</w:t>
      </w:r>
      <w:r>
        <w:rPr>
          <w:rFonts w:hint="default" w:ascii="Times New Roman" w:hAnsi="Times New Roman" w:eastAsia="楷体_GB2312" w:cs="Times New Roman"/>
          <w:color w:val="000000"/>
          <w:kern w:val="0"/>
          <w:szCs w:val="32"/>
          <w:highlight w:val="none"/>
          <w:shd w:val="clear" w:color="auto" w:fill="FFFFFF"/>
          <w:lang w:val="zh-CN"/>
        </w:rPr>
        <w:t>项目决策。</w:t>
      </w:r>
      <w:r>
        <w:rPr>
          <w:rFonts w:hint="eastAsia" w:ascii="宋体" w:hAnsi="Courier New" w:cs="Times New Roman"/>
          <w:b w:val="0"/>
          <w:bCs w:val="0"/>
          <w:color w:val="000000" w:themeColor="text1"/>
          <w:kern w:val="0"/>
          <w:sz w:val="32"/>
          <w:szCs w:val="32"/>
          <w:highlight w:val="none"/>
          <w:shd w:val="clear" w:color="auto" w:fill="FFFFFF"/>
          <w:lang w:val="zh-CN" w:eastAsia="zh-CN" w:bidi="ar-SA"/>
        </w:rPr>
        <w:t>（</w:t>
      </w:r>
      <w:r>
        <w:rPr>
          <w:rFonts w:hint="eastAsia" w:ascii="仿宋_GB2312" w:hAnsi="仿宋_GB2312" w:cs="仿宋_GB2312"/>
          <w:sz w:val="32"/>
          <w:szCs w:val="32"/>
          <w:lang w:val="zh-CN"/>
        </w:rPr>
        <w:t>得分</w:t>
      </w:r>
      <w:r>
        <w:rPr>
          <w:rFonts w:hint="eastAsia" w:ascii="仿宋_GB2312" w:hAnsi="仿宋_GB2312" w:cs="仿宋_GB2312"/>
          <w:sz w:val="32"/>
          <w:szCs w:val="32"/>
          <w:lang w:val="en-US" w:eastAsia="zh-CN"/>
        </w:rPr>
        <w:t>12分</w:t>
      </w:r>
      <w:r>
        <w:rPr>
          <w:rFonts w:hint="eastAsia" w:ascii="宋体" w:hAnsi="Courier New" w:cs="Times New Roman"/>
          <w:b w:val="0"/>
          <w:bCs w:val="0"/>
          <w:color w:val="000000" w:themeColor="text1"/>
          <w:kern w:val="0"/>
          <w:sz w:val="32"/>
          <w:szCs w:val="32"/>
          <w:highlight w:val="none"/>
          <w:shd w:val="clear" w:color="auto" w:fill="FFFFFF"/>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zh-CN"/>
        </w:rPr>
      </w:pPr>
      <w:r>
        <w:rPr>
          <w:rFonts w:hint="eastAsia" w:ascii="楷体_GB2312" w:hAnsi="楷体_GB2312" w:eastAsia="楷体_GB2312" w:cs="楷体_GB2312"/>
          <w:color w:val="000000"/>
          <w:kern w:val="0"/>
          <w:sz w:val="32"/>
          <w:szCs w:val="32"/>
          <w:shd w:val="clear" w:fill="FFFFFF"/>
          <w:lang w:val="en-US" w:eastAsia="zh-CN" w:bidi="ar-SA"/>
        </w:rPr>
        <w:t>（1）</w:t>
      </w:r>
      <w:r>
        <w:rPr>
          <w:rFonts w:hint="eastAsia" w:ascii="楷体_GB2312" w:hAnsi="楷体_GB2312" w:eastAsia="楷体_GB2312" w:cs="楷体_GB2312"/>
          <w:color w:val="000000"/>
          <w:kern w:val="0"/>
          <w:szCs w:val="32"/>
          <w:highlight w:val="none"/>
          <w:shd w:val="clear" w:color="auto" w:fill="FFFFFF"/>
          <w:lang w:val="en-US" w:eastAsia="zh-CN"/>
        </w:rPr>
        <w:t>决策程序：</w:t>
      </w:r>
      <w:r>
        <w:rPr>
          <w:rFonts w:hint="eastAsia" w:ascii="仿宋_GB2312" w:hAnsi="仿宋_GB2312" w:eastAsia="仿宋_GB2312" w:cs="仿宋_GB2312"/>
          <w:b w:val="0"/>
          <w:bCs w:val="0"/>
          <w:color w:val="000000" w:themeColor="text1"/>
          <w:kern w:val="0"/>
          <w:sz w:val="32"/>
          <w:szCs w:val="32"/>
          <w:highlight w:val="none"/>
          <w:shd w:val="clear" w:color="auto" w:fill="FFFFFF"/>
          <w:lang w:val="zh-CN" w:eastAsia="zh-CN" w:bidi="ar-SA"/>
        </w:rPr>
        <w:t>部门预算项目设立按规定履行评估论证、申报程序</w:t>
      </w:r>
      <w:r>
        <w:rPr>
          <w:rFonts w:hint="eastAsia" w:ascii="仿宋_GB2312" w:hAnsi="仿宋_GB2312" w:cs="仿宋_GB2312"/>
          <w:b w:val="0"/>
          <w:bCs w:val="0"/>
          <w:color w:val="000000" w:themeColor="text1"/>
          <w:kern w:val="0"/>
          <w:sz w:val="32"/>
          <w:szCs w:val="32"/>
          <w:highlight w:val="none"/>
          <w:shd w:val="clear" w:color="auto" w:fill="FFFFFF"/>
          <w:lang w:val="zh-CN" w:eastAsia="zh-CN" w:bidi="ar-SA"/>
        </w:rPr>
        <w:t>，</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4分</w:t>
      </w:r>
      <w:r>
        <w:rPr>
          <w:rFonts w:hint="eastAsia" w:ascii="仿宋_GB2312" w:hAnsi="仿宋_GB2312" w:eastAsia="仿宋_GB2312" w:cs="仿宋_GB2312"/>
          <w:sz w:val="32"/>
          <w:szCs w:val="32"/>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zh-CN"/>
        </w:rPr>
      </w:pPr>
      <w:r>
        <w:rPr>
          <w:rFonts w:hint="default" w:ascii="仿宋_GB2312" w:hAnsi="Times New Roman" w:eastAsia="仿宋_GB2312" w:cs="Times New Roman"/>
          <w:kern w:val="2"/>
          <w:sz w:val="32"/>
          <w:szCs w:val="32"/>
          <w:lang w:val="en-US" w:eastAsia="zh-CN" w:bidi="ar-SA"/>
        </w:rPr>
        <w:t>（2）</w:t>
      </w:r>
      <w:r>
        <w:rPr>
          <w:rFonts w:hint="eastAsia" w:ascii="仿宋_GB2312" w:hAnsi="仿宋_GB2312" w:eastAsia="仿宋_GB2312" w:cs="仿宋_GB2312"/>
          <w:color w:val="000000"/>
          <w:kern w:val="0"/>
          <w:sz w:val="32"/>
          <w:szCs w:val="32"/>
          <w:highlight w:val="none"/>
          <w:shd w:val="clear" w:color="auto" w:fill="FFFFFF"/>
          <w:lang w:val="zh-CN" w:eastAsia="zh-CN"/>
        </w:rPr>
        <w:t>目标设置</w:t>
      </w:r>
      <w:r>
        <w:rPr>
          <w:rFonts w:hint="eastAsia"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lang w:val="zh-CN"/>
        </w:rPr>
        <w:t>部门预算项目绩效目标与计划期内的任务量、预算安排的资金量匹配情况，绩效目标设置</w:t>
      </w:r>
      <w:r>
        <w:rPr>
          <w:rFonts w:hint="eastAsia" w:ascii="仿宋_GB2312" w:hAnsi="仿宋_GB2312" w:cs="仿宋_GB2312"/>
          <w:sz w:val="32"/>
          <w:szCs w:val="32"/>
          <w:lang w:val="zh-CN"/>
        </w:rPr>
        <w:t>符合</w:t>
      </w:r>
      <w:r>
        <w:rPr>
          <w:rFonts w:hint="eastAsia" w:ascii="仿宋_GB2312" w:hAnsi="仿宋_GB2312" w:eastAsia="仿宋_GB2312" w:cs="仿宋_GB2312"/>
          <w:sz w:val="32"/>
          <w:szCs w:val="32"/>
          <w:lang w:val="zh-CN"/>
        </w:rPr>
        <w:t>科学合理、规范完整、量化细化、预算匹配</w:t>
      </w:r>
      <w:r>
        <w:rPr>
          <w:rFonts w:hint="eastAsia" w:ascii="仿宋_GB2312" w:hAnsi="仿宋_GB2312" w:cs="仿宋_GB2312"/>
          <w:sz w:val="32"/>
          <w:szCs w:val="32"/>
          <w:lang w:val="zh-CN"/>
        </w:rPr>
        <w:t>基本规范，该项指标得分</w:t>
      </w:r>
      <w:r>
        <w:rPr>
          <w:rFonts w:hint="eastAsia" w:ascii="仿宋_GB2312" w:hAnsi="仿宋_GB2312" w:cs="仿宋_GB2312"/>
          <w:sz w:val="32"/>
          <w:szCs w:val="32"/>
          <w:lang w:val="en-US" w:eastAsia="zh-CN"/>
        </w:rPr>
        <w:t>4分</w:t>
      </w:r>
      <w:r>
        <w:rPr>
          <w:rFonts w:hint="eastAsia" w:ascii="仿宋_GB2312" w:hAnsi="仿宋_GB2312" w:eastAsia="仿宋_GB2312" w:cs="仿宋_GB2312"/>
          <w:sz w:val="32"/>
          <w:szCs w:val="32"/>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zh-CN"/>
        </w:rPr>
      </w:pPr>
      <w:r>
        <w:rPr>
          <w:rFonts w:hint="eastAsia" w:ascii="楷体_GB2312" w:hAnsi="楷体_GB2312" w:eastAsia="楷体_GB2312" w:cs="楷体_GB2312"/>
          <w:color w:val="000000"/>
          <w:kern w:val="0"/>
          <w:sz w:val="32"/>
          <w:szCs w:val="32"/>
          <w:shd w:val="clear" w:fill="FFFFFF"/>
          <w:lang w:val="zh-CN" w:eastAsia="zh-CN" w:bidi="ar-SA"/>
        </w:rPr>
        <w:t>（3）</w:t>
      </w:r>
      <w:r>
        <w:rPr>
          <w:rFonts w:hint="eastAsia" w:ascii="仿宋_GB2312" w:hAnsi="仿宋_GB2312" w:eastAsia="仿宋_GB2312" w:cs="仿宋_GB2312"/>
          <w:color w:val="000000"/>
          <w:kern w:val="0"/>
          <w:sz w:val="32"/>
          <w:szCs w:val="32"/>
          <w:highlight w:val="none"/>
          <w:shd w:val="clear" w:color="auto" w:fill="FFFFFF"/>
          <w:lang w:val="zh-CN" w:eastAsia="zh-CN"/>
        </w:rPr>
        <w:t>项目入库</w:t>
      </w:r>
      <w:r>
        <w:rPr>
          <w:rFonts w:hint="eastAsia"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lang w:val="zh-CN"/>
        </w:rPr>
        <w:t>部门预算项目在规定时间完成项目入库</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4分</w:t>
      </w:r>
      <w:r>
        <w:rPr>
          <w:rFonts w:hint="eastAsia" w:ascii="仿宋_GB2312" w:hAnsi="仿宋_GB2312" w:eastAsia="仿宋_GB2312" w:cs="仿宋_GB2312"/>
          <w:sz w:val="32"/>
          <w:szCs w:val="32"/>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Courier New" w:eastAsia="仿宋_GB2312" w:cs="Times New Roman"/>
          <w:b/>
          <w:bCs/>
          <w:color w:val="000000" w:themeColor="text1"/>
          <w:kern w:val="0"/>
          <w:sz w:val="32"/>
          <w:szCs w:val="32"/>
          <w:highlight w:val="none"/>
          <w:shd w:val="clear" w:color="auto" w:fill="FFFFFF"/>
          <w:lang w:val="zh-CN" w:eastAsia="zh-CN" w:bidi="ar-SA"/>
        </w:rPr>
      </w:pPr>
      <w:r>
        <w:rPr>
          <w:rFonts w:hint="default" w:ascii="Times New Roman" w:hAnsi="Times New Roman" w:eastAsia="楷体_GB2312" w:cs="Times New Roman"/>
          <w:color w:val="000000"/>
          <w:kern w:val="0"/>
          <w:szCs w:val="32"/>
          <w:highlight w:val="none"/>
          <w:shd w:val="clear" w:color="auto" w:fill="FFFFFF"/>
          <w:lang w:val="en-US" w:eastAsia="zh-CN"/>
        </w:rPr>
        <w:t>2.项目执行</w:t>
      </w:r>
      <w:r>
        <w:rPr>
          <w:rFonts w:hint="default" w:ascii="Times New Roman" w:hAnsi="Times New Roman" w:eastAsia="楷体_GB2312" w:cs="Times New Roman"/>
          <w:color w:val="000000"/>
          <w:kern w:val="0"/>
          <w:szCs w:val="32"/>
          <w:highlight w:val="none"/>
          <w:shd w:val="clear" w:color="auto" w:fill="FFFFFF"/>
          <w:lang w:val="zh-CN"/>
        </w:rPr>
        <w:t>。</w:t>
      </w:r>
      <w:r>
        <w:rPr>
          <w:rFonts w:hint="eastAsia" w:ascii="宋体" w:hAnsi="Courier New" w:cs="Times New Roman"/>
          <w:b w:val="0"/>
          <w:bCs w:val="0"/>
          <w:color w:val="000000" w:themeColor="text1"/>
          <w:kern w:val="0"/>
          <w:sz w:val="32"/>
          <w:szCs w:val="32"/>
          <w:highlight w:val="none"/>
          <w:shd w:val="clear" w:color="auto" w:fill="FFFFFF"/>
          <w:lang w:val="zh-CN" w:eastAsia="zh-CN" w:bidi="ar-SA"/>
        </w:rPr>
        <w:t>（</w:t>
      </w:r>
      <w:r>
        <w:rPr>
          <w:rFonts w:hint="eastAsia" w:ascii="仿宋_GB2312" w:hAnsi="仿宋_GB2312" w:cs="仿宋_GB2312"/>
          <w:sz w:val="32"/>
          <w:szCs w:val="32"/>
          <w:lang w:val="zh-CN"/>
        </w:rPr>
        <w:t>得分</w:t>
      </w:r>
      <w:r>
        <w:rPr>
          <w:rFonts w:hint="eastAsia" w:ascii="仿宋_GB2312" w:hAnsi="仿宋_GB2312" w:cs="仿宋_GB2312"/>
          <w:sz w:val="32"/>
          <w:szCs w:val="32"/>
          <w:lang w:val="en-US" w:eastAsia="zh-CN"/>
        </w:rPr>
        <w:t>12分</w:t>
      </w:r>
      <w:r>
        <w:rPr>
          <w:rFonts w:hint="eastAsia" w:ascii="宋体" w:hAnsi="Courier New" w:cs="Times New Roman"/>
          <w:b w:val="0"/>
          <w:bCs w:val="0"/>
          <w:color w:val="000000" w:themeColor="text1"/>
          <w:kern w:val="0"/>
          <w:sz w:val="32"/>
          <w:szCs w:val="32"/>
          <w:highlight w:val="none"/>
          <w:shd w:val="clear" w:color="auto" w:fill="FFFFFF"/>
          <w:lang w:val="zh-CN" w:eastAsia="zh-CN" w:bidi="ar-SA"/>
        </w:rPr>
        <w:t>）</w:t>
      </w:r>
    </w:p>
    <w:p>
      <w:pPr>
        <w:pStyle w:val="9"/>
        <w:numPr>
          <w:ilvl w:val="0"/>
          <w:numId w:val="0"/>
        </w:numPr>
        <w:spacing w:after="0" w:line="240" w:lineRule="auto"/>
        <w:ind w:left="0" w:leftChars="0" w:firstLine="640" w:firstLineChars="200"/>
        <w:rPr>
          <w:rFonts w:hint="eastAsia"/>
          <w:lang w:val="zh-CN"/>
        </w:rPr>
      </w:pPr>
      <w:r>
        <w:rPr>
          <w:rFonts w:hint="eastAsia" w:ascii="Times New Roman" w:hAnsi="Times New Roman" w:eastAsia="仿宋_GB2312" w:cs="Times New Roman"/>
          <w:kern w:val="2"/>
          <w:sz w:val="32"/>
          <w:szCs w:val="24"/>
          <w:lang w:val="zh-CN" w:eastAsia="zh-CN" w:bidi="ar-SA"/>
        </w:rPr>
        <w:t>（1）</w:t>
      </w:r>
      <w:r>
        <w:rPr>
          <w:rFonts w:hint="eastAsia"/>
          <w:lang w:val="zh-CN"/>
        </w:rPr>
        <w:t>执行同向：本会预算项目实际列支内容与绩效目标设置方向相符。</w:t>
      </w:r>
      <w:bookmarkStart w:id="5" w:name="OLE_LINK19"/>
      <w:r>
        <w:rPr>
          <w:rFonts w:hint="eastAsia" w:ascii="楷体_GB2312" w:hAnsi="楷体_GB2312" w:eastAsia="楷体_GB2312" w:cs="楷体_GB2312"/>
          <w:color w:val="000000"/>
          <w:kern w:val="0"/>
          <w:szCs w:val="32"/>
          <w:highlight w:val="none"/>
          <w:shd w:val="clear" w:color="auto" w:fill="FFFFFF"/>
          <w:lang w:val="zh-CN"/>
        </w:rPr>
        <w:t>（得分：</w:t>
      </w:r>
      <w:r>
        <w:rPr>
          <w:rFonts w:hint="eastAsia" w:ascii="楷体_GB2312" w:hAnsi="楷体_GB2312" w:eastAsia="楷体_GB2312" w:cs="楷体_GB2312"/>
          <w:color w:val="000000"/>
          <w:kern w:val="0"/>
          <w:szCs w:val="32"/>
          <w:highlight w:val="none"/>
          <w:shd w:val="clear" w:color="auto" w:fill="FFFFFF"/>
          <w:lang w:val="en-US" w:eastAsia="zh-CN"/>
        </w:rPr>
        <w:t>4分</w:t>
      </w:r>
      <w:r>
        <w:rPr>
          <w:rFonts w:hint="eastAsia" w:ascii="楷体_GB2312" w:hAnsi="楷体_GB2312" w:eastAsia="楷体_GB2312" w:cs="楷体_GB2312"/>
          <w:color w:val="000000"/>
          <w:kern w:val="0"/>
          <w:szCs w:val="32"/>
          <w:highlight w:val="none"/>
          <w:shd w:val="clear" w:color="auto" w:fill="FFFFFF"/>
          <w:lang w:val="zh-CN"/>
        </w:rPr>
        <w:t>）</w:t>
      </w:r>
      <w:bookmarkEnd w:id="5"/>
    </w:p>
    <w:p>
      <w:pPr>
        <w:pStyle w:val="9"/>
        <w:numPr>
          <w:ilvl w:val="0"/>
          <w:numId w:val="0"/>
        </w:numPr>
        <w:spacing w:after="0" w:line="240" w:lineRule="auto"/>
        <w:ind w:left="0" w:leftChars="0" w:firstLine="640" w:firstLineChars="200"/>
        <w:rPr>
          <w:rFonts w:hint="eastAsia"/>
          <w:lang w:val="zh-CN"/>
        </w:rPr>
      </w:pPr>
      <w:r>
        <w:rPr>
          <w:rFonts w:hint="eastAsia" w:ascii="Times New Roman" w:hAnsi="Times New Roman" w:eastAsia="仿宋_GB2312" w:cs="Times New Roman"/>
          <w:kern w:val="2"/>
          <w:sz w:val="32"/>
          <w:szCs w:val="24"/>
          <w:lang w:val="zh-CN" w:eastAsia="zh-CN" w:bidi="ar-SA"/>
        </w:rPr>
        <w:t>（2）</w:t>
      </w:r>
      <w:r>
        <w:rPr>
          <w:rFonts w:hint="eastAsia"/>
          <w:lang w:val="zh-CN"/>
        </w:rPr>
        <w:t>项目调整：本会预算项目采取对应调整措施。</w:t>
      </w:r>
      <w:r>
        <w:rPr>
          <w:rFonts w:hint="eastAsia" w:ascii="楷体_GB2312" w:hAnsi="楷体_GB2312" w:eastAsia="楷体_GB2312" w:cs="楷体_GB2312"/>
          <w:color w:val="000000"/>
          <w:kern w:val="0"/>
          <w:szCs w:val="32"/>
          <w:highlight w:val="none"/>
          <w:shd w:val="clear" w:color="auto" w:fill="FFFFFF"/>
          <w:lang w:val="zh-CN"/>
        </w:rPr>
        <w:t>（得分：</w:t>
      </w:r>
      <w:r>
        <w:rPr>
          <w:rFonts w:hint="eastAsia" w:ascii="楷体_GB2312" w:hAnsi="楷体_GB2312" w:eastAsia="楷体_GB2312" w:cs="楷体_GB2312"/>
          <w:color w:val="000000"/>
          <w:kern w:val="0"/>
          <w:szCs w:val="32"/>
          <w:highlight w:val="none"/>
          <w:shd w:val="clear" w:color="auto" w:fill="FFFFFF"/>
          <w:lang w:val="en-US" w:eastAsia="zh-CN"/>
        </w:rPr>
        <w:t>4分</w:t>
      </w:r>
      <w:r>
        <w:rPr>
          <w:rFonts w:hint="eastAsia" w:ascii="楷体_GB2312" w:hAnsi="楷体_GB2312" w:eastAsia="楷体_GB2312" w:cs="楷体_GB2312"/>
          <w:color w:val="000000"/>
          <w:kern w:val="0"/>
          <w:szCs w:val="32"/>
          <w:highlight w:val="none"/>
          <w:shd w:val="clear" w:color="auto" w:fill="FFFFFF"/>
          <w:lang w:val="zh-CN"/>
        </w:rPr>
        <w:t>）</w:t>
      </w:r>
    </w:p>
    <w:p>
      <w:pPr>
        <w:pStyle w:val="9"/>
        <w:numPr>
          <w:ilvl w:val="0"/>
          <w:numId w:val="0"/>
        </w:numPr>
        <w:spacing w:after="0" w:line="240" w:lineRule="auto"/>
        <w:ind w:left="0" w:leftChars="0" w:firstLine="640" w:firstLineChars="200"/>
        <w:rPr>
          <w:rFonts w:hint="eastAsia" w:ascii="仿宋_GB2312" w:hAnsi="仿宋_GB2312" w:eastAsia="仿宋_GB2312" w:cs="仿宋_GB2312"/>
          <w:sz w:val="32"/>
          <w:szCs w:val="32"/>
          <w:lang w:val="zh-CN"/>
        </w:rPr>
      </w:pPr>
      <w:r>
        <w:rPr>
          <w:rFonts w:hint="eastAsia" w:ascii="Times New Roman" w:hAnsi="Times New Roman" w:eastAsia="仿宋_GB2312" w:cs="Times New Roman"/>
          <w:kern w:val="2"/>
          <w:sz w:val="32"/>
          <w:szCs w:val="24"/>
          <w:lang w:val="zh-CN" w:eastAsia="zh-CN" w:bidi="ar-SA"/>
        </w:rPr>
        <w:t>（3）</w:t>
      </w:r>
      <w:r>
        <w:rPr>
          <w:rFonts w:hint="eastAsia"/>
          <w:lang w:val="zh-CN"/>
        </w:rPr>
        <w:t>执行结果：本会部门预算项目</w:t>
      </w:r>
      <w:r>
        <w:rPr>
          <w:rFonts w:hint="default"/>
        </w:rPr>
        <w:t>执行</w:t>
      </w:r>
      <w:r>
        <w:rPr>
          <w:rFonts w:hint="eastAsia"/>
          <w:lang w:val="zh-CN"/>
        </w:rPr>
        <w:t>率达到</w:t>
      </w:r>
      <w:r>
        <w:rPr>
          <w:rFonts w:hint="eastAsia"/>
          <w:lang w:val="en-US" w:eastAsia="zh-CN"/>
        </w:rPr>
        <w:t>100%。</w:t>
      </w:r>
      <w:r>
        <w:rPr>
          <w:rFonts w:hint="eastAsia" w:ascii="楷体_GB2312" w:hAnsi="楷体_GB2312" w:eastAsia="楷体_GB2312" w:cs="楷体_GB2312"/>
          <w:color w:val="000000"/>
          <w:kern w:val="0"/>
          <w:szCs w:val="32"/>
          <w:highlight w:val="none"/>
          <w:shd w:val="clear" w:color="auto" w:fill="FFFFFF"/>
          <w:lang w:val="zh-CN"/>
        </w:rPr>
        <w:t>（得分：</w:t>
      </w:r>
      <w:r>
        <w:rPr>
          <w:rFonts w:hint="eastAsia" w:ascii="楷体_GB2312" w:hAnsi="楷体_GB2312" w:eastAsia="楷体_GB2312" w:cs="楷体_GB2312"/>
          <w:color w:val="000000"/>
          <w:kern w:val="0"/>
          <w:szCs w:val="32"/>
          <w:highlight w:val="none"/>
          <w:shd w:val="clear" w:color="auto" w:fill="FFFFFF"/>
          <w:lang w:val="en-US" w:eastAsia="zh-CN"/>
        </w:rPr>
        <w:t>4分</w:t>
      </w:r>
      <w:r>
        <w:rPr>
          <w:rFonts w:hint="eastAsia" w:ascii="楷体_GB2312" w:hAnsi="楷体_GB2312" w:eastAsia="楷体_GB2312" w:cs="楷体_GB2312"/>
          <w:color w:val="000000"/>
          <w:kern w:val="0"/>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宋体" w:hAnsi="Courier New" w:eastAsia="仿宋_GB2312" w:cs="Times New Roman"/>
          <w:b/>
          <w:bCs/>
          <w:color w:val="000000" w:themeColor="text1"/>
          <w:kern w:val="0"/>
          <w:sz w:val="32"/>
          <w:szCs w:val="32"/>
          <w:highlight w:val="none"/>
          <w:shd w:val="clear" w:color="auto" w:fill="FFFFFF"/>
          <w:lang w:val="zh-CN" w:eastAsia="zh-CN" w:bidi="ar-SA"/>
        </w:rPr>
      </w:pPr>
      <w:r>
        <w:rPr>
          <w:rFonts w:hint="default" w:ascii="Times New Roman" w:hAnsi="Times New Roman" w:eastAsia="楷体_GB2312" w:cs="Times New Roman"/>
          <w:color w:val="000000"/>
          <w:kern w:val="0"/>
          <w:szCs w:val="32"/>
          <w:highlight w:val="none"/>
          <w:shd w:val="clear" w:color="auto" w:fill="FFFFFF"/>
          <w:lang w:val="en-US" w:eastAsia="zh-CN"/>
        </w:rPr>
        <w:t>3.</w:t>
      </w:r>
      <w:r>
        <w:rPr>
          <w:rFonts w:hint="default" w:ascii="Times New Roman" w:hAnsi="Times New Roman" w:eastAsia="楷体_GB2312" w:cs="Times New Roman"/>
          <w:color w:val="000000"/>
          <w:kern w:val="0"/>
          <w:szCs w:val="32"/>
          <w:highlight w:val="none"/>
          <w:shd w:val="clear" w:color="auto" w:fill="FFFFFF"/>
          <w:lang w:val="zh-CN"/>
        </w:rPr>
        <w:t>目标实现。</w:t>
      </w:r>
      <w:r>
        <w:rPr>
          <w:rFonts w:hint="eastAsia" w:ascii="宋体" w:hAnsi="Courier New" w:cs="Times New Roman"/>
          <w:b w:val="0"/>
          <w:bCs w:val="0"/>
          <w:color w:val="000000" w:themeColor="text1"/>
          <w:kern w:val="0"/>
          <w:sz w:val="32"/>
          <w:szCs w:val="32"/>
          <w:highlight w:val="none"/>
          <w:shd w:val="clear" w:color="auto" w:fill="FFFFFF"/>
          <w:lang w:val="zh-CN" w:eastAsia="zh-CN" w:bidi="ar-SA"/>
        </w:rPr>
        <w:t>（</w:t>
      </w:r>
      <w:r>
        <w:rPr>
          <w:rFonts w:hint="eastAsia" w:ascii="仿宋_GB2312" w:hAnsi="仿宋_GB2312" w:cs="仿宋_GB2312"/>
          <w:sz w:val="32"/>
          <w:szCs w:val="32"/>
          <w:lang w:val="zh-CN"/>
        </w:rPr>
        <w:t>得分</w:t>
      </w:r>
      <w:r>
        <w:rPr>
          <w:rFonts w:hint="eastAsia" w:ascii="仿宋_GB2312" w:hAnsi="仿宋_GB2312" w:cs="仿宋_GB2312"/>
          <w:sz w:val="32"/>
          <w:szCs w:val="32"/>
          <w:lang w:val="en-US" w:eastAsia="zh-CN"/>
        </w:rPr>
        <w:t>11分</w:t>
      </w:r>
      <w:r>
        <w:rPr>
          <w:rFonts w:hint="eastAsia" w:ascii="宋体" w:hAnsi="Courier New" w:cs="Times New Roman"/>
          <w:b w:val="0"/>
          <w:bCs w:val="0"/>
          <w:color w:val="000000" w:themeColor="text1"/>
          <w:kern w:val="0"/>
          <w:sz w:val="32"/>
          <w:szCs w:val="32"/>
          <w:highlight w:val="none"/>
          <w:shd w:val="clear" w:color="auto" w:fill="FFFFFF"/>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cs="仿宋_GB2312"/>
          <w:sz w:val="32"/>
          <w:szCs w:val="32"/>
          <w:lang w:val="en-US" w:eastAsia="zh-CN"/>
        </w:rPr>
      </w:pPr>
      <w:r>
        <w:rPr>
          <w:rFonts w:hint="eastAsia" w:ascii="楷体_GB2312" w:hAnsi="楷体_GB2312" w:eastAsia="楷体_GB2312" w:cs="楷体_GB2312"/>
          <w:color w:val="000000"/>
          <w:kern w:val="0"/>
          <w:szCs w:val="32"/>
          <w:highlight w:val="none"/>
          <w:shd w:val="clear" w:color="auto" w:fill="FFFFFF"/>
          <w:lang w:val="zh-CN"/>
        </w:rPr>
        <w:t>（</w:t>
      </w:r>
      <w:r>
        <w:rPr>
          <w:rFonts w:hint="eastAsia" w:ascii="楷体_GB2312" w:hAnsi="楷体_GB2312" w:eastAsia="楷体_GB2312" w:cs="楷体_GB2312"/>
          <w:color w:val="000000"/>
          <w:kern w:val="0"/>
          <w:szCs w:val="32"/>
          <w:highlight w:val="none"/>
          <w:shd w:val="clear" w:color="auto" w:fill="FFFFFF"/>
          <w:lang w:val="en-US" w:eastAsia="zh-CN"/>
        </w:rPr>
        <w:t>1</w:t>
      </w:r>
      <w:r>
        <w:rPr>
          <w:rFonts w:hint="eastAsia" w:ascii="楷体_GB2312" w:hAnsi="楷体_GB2312" w:eastAsia="楷体_GB2312" w:cs="楷体_GB2312"/>
          <w:color w:val="000000"/>
          <w:kern w:val="0"/>
          <w:szCs w:val="32"/>
          <w:highlight w:val="none"/>
          <w:shd w:val="clear" w:color="auto" w:fill="FFFFFF"/>
          <w:lang w:val="zh-CN"/>
        </w:rPr>
        <w:t>）目标完成：</w:t>
      </w:r>
      <w:r>
        <w:rPr>
          <w:rFonts w:hint="eastAsia" w:ascii="仿宋_GB2312" w:hAnsi="仿宋_GB2312" w:eastAsia="仿宋_GB2312" w:cs="仿宋_GB2312"/>
          <w:sz w:val="32"/>
          <w:szCs w:val="32"/>
          <w:lang w:val="zh-CN"/>
        </w:rPr>
        <w:t>部门预算项目绩效目标数量指标实现程度与预期目标的偏离</w:t>
      </w:r>
      <w:r>
        <w:rPr>
          <w:rFonts w:hint="eastAsia" w:ascii="仿宋_GB2312" w:hAnsi="仿宋_GB2312" w:eastAsia="仿宋_GB2312" w:cs="仿宋_GB2312"/>
          <w:sz w:val="32"/>
          <w:szCs w:val="32"/>
          <w:lang w:val="en-US" w:eastAsia="zh-CN"/>
        </w:rPr>
        <w:t>度在可控范围内；</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4分。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000000"/>
          <w:kern w:val="0"/>
          <w:szCs w:val="32"/>
          <w:highlight w:val="none"/>
          <w:shd w:val="clear" w:color="auto" w:fill="FFFFFF"/>
          <w:lang w:val="zh-CN" w:eastAsia="zh-CN"/>
        </w:rPr>
        <w:t>（</w:t>
      </w:r>
      <w:r>
        <w:rPr>
          <w:rFonts w:hint="eastAsia" w:ascii="楷体_GB2312" w:hAnsi="楷体_GB2312" w:eastAsia="楷体_GB2312" w:cs="楷体_GB2312"/>
          <w:color w:val="000000"/>
          <w:kern w:val="0"/>
          <w:szCs w:val="32"/>
          <w:highlight w:val="none"/>
          <w:shd w:val="clear" w:color="auto" w:fill="FFFFFF"/>
          <w:lang w:val="en-US" w:eastAsia="zh-CN"/>
        </w:rPr>
        <w:t>2）目标偏离：</w:t>
      </w:r>
      <w:r>
        <w:rPr>
          <w:rFonts w:hint="eastAsia" w:ascii="仿宋_GB2312" w:hAnsi="仿宋_GB2312" w:cs="仿宋_GB2312"/>
          <w:sz w:val="32"/>
          <w:szCs w:val="32"/>
          <w:lang w:val="en-US" w:eastAsia="zh-CN"/>
        </w:rPr>
        <w:t>部门预算项目绩效目标数量指标实现程度与预期目标的偏离情况低，</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4分</w:t>
      </w:r>
      <w:r>
        <w:rPr>
          <w:rFonts w:hint="eastAsia" w:ascii="仿宋_GB2312" w:hAnsi="仿宋_GB2312" w:eastAsia="仿宋_GB2312" w:cs="仿宋_GB2312"/>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en-US"/>
        </w:rPr>
      </w:pPr>
      <w:r>
        <w:rPr>
          <w:rFonts w:hint="eastAsia" w:ascii="楷体_GB2312" w:hAnsi="楷体_GB2312" w:eastAsia="楷体_GB2312" w:cs="楷体_GB2312"/>
          <w:color w:val="000000"/>
          <w:kern w:val="0"/>
          <w:szCs w:val="32"/>
          <w:highlight w:val="none"/>
          <w:shd w:val="clear" w:color="auto" w:fill="FFFFFF"/>
          <w:lang w:val="en-US" w:eastAsia="zh-CN"/>
        </w:rPr>
        <w:t>（3）实现效果：</w:t>
      </w:r>
      <w:r>
        <w:rPr>
          <w:rFonts w:hint="eastAsia" w:ascii="仿宋_GB2312" w:hAnsi="仿宋_GB2312" w:eastAsia="仿宋_GB2312" w:cs="仿宋_GB2312"/>
          <w:sz w:val="32"/>
          <w:szCs w:val="32"/>
          <w:lang w:val="en-US" w:eastAsia="zh-CN"/>
        </w:rPr>
        <w:t>部门预算项目采取</w:t>
      </w:r>
      <w:r>
        <w:rPr>
          <w:rFonts w:hint="eastAsia" w:ascii="仿宋_GB2312" w:hAnsi="仿宋_GB2312" w:cs="仿宋_GB2312"/>
          <w:sz w:val="32"/>
          <w:szCs w:val="32"/>
          <w:lang w:val="en-US" w:eastAsia="zh-CN"/>
        </w:rPr>
        <w:t>了</w:t>
      </w:r>
      <w:r>
        <w:rPr>
          <w:rFonts w:hint="eastAsia" w:ascii="仿宋_GB2312" w:hAnsi="仿宋_GB2312" w:eastAsia="仿宋_GB2312" w:cs="仿宋_GB2312"/>
          <w:sz w:val="32"/>
          <w:szCs w:val="32"/>
          <w:lang w:val="en-US" w:eastAsia="zh-CN"/>
        </w:rPr>
        <w:t>对应调整措施</w:t>
      </w:r>
      <w:r>
        <w:rPr>
          <w:rFonts w:hint="eastAsia" w:ascii="仿宋_GB2312" w:hAnsi="仿宋_GB2312" w:cs="仿宋_GB2312"/>
          <w:sz w:val="32"/>
          <w:szCs w:val="32"/>
          <w:lang w:val="en-US" w:eastAsia="zh-CN"/>
        </w:rPr>
        <w:t>，项目绩效目标效益指标实施效果，</w:t>
      </w:r>
      <w:r>
        <w:rPr>
          <w:rFonts w:hint="eastAsia" w:ascii="仿宋_GB2312" w:hAnsi="仿宋_GB2312" w:cs="仿宋_GB2312"/>
          <w:sz w:val="32"/>
          <w:szCs w:val="32"/>
          <w:lang w:val="zh-CN"/>
        </w:rPr>
        <w:t>该项指标得分</w:t>
      </w:r>
      <w:r>
        <w:rPr>
          <w:rFonts w:hint="eastAsia" w:ascii="仿宋_GB2312" w:hAnsi="仿宋_GB2312" w:cs="仿宋_GB2312"/>
          <w:sz w:val="32"/>
          <w:szCs w:val="32"/>
          <w:lang w:val="en-US" w:eastAsia="zh-CN"/>
        </w:rPr>
        <w:t>3分</w:t>
      </w:r>
      <w:r>
        <w:rPr>
          <w:rFonts w:hint="eastAsia" w:ascii="仿宋_GB2312" w:hAnsi="仿宋_GB2312" w:eastAsia="仿宋_GB2312" w:cs="仿宋_GB2312"/>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szCs w:val="32"/>
          <w:lang w:val="zh-CN"/>
        </w:rPr>
        <w:t>绩效结果应用情况。</w:t>
      </w:r>
      <w:r>
        <w:rPr>
          <w:rFonts w:hint="eastAsia" w:ascii="仿宋_GB2312" w:hAnsi="仿宋_GB2312" w:eastAsia="仿宋_GB2312" w:cs="仿宋_GB2312"/>
          <w:sz w:val="32"/>
          <w:szCs w:val="32"/>
          <w:lang w:val="en-US" w:eastAsia="zh-CN"/>
        </w:rPr>
        <w:t>一是本单位在执行公务过程中严格执行“厉行节约、反对浪费”的规定，严格控制“三公”经费支出，加强公务用车管理，部门预算在财务部门审批后及时填报预算公开资料，经财政审核后在政府信息公开网上公示。二是我局高度重视整体绩效自评工作，由分管领导、财务人员、业务经办人员组成评价小组，明确分工，落实责任，按照预算绩效评价指标体系对应指标对单位资金进行评价打分，综合得分9</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lang w:val="en-US" w:eastAsia="zh-CN"/>
        </w:rPr>
        <w:t>分，自评结果于单位内部进行公开，并报送财政相关股室备案。</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价结果整改：我局高度重视目标绩效管理工作，对自评结果进行研讨，对扣分项（部门年初绩效目标编制、数量指标、成本指标的完成情况、季度预算执行情况、绩效运行监控处置等）进行重点分析，并做出整改，在之后的工作中，要求部门绩效目标编制科学合理、规范完整、细化量化，及时拨付资金，争取使季度预算执行进度达到100%，在调整预算时及时同步调整绩效目标，按规定开展绩效运行监控，保障资金处置合理合规、及时拨付。</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 w:hAnsi="仿宋" w:eastAsia="仿宋"/>
          <w:color w:val="auto"/>
          <w:sz w:val="32"/>
          <w:szCs w:val="32"/>
        </w:rPr>
      </w:pPr>
      <w:r>
        <w:rPr>
          <w:rFonts w:hint="default"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_GB2312" w:hAnsi="仿宋_GB2312" w:eastAsia="仿宋_GB2312" w:cs="仿宋_GB2312"/>
          <w:sz w:val="32"/>
          <w:szCs w:val="32"/>
        </w:rPr>
        <w:t>在财政资金整体支出中，</w:t>
      </w:r>
      <w:r>
        <w:rPr>
          <w:rFonts w:hint="eastAsia" w:ascii="仿宋_GB2312" w:hAnsi="仿宋_GB2312" w:eastAsia="仿宋_GB2312" w:cs="仿宋_GB2312"/>
          <w:sz w:val="32"/>
          <w:szCs w:val="32"/>
          <w:lang w:eastAsia="zh-CN"/>
        </w:rPr>
        <w:t>统计局</w:t>
      </w:r>
      <w:r>
        <w:rPr>
          <w:rFonts w:hint="eastAsia" w:ascii="仿宋_GB2312" w:hAnsi="仿宋_GB2312" w:eastAsia="仿宋_GB2312" w:cs="仿宋_GB2312"/>
          <w:sz w:val="32"/>
          <w:szCs w:val="32"/>
        </w:rPr>
        <w:t>非常重视预算执行工作，能够按照国家的法律法规加强预算管理，不断完善内控制度，认真地完成了20</w:t>
      </w: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年部门预算编制工作，取得了较好的预算执行效果</w:t>
      </w:r>
      <w:r>
        <w:rPr>
          <w:rFonts w:hint="eastAsia" w:ascii="仿宋_GB2312" w:hAnsi="仿宋_GB2312" w:cs="仿宋_GB2312"/>
          <w:sz w:val="32"/>
          <w:szCs w:val="32"/>
          <w:lang w:eastAsia="zh-CN"/>
        </w:rPr>
        <w:t>，</w:t>
      </w:r>
      <w:r>
        <w:rPr>
          <w:rFonts w:hint="eastAsia" w:ascii="仿宋" w:hAnsi="仿宋" w:eastAsia="仿宋"/>
          <w:color w:val="auto"/>
          <w:sz w:val="32"/>
          <w:szCs w:val="32"/>
          <w:lang w:eastAsia="zh-CN"/>
        </w:rPr>
        <w:t>我局</w:t>
      </w:r>
      <w:r>
        <w:rPr>
          <w:rFonts w:hint="eastAsia" w:ascii="仿宋" w:hAnsi="仿宋" w:eastAsia="仿宋"/>
          <w:color w:val="auto"/>
          <w:sz w:val="32"/>
          <w:szCs w:val="32"/>
          <w:lang w:val="en-US" w:eastAsia="zh-CN"/>
        </w:rPr>
        <w:t>2025年度</w:t>
      </w:r>
      <w:r>
        <w:rPr>
          <w:rFonts w:hint="eastAsia" w:ascii="仿宋" w:hAnsi="仿宋" w:eastAsia="仿宋"/>
          <w:color w:val="auto"/>
          <w:sz w:val="32"/>
          <w:szCs w:val="32"/>
        </w:rPr>
        <w:t>支出绩效综合评价自评得分</w:t>
      </w:r>
      <w:r>
        <w:rPr>
          <w:rFonts w:hint="eastAsia" w:ascii="仿宋" w:hAnsi="仿宋" w:eastAsia="仿宋"/>
          <w:color w:val="auto"/>
          <w:sz w:val="32"/>
          <w:szCs w:val="32"/>
          <w:lang w:val="en-US" w:eastAsia="zh-CN"/>
        </w:rPr>
        <w:t>95</w:t>
      </w:r>
      <w:r>
        <w:rPr>
          <w:rFonts w:hint="eastAsia" w:ascii="仿宋" w:hAnsi="仿宋" w:eastAsia="仿宋"/>
          <w:color w:val="auto"/>
          <w:sz w:val="32"/>
          <w:szCs w:val="32"/>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仿宋_GB2312" w:hAnsi="仿宋_GB2312" w:eastAsia="仿宋_GB2312" w:cs="仿宋_GB2312"/>
          <w:sz w:val="32"/>
          <w:szCs w:val="32"/>
        </w:rPr>
      </w:pPr>
      <w:r>
        <w:rPr>
          <w:rFonts w:hint="eastAsia" w:eastAsia="楷体_GB2312" w:cs="Times New Roman"/>
          <w:b/>
          <w:bCs/>
          <w:color w:val="000000"/>
          <w:kern w:val="0"/>
          <w:szCs w:val="32"/>
          <w:highlight w:val="none"/>
          <w:shd w:val="clear" w:color="auto" w:fill="FFFFFF"/>
          <w:lang w:val="zh-CN"/>
        </w:rPr>
        <w:t>（二）</w:t>
      </w:r>
      <w:r>
        <w:rPr>
          <w:rFonts w:hint="default" w:ascii="Times New Roman" w:hAnsi="Times New Roman" w:eastAsia="楷体_GB2312" w:cs="Times New Roman"/>
          <w:b/>
          <w:bCs/>
          <w:color w:val="000000"/>
          <w:kern w:val="0"/>
          <w:szCs w:val="32"/>
          <w:highlight w:val="none"/>
          <w:shd w:val="clear" w:color="auto" w:fill="FFFFFF"/>
          <w:lang w:val="zh-CN"/>
        </w:rPr>
        <w:t>存在问题。</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一是</w:t>
      </w:r>
      <w:r>
        <w:rPr>
          <w:rFonts w:hint="eastAsia" w:ascii="仿宋_GB2312" w:hAnsi="仿宋_GB2312" w:eastAsia="仿宋_GB2312" w:cs="仿宋_GB2312"/>
          <w:sz w:val="32"/>
          <w:szCs w:val="32"/>
        </w:rPr>
        <w:t>进一步规范会计行为。加强财务人员业务知识的提升，及时做好月度和年度会计处理，做到日清月结，严格预算资金管理和使用，规范和完善各项费用审签报销制度。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sz w:val="32"/>
          <w:szCs w:val="32"/>
        </w:rPr>
        <w:t>由于上级交办统计调查监测任务的突发性，一些无法预计和列入年初预算的项目支出，需要在年度中间进行预算追加和调整。</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仿宋_GB2312" w:hAnsi="仿宋_GB2312" w:eastAsia="仿宋_GB2312" w:cs="仿宋_GB2312"/>
          <w:sz w:val="32"/>
          <w:szCs w:val="32"/>
        </w:rPr>
      </w:pPr>
      <w:r>
        <w:rPr>
          <w:rFonts w:hint="default" w:ascii="Times New Roman" w:hAnsi="Times New Roman" w:eastAsia="楷体_GB2312" w:cs="Times New Roman"/>
          <w:b/>
          <w:bCs/>
          <w:color w:val="000000"/>
          <w:kern w:val="0"/>
          <w:szCs w:val="32"/>
          <w:highlight w:val="none"/>
          <w:shd w:val="clear" w:color="auto" w:fill="FFFFFF"/>
          <w:lang w:val="zh-CN" w:eastAsia="zh-CN"/>
        </w:rPr>
        <w:t>（三）改进建议。</w:t>
      </w:r>
      <w:r>
        <w:rPr>
          <w:rFonts w:hint="eastAsia" w:ascii="仿宋_GB2312" w:hAnsi="仿宋_GB2312" w:eastAsia="仿宋_GB2312" w:cs="仿宋_GB2312"/>
          <w:sz w:val="32"/>
          <w:szCs w:val="32"/>
        </w:rPr>
        <w:t>为了进一步提高本部门整体绩效水平，在预算编制和预算执行过程中，我们提出如下建议：</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仿宋_GB2312" w:hAnsi="仿宋_GB2312" w:eastAsia="仿宋_GB2312" w:cs="仿宋_GB2312"/>
          <w:sz w:val="32"/>
          <w:szCs w:val="32"/>
        </w:rPr>
      </w:pPr>
      <w:r>
        <w:rPr>
          <w:rFonts w:hint="eastAsia" w:ascii="宋体" w:hAnsi="Courier New" w:cs="Times New Roman"/>
          <w:b/>
          <w:bCs/>
          <w:color w:val="000000" w:themeColor="text1"/>
          <w:kern w:val="0"/>
          <w:sz w:val="32"/>
          <w:szCs w:val="32"/>
          <w:highlight w:val="none"/>
          <w:shd w:val="clear" w:color="auto" w:fill="FFFFFF"/>
          <w:lang w:val="en-US" w:eastAsia="zh-CN" w:bidi="ar-SA"/>
        </w:rPr>
        <w:t>1、</w:t>
      </w:r>
      <w:r>
        <w:rPr>
          <w:rFonts w:hint="eastAsia" w:ascii="宋体" w:hAnsi="Courier New" w:eastAsia="仿宋_GB2312" w:cs="Times New Roman"/>
          <w:b/>
          <w:bCs/>
          <w:color w:val="000000" w:themeColor="text1"/>
          <w:kern w:val="0"/>
          <w:sz w:val="32"/>
          <w:szCs w:val="32"/>
          <w:highlight w:val="none"/>
          <w:shd w:val="clear" w:color="auto" w:fill="FFFFFF"/>
          <w:lang w:val="en-US" w:eastAsia="zh-CN" w:bidi="ar-SA"/>
        </w:rPr>
        <w:t>加强组织领导。</w:t>
      </w:r>
      <w:r>
        <w:rPr>
          <w:rFonts w:hint="eastAsia" w:ascii="仿宋_GB2312" w:hAnsi="仿宋_GB2312" w:eastAsia="仿宋_GB2312" w:cs="仿宋_GB2312"/>
          <w:sz w:val="32"/>
          <w:szCs w:val="32"/>
        </w:rPr>
        <w:t>统一思想，加强领导，明确责任，明确由相关部门牵头，各部门参与的绩效评价管理联席会议制度，为绩效评价工作开展创造好的条件。</w:t>
      </w:r>
      <w:r>
        <w:rPr>
          <w:rFonts w:hint="eastAsia" w:ascii="宋体" w:hAnsi="Courier New" w:eastAsia="仿宋_GB2312" w:cs="Times New Roman"/>
          <w:b/>
          <w:bCs/>
          <w:color w:val="000000" w:themeColor="text1"/>
          <w:kern w:val="0"/>
          <w:sz w:val="32"/>
          <w:szCs w:val="32"/>
          <w:highlight w:val="none"/>
          <w:shd w:val="clear" w:color="auto" w:fill="FFFFFF"/>
          <w:lang w:val="en-US" w:eastAsia="zh-CN" w:bidi="ar-SA"/>
        </w:rPr>
        <w:t>加强队伍建设。</w:t>
      </w:r>
      <w:r>
        <w:rPr>
          <w:rFonts w:hint="eastAsia" w:ascii="仿宋_GB2312" w:hAnsi="仿宋_GB2312" w:eastAsia="仿宋_GB2312" w:cs="仿宋_GB2312"/>
          <w:sz w:val="32"/>
          <w:szCs w:val="32"/>
        </w:rPr>
        <w:t>要抓好绩效评价管理部门的队伍建设和业务指导，培育统计调查项目和部门的绩效评价管理队伍，组建专家队伍，并加强业务培训。</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仿宋_GB2312" w:hAnsi="仿宋_GB2312" w:cs="仿宋_GB2312"/>
          <w:sz w:val="32"/>
          <w:szCs w:val="32"/>
          <w:lang w:eastAsia="zh-CN"/>
        </w:rPr>
      </w:pPr>
      <w:r>
        <w:rPr>
          <w:rFonts w:hint="eastAsia" w:ascii="宋体" w:hAnsi="Courier New" w:cs="Times New Roman"/>
          <w:b/>
          <w:bCs/>
          <w:color w:val="000000" w:themeColor="text1"/>
          <w:kern w:val="0"/>
          <w:sz w:val="32"/>
          <w:szCs w:val="32"/>
          <w:highlight w:val="none"/>
          <w:shd w:val="clear" w:color="auto" w:fill="FFFFFF"/>
          <w:lang w:val="en-US" w:eastAsia="zh-CN" w:bidi="ar-SA"/>
        </w:rPr>
        <w:t>2、</w:t>
      </w:r>
      <w:r>
        <w:rPr>
          <w:rFonts w:hint="eastAsia" w:ascii="宋体" w:hAnsi="Courier New" w:eastAsia="仿宋_GB2312" w:cs="Times New Roman"/>
          <w:b/>
          <w:bCs/>
          <w:color w:val="000000" w:themeColor="text1"/>
          <w:kern w:val="0"/>
          <w:sz w:val="32"/>
          <w:szCs w:val="32"/>
          <w:highlight w:val="none"/>
          <w:shd w:val="clear" w:color="auto" w:fill="FFFFFF"/>
          <w:lang w:val="en-US" w:eastAsia="zh-CN" w:bidi="ar-SA"/>
        </w:rPr>
        <w:t>建立长效机制。</w:t>
      </w:r>
      <w:r>
        <w:rPr>
          <w:rFonts w:hint="eastAsia" w:ascii="仿宋_GB2312" w:hAnsi="仿宋_GB2312" w:eastAsia="仿宋_GB2312" w:cs="仿宋_GB2312"/>
          <w:sz w:val="32"/>
          <w:szCs w:val="32"/>
        </w:rPr>
        <w:t>把绩效评价作为统计系统各级各部门的日常性工作，建立绩效评价管理工作考核的长效机制</w:t>
      </w:r>
      <w:r>
        <w:rPr>
          <w:rFonts w:hint="eastAsia" w:ascii="仿宋_GB2312" w:hAnsi="仿宋_GB2312" w:cs="仿宋_GB2312"/>
          <w:sz w:val="32"/>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_GB2312" w:hAnsi="仿宋_GB2312" w:cs="仿宋_GB2312"/>
          <w:sz w:val="32"/>
          <w:szCs w:val="32"/>
          <w:lang w:eastAsia="zh-CN"/>
        </w:rPr>
      </w:pPr>
    </w:p>
    <w:p>
      <w:pPr>
        <w:spacing w:line="578" w:lineRule="exact"/>
        <w:ind w:firstLine="640" w:firstLineChars="200"/>
        <w:jc w:val="left"/>
        <w:rPr>
          <w:szCs w:val="32"/>
        </w:rPr>
      </w:pPr>
      <w:r>
        <w:rPr>
          <w:color w:val="000000"/>
          <w:kern w:val="0"/>
          <w:szCs w:val="32"/>
          <w:shd w:val="clear" w:color="auto" w:fill="FFFFFF"/>
        </w:rPr>
        <w:t>附表：</w:t>
      </w:r>
      <w:r>
        <w:rPr>
          <w:rFonts w:hint="eastAsia"/>
          <w:color w:val="000000"/>
          <w:kern w:val="0"/>
          <w:szCs w:val="32"/>
          <w:shd w:val="clear" w:color="auto" w:fill="FFFFFF"/>
        </w:rPr>
        <w:t>1.</w:t>
      </w:r>
      <w:r>
        <w:rPr>
          <w:rFonts w:hint="eastAsia"/>
          <w:szCs w:val="32"/>
        </w:rPr>
        <w:t>部门预算绩效自评打分表</w:t>
      </w:r>
    </w:p>
    <w:p>
      <w:pPr>
        <w:spacing w:line="578" w:lineRule="exact"/>
        <w:ind w:firstLine="1600" w:firstLineChars="500"/>
        <w:jc w:val="left"/>
        <w:rPr>
          <w:color w:val="000000"/>
          <w:kern w:val="0"/>
          <w:szCs w:val="32"/>
          <w:shd w:val="clear" w:color="auto" w:fill="FFFFFF"/>
        </w:rPr>
      </w:pPr>
      <w:r>
        <w:rPr>
          <w:rFonts w:hint="eastAsia"/>
          <w:szCs w:val="32"/>
        </w:rPr>
        <w:t>2.</w:t>
      </w:r>
      <w:r>
        <w:rPr>
          <w:color w:val="000000"/>
          <w:kern w:val="0"/>
          <w:szCs w:val="32"/>
          <w:shd w:val="clear" w:color="auto" w:fill="FFFFFF"/>
        </w:rPr>
        <w:t>部门整体</w:t>
      </w:r>
      <w:r>
        <w:rPr>
          <w:rFonts w:hint="eastAsia"/>
          <w:color w:val="000000"/>
          <w:kern w:val="0"/>
          <w:szCs w:val="32"/>
          <w:shd w:val="clear" w:color="auto" w:fill="FFFFFF"/>
        </w:rPr>
        <w:t>支出</w:t>
      </w:r>
      <w:r>
        <w:rPr>
          <w:color w:val="000000"/>
          <w:kern w:val="0"/>
          <w:szCs w:val="32"/>
          <w:shd w:val="clear" w:color="auto" w:fill="FFFFFF"/>
        </w:rPr>
        <w:t>绩效目标完成情况自评表</w:t>
      </w:r>
    </w:p>
    <w:p>
      <w:pPr>
        <w:spacing w:line="578" w:lineRule="exact"/>
        <w:ind w:firstLine="5440" w:firstLineChars="1700"/>
        <w:jc w:val="left"/>
        <w:rPr>
          <w:rFonts w:hint="eastAsia"/>
          <w:color w:val="000000"/>
          <w:kern w:val="0"/>
          <w:szCs w:val="32"/>
          <w:shd w:val="clear" w:color="auto" w:fill="FFFFFF"/>
          <w:lang w:eastAsia="zh-CN"/>
        </w:rPr>
      </w:pPr>
      <w:r>
        <w:rPr>
          <w:rFonts w:hint="eastAsia"/>
          <w:color w:val="000000"/>
          <w:kern w:val="0"/>
          <w:szCs w:val="32"/>
          <w:shd w:val="clear" w:color="auto" w:fill="FFFFFF"/>
          <w:lang w:eastAsia="zh-CN"/>
        </w:rPr>
        <w:t>黑水县统计局</w:t>
      </w:r>
    </w:p>
    <w:p>
      <w:pPr>
        <w:spacing w:line="578" w:lineRule="exact"/>
        <w:ind w:firstLine="5440" w:firstLineChars="1700"/>
        <w:jc w:val="left"/>
        <w:rPr>
          <w:rFonts w:eastAsia="黑体"/>
        </w:rPr>
      </w:pPr>
      <w:r>
        <w:rPr>
          <w:rFonts w:hint="eastAsia"/>
          <w:color w:val="000000"/>
          <w:kern w:val="0"/>
          <w:szCs w:val="32"/>
          <w:shd w:val="clear" w:color="auto" w:fill="FFFFFF"/>
          <w:lang w:val="en-US" w:eastAsia="zh-CN"/>
        </w:rPr>
        <w:t>2026年8月31日</w:t>
      </w:r>
      <w:r>
        <w:rPr>
          <w:color w:val="000000"/>
          <w:kern w:val="0"/>
          <w:szCs w:val="32"/>
          <w:shd w:val="clear" w:color="auto" w:fill="FFFFFF"/>
        </w:rPr>
        <w:br w:type="page"/>
      </w: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19"/>
        <w:spacing w:line="20" w:lineRule="exact"/>
      </w:pPr>
    </w:p>
    <w:p>
      <w:pPr>
        <w:spacing w:line="20" w:lineRule="exact"/>
        <w:rPr>
          <w:rFonts w:eastAsia="黑体"/>
        </w:rPr>
      </w:pPr>
      <w:r>
        <w:rPr>
          <w:rFonts w:eastAsia="黑体"/>
        </w:rPr>
        <w:t>附</w:t>
      </w:r>
      <w:r>
        <w:rPr>
          <w:rFonts w:hint="eastAsia" w:eastAsia="黑体"/>
        </w:rPr>
        <w:t>2</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5"/>
        <w:tblW w:w="10710" w:type="dxa"/>
        <w:tblInd w:w="-94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0"/>
        <w:gridCol w:w="1080"/>
        <w:gridCol w:w="1245"/>
        <w:gridCol w:w="1965"/>
        <w:gridCol w:w="705"/>
        <w:gridCol w:w="236"/>
        <w:gridCol w:w="808"/>
        <w:gridCol w:w="366"/>
        <w:gridCol w:w="390"/>
        <w:gridCol w:w="510"/>
        <w:gridCol w:w="180"/>
        <w:gridCol w:w="266"/>
        <w:gridCol w:w="409"/>
        <w:gridCol w:w="1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0710" w:type="dxa"/>
            <w:gridSpan w:val="14"/>
            <w:tcBorders>
              <w:top w:val="nil"/>
              <w:left w:val="nil"/>
              <w:bottom w:val="nil"/>
              <w:right w:val="nil"/>
            </w:tcBorders>
            <w:shd w:val="clear" w:color="auto" w:fill="auto"/>
            <w:vAlign w:val="top"/>
          </w:tcPr>
          <w:p>
            <w:pPr>
              <w:keepNext w:val="0"/>
              <w:keepLines w:val="0"/>
              <w:widowControl/>
              <w:suppressLineNumbers w:val="0"/>
              <w:jc w:val="center"/>
              <w:textAlignment w:val="top"/>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2025年度部门整体绩效目标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nil"/>
              <w:left w:val="nil"/>
              <w:bottom w:val="nil"/>
              <w:right w:val="nil"/>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部门名称：</w:t>
            </w:r>
          </w:p>
        </w:tc>
        <w:tc>
          <w:tcPr>
            <w:tcW w:w="6039" w:type="dxa"/>
            <w:gridSpan w:val="6"/>
            <w:tcBorders>
              <w:top w:val="nil"/>
              <w:left w:val="nil"/>
              <w:bottom w:val="nil"/>
              <w:right w:val="nil"/>
            </w:tcBorders>
            <w:shd w:val="clear" w:color="auto" w:fill="auto"/>
            <w:vAlign w:val="top"/>
          </w:tcPr>
          <w:p>
            <w:pPr>
              <w:keepNext w:val="0"/>
              <w:keepLines w:val="0"/>
              <w:widowControl/>
              <w:suppressLineNumbers w:val="0"/>
              <w:jc w:val="left"/>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黑水县统计局</w:t>
            </w:r>
          </w:p>
        </w:tc>
        <w:tc>
          <w:tcPr>
            <w:tcW w:w="756" w:type="dxa"/>
            <w:gridSpan w:val="2"/>
            <w:tcBorders>
              <w:top w:val="nil"/>
              <w:left w:val="nil"/>
              <w:bottom w:val="nil"/>
              <w:right w:val="nil"/>
            </w:tcBorders>
            <w:shd w:val="clear" w:color="auto" w:fill="auto"/>
            <w:vAlign w:val="center"/>
          </w:tcPr>
          <w:p>
            <w:pPr>
              <w:rPr>
                <w:rFonts w:hint="eastAsia" w:ascii="黑体" w:hAnsi="黑体" w:eastAsia="黑体" w:cs="黑体"/>
                <w:i w:val="0"/>
                <w:iCs w:val="0"/>
                <w:color w:val="000000"/>
                <w:sz w:val="18"/>
                <w:szCs w:val="18"/>
                <w:u w:val="none"/>
              </w:rPr>
            </w:pPr>
          </w:p>
        </w:tc>
        <w:tc>
          <w:tcPr>
            <w:tcW w:w="956" w:type="dxa"/>
            <w:gridSpan w:val="3"/>
            <w:tcBorders>
              <w:top w:val="nil"/>
              <w:left w:val="nil"/>
              <w:bottom w:val="nil"/>
              <w:right w:val="nil"/>
            </w:tcBorders>
            <w:shd w:val="clear" w:color="auto" w:fill="auto"/>
            <w:vAlign w:val="center"/>
          </w:tcPr>
          <w:p>
            <w:pPr>
              <w:rPr>
                <w:rFonts w:hint="eastAsia" w:ascii="黑体" w:hAnsi="黑体" w:eastAsia="黑体" w:cs="黑体"/>
                <w:i w:val="0"/>
                <w:iCs w:val="0"/>
                <w:color w:val="000000"/>
                <w:sz w:val="18"/>
                <w:szCs w:val="18"/>
                <w:u w:val="none"/>
              </w:rPr>
            </w:pPr>
          </w:p>
        </w:tc>
        <w:tc>
          <w:tcPr>
            <w:tcW w:w="1789" w:type="dxa"/>
            <w:gridSpan w:val="2"/>
            <w:tcBorders>
              <w:top w:val="nil"/>
              <w:left w:val="nil"/>
              <w:bottom w:val="nil"/>
              <w:right w:val="nil"/>
            </w:tcBorders>
            <w:shd w:val="clear" w:color="auto" w:fill="auto"/>
            <w:vAlign w:val="top"/>
          </w:tcPr>
          <w:p>
            <w:pPr>
              <w:keepNext w:val="0"/>
              <w:keepLines w:val="0"/>
              <w:widowControl/>
              <w:suppressLineNumbers w:val="0"/>
              <w:jc w:val="right"/>
              <w:textAlignment w:val="top"/>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年度部门整体预算</w:t>
            </w:r>
          </w:p>
        </w:tc>
        <w:tc>
          <w:tcPr>
            <w:tcW w:w="3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资金总额</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财政拨款</w:t>
            </w:r>
          </w:p>
        </w:tc>
        <w:tc>
          <w:tcPr>
            <w:tcW w:w="27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收入预算</w:t>
            </w:r>
          </w:p>
        </w:tc>
        <w:tc>
          <w:tcPr>
            <w:tcW w:w="3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454.03</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454.03</w:t>
            </w:r>
          </w:p>
        </w:tc>
        <w:tc>
          <w:tcPr>
            <w:tcW w:w="27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支出预算</w:t>
            </w:r>
          </w:p>
        </w:tc>
        <w:tc>
          <w:tcPr>
            <w:tcW w:w="3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454.03</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454.03</w:t>
            </w:r>
          </w:p>
        </w:tc>
        <w:tc>
          <w:tcPr>
            <w:tcW w:w="27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5"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年度总体目标</w:t>
            </w:r>
          </w:p>
        </w:tc>
        <w:tc>
          <w:tcPr>
            <w:tcW w:w="846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2026年县统计局除需要完成常规的经济社会发展统计业务调查和监测任务外，还需要完成“第四次全国农业普查”前期工作。县统计局主要专项统计调查工作任务有：GDP核算、企业联网直报、平安建设调查、全面小康社会建设统计监测、黑水县工业统计、文化产业统计、人口和劳动力抽样调查、全社会能源统计及监测、服务业统计、妇女儿童监测、全县城乡划分、企业创新调查和中小企业调查等专项调查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71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管理效率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94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4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指标参考值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94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三年均值</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2023</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2024</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财政拨款预算偏离度</w:t>
            </w:r>
          </w:p>
        </w:tc>
        <w:tc>
          <w:tcPr>
            <w:tcW w:w="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50.89%</w:t>
            </w: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50.89%</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48.05%</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60.17%</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单位收入统筹度</w:t>
            </w:r>
          </w:p>
        </w:tc>
        <w:tc>
          <w:tcPr>
            <w:tcW w:w="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预算年终结余率</w:t>
            </w:r>
          </w:p>
        </w:tc>
        <w:tc>
          <w:tcPr>
            <w:tcW w:w="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10.85%</w:t>
            </w: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10.85%</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一般性支出金额</w:t>
            </w:r>
          </w:p>
        </w:tc>
        <w:tc>
          <w:tcPr>
            <w:tcW w:w="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.01万元</w:t>
            </w: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14.14万元</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财务管理规范</w:t>
            </w:r>
          </w:p>
        </w:tc>
        <w:tc>
          <w:tcPr>
            <w:tcW w:w="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资产管理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资产配置预算偏离度</w:t>
            </w:r>
          </w:p>
        </w:tc>
        <w:tc>
          <w:tcPr>
            <w:tcW w:w="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采购管理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采购执行率</w:t>
            </w:r>
          </w:p>
        </w:tc>
        <w:tc>
          <w:tcPr>
            <w:tcW w:w="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71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履职效能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指标值（包括数字及文字描述）</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color w:val="000000"/>
                <w:kern w:val="0"/>
                <w:sz w:val="18"/>
                <w:szCs w:val="18"/>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设定统计局202</w:t>
            </w:r>
            <w:r>
              <w:rPr>
                <w:rFonts w:hint="eastAsia" w:ascii="宋体" w:hAnsi="宋体" w:eastAsia="宋体" w:cs="宋体"/>
                <w:i w:val="0"/>
                <w:iCs w:val="0"/>
                <w:color w:val="000000"/>
                <w:kern w:val="0"/>
                <w:sz w:val="18"/>
                <w:szCs w:val="18"/>
                <w:u w:val="none"/>
                <w:lang w:val="en-US" w:eastAsia="zh-CN" w:bidi="ar"/>
              </w:rPr>
              <w:t>5</w:t>
            </w:r>
            <w:r>
              <w:rPr>
                <w:rFonts w:ascii="宋体" w:hAnsi="宋体" w:eastAsia="宋体" w:cs="宋体"/>
                <w:i w:val="0"/>
                <w:iCs w:val="0"/>
                <w:color w:val="000000"/>
                <w:kern w:val="0"/>
                <w:sz w:val="18"/>
                <w:szCs w:val="18"/>
                <w:u w:val="none"/>
                <w:lang w:val="en-US" w:eastAsia="zh-CN" w:bidi="ar"/>
              </w:rPr>
              <w:t>年度重点工作任务</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≧100%，按时完成</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抓紧抓实党建、党政工作，持续顾牢思想根基</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党政班子集中学习，组织党支部书记召开党建工作会议全年不少于10次</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劳动力调查入户登记户数</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≧16户</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四上企业及部分个体户统计人员岗位补贴</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≧120元/人次</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全部发放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四农普差旅补助发放人次</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≧20人次</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全部发放到位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职工体检费人数</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＝13人</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效益指标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掌握全县经济状况</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保质保量完成2026年下达目标任务。</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效益指标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干部职工满意度</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干部职工满意度≧98%</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效益指标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劳动力调查入户登记率</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全县劳动力调查入户率达98%</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效益指标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9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四农普差旅补助发放完成时间</w:t>
            </w:r>
          </w:p>
        </w:tc>
        <w:tc>
          <w:tcPr>
            <w:tcW w:w="2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r>
              <w:rPr>
                <w:rFonts w:hint="eastAsia" w:ascii="宋体" w:hAnsi="宋体" w:eastAsia="宋体" w:cs="宋体"/>
                <w:i w:val="0"/>
                <w:iCs w:val="0"/>
                <w:color w:val="000000"/>
                <w:kern w:val="0"/>
                <w:sz w:val="18"/>
                <w:szCs w:val="18"/>
                <w:u w:val="none"/>
                <w:lang w:val="en-US" w:eastAsia="zh-CN" w:bidi="ar"/>
              </w:rPr>
              <w:t>5</w:t>
            </w:r>
            <w:r>
              <w:rPr>
                <w:rFonts w:ascii="宋体" w:hAnsi="宋体" w:eastAsia="宋体" w:cs="宋体"/>
                <w:i w:val="0"/>
                <w:iCs w:val="0"/>
                <w:color w:val="000000"/>
                <w:kern w:val="0"/>
                <w:sz w:val="18"/>
                <w:szCs w:val="18"/>
                <w:u w:val="none"/>
                <w:lang w:val="en-US" w:eastAsia="zh-CN" w:bidi="ar"/>
              </w:rPr>
              <w:t>年12月底保质保量完成前期准备工作</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已完成</w:t>
            </w:r>
          </w:p>
        </w:tc>
      </w:tr>
    </w:tbl>
    <w:p>
      <w:pPr>
        <w:rPr>
          <w:rFonts w:eastAsia="黑体"/>
        </w:rPr>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pPr>
    </w:p>
    <w:p/>
    <w:sectPr>
      <w:pgSz w:w="16838" w:h="11906" w:orient="landscape"/>
      <w:pgMar w:top="1587" w:right="2098" w:bottom="1474" w:left="1984"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方正小标宋_GBK">
    <w:panose1 w:val="02000000000000000000"/>
    <w:charset w:val="86"/>
    <w:family w:val="auto"/>
    <w:pitch w:val="default"/>
    <w:sig w:usb0="A00002BF" w:usb1="38CF7CFA" w:usb2="00082016" w:usb3="00000000" w:csb0="00040001" w:csb1="00000000"/>
  </w:font>
  <w:font w:name="方正小标宋简体">
    <w:altName w:val="仿宋_GB2312"/>
    <w:panose1 w:val="03000509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path/>
          <v:fill on="f" focussize="0,0"/>
          <v:stroke on="f" weight="0.5pt" joinstyle="miter"/>
          <v:imagedata o:title=""/>
          <o:lock v:ext="edit"/>
          <v:textbox inset="0mm,0mm,0mm,0mm" style="mso-fit-shape-to-text:t;">
            <w:txbxContent>
              <w:p>
                <w:pPr>
                  <w:pStyle w:val="11"/>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E2C06"/>
    <w:multiLevelType w:val="singleLevel"/>
    <w:tmpl w:val="276E2C0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206"/>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D1F80"/>
    <w:rsid w:val="006E51AE"/>
    <w:rsid w:val="0070081F"/>
    <w:rsid w:val="007018F5"/>
    <w:rsid w:val="00710897"/>
    <w:rsid w:val="00712F45"/>
    <w:rsid w:val="00734305"/>
    <w:rsid w:val="007370E1"/>
    <w:rsid w:val="007732A1"/>
    <w:rsid w:val="00774C4A"/>
    <w:rsid w:val="00782BBB"/>
    <w:rsid w:val="007A0690"/>
    <w:rsid w:val="007A078F"/>
    <w:rsid w:val="007A0985"/>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B4EB4"/>
    <w:rsid w:val="00FD0228"/>
    <w:rsid w:val="00FD3BB7"/>
    <w:rsid w:val="00FE0D93"/>
    <w:rsid w:val="00FF2572"/>
    <w:rsid w:val="00FF32AD"/>
    <w:rsid w:val="0DC31556"/>
    <w:rsid w:val="0DDC59AD"/>
    <w:rsid w:val="0EAD2BE2"/>
    <w:rsid w:val="10167D23"/>
    <w:rsid w:val="11B50944"/>
    <w:rsid w:val="13F07136"/>
    <w:rsid w:val="1A3D6143"/>
    <w:rsid w:val="1C013801"/>
    <w:rsid w:val="1C7F9B9E"/>
    <w:rsid w:val="1DFD8D3B"/>
    <w:rsid w:val="1FB79DC9"/>
    <w:rsid w:val="1FBFC3F2"/>
    <w:rsid w:val="1FFFE033"/>
    <w:rsid w:val="27F352A6"/>
    <w:rsid w:val="2D527252"/>
    <w:rsid w:val="2DDC1740"/>
    <w:rsid w:val="2EAE55F2"/>
    <w:rsid w:val="2EDF4302"/>
    <w:rsid w:val="2EFE1A04"/>
    <w:rsid w:val="2F8F4E47"/>
    <w:rsid w:val="2FFF3854"/>
    <w:rsid w:val="35BBF80F"/>
    <w:rsid w:val="35C5177E"/>
    <w:rsid w:val="3AD1139A"/>
    <w:rsid w:val="3B0B3937"/>
    <w:rsid w:val="3B736F08"/>
    <w:rsid w:val="3B7BA6C9"/>
    <w:rsid w:val="3BE3D531"/>
    <w:rsid w:val="3BF50245"/>
    <w:rsid w:val="3D431A40"/>
    <w:rsid w:val="3E476EBB"/>
    <w:rsid w:val="3EFF42CA"/>
    <w:rsid w:val="3F6FCA38"/>
    <w:rsid w:val="3F9F3E33"/>
    <w:rsid w:val="3FD5AF3D"/>
    <w:rsid w:val="3FFED8BE"/>
    <w:rsid w:val="3FFF43BB"/>
    <w:rsid w:val="3FFF8C20"/>
    <w:rsid w:val="3FFFFC14"/>
    <w:rsid w:val="433DCF8E"/>
    <w:rsid w:val="45FF973D"/>
    <w:rsid w:val="46A22190"/>
    <w:rsid w:val="47550EBA"/>
    <w:rsid w:val="4B6A6102"/>
    <w:rsid w:val="4BF7E09D"/>
    <w:rsid w:val="4E6F0BB8"/>
    <w:rsid w:val="51B44DED"/>
    <w:rsid w:val="53BB74FC"/>
    <w:rsid w:val="55FDDF92"/>
    <w:rsid w:val="55FFBC03"/>
    <w:rsid w:val="56CDA72E"/>
    <w:rsid w:val="572F438D"/>
    <w:rsid w:val="576F5916"/>
    <w:rsid w:val="577FDAE2"/>
    <w:rsid w:val="57FBE2C7"/>
    <w:rsid w:val="5B335734"/>
    <w:rsid w:val="5B7F322F"/>
    <w:rsid w:val="5BCAB023"/>
    <w:rsid w:val="5BEACB58"/>
    <w:rsid w:val="5CFBB71D"/>
    <w:rsid w:val="5D8649C7"/>
    <w:rsid w:val="5DDA9B94"/>
    <w:rsid w:val="5EAB810D"/>
    <w:rsid w:val="5EFA9846"/>
    <w:rsid w:val="5EFF9DA6"/>
    <w:rsid w:val="5F7751B9"/>
    <w:rsid w:val="5F9F7232"/>
    <w:rsid w:val="5F9F9588"/>
    <w:rsid w:val="5FBD32D2"/>
    <w:rsid w:val="5FD450B0"/>
    <w:rsid w:val="5FEF60CD"/>
    <w:rsid w:val="5FFB203D"/>
    <w:rsid w:val="5FFB8CF9"/>
    <w:rsid w:val="63DBAF21"/>
    <w:rsid w:val="6636451A"/>
    <w:rsid w:val="67DE80AA"/>
    <w:rsid w:val="697E3B47"/>
    <w:rsid w:val="69BF132E"/>
    <w:rsid w:val="6B7F84D8"/>
    <w:rsid w:val="6BFEE5F3"/>
    <w:rsid w:val="6CAFF34E"/>
    <w:rsid w:val="6CFFCF4F"/>
    <w:rsid w:val="6DFFF8B6"/>
    <w:rsid w:val="6E331E98"/>
    <w:rsid w:val="6E9FE641"/>
    <w:rsid w:val="6EEDE807"/>
    <w:rsid w:val="6EEE4BE4"/>
    <w:rsid w:val="6EF65E9C"/>
    <w:rsid w:val="6F3D33C4"/>
    <w:rsid w:val="6F3D9197"/>
    <w:rsid w:val="6F6F75B6"/>
    <w:rsid w:val="6FAB3EC4"/>
    <w:rsid w:val="6FB6AF41"/>
    <w:rsid w:val="6FBC32C3"/>
    <w:rsid w:val="6FD52DA7"/>
    <w:rsid w:val="6FD894C8"/>
    <w:rsid w:val="6FE36A9E"/>
    <w:rsid w:val="6FEFB2D1"/>
    <w:rsid w:val="6FFF97E6"/>
    <w:rsid w:val="71111C7F"/>
    <w:rsid w:val="71397E03"/>
    <w:rsid w:val="71FB5B08"/>
    <w:rsid w:val="73FB87D9"/>
    <w:rsid w:val="75EF0FBA"/>
    <w:rsid w:val="7607C293"/>
    <w:rsid w:val="76793C4E"/>
    <w:rsid w:val="767B0EE7"/>
    <w:rsid w:val="76DF783A"/>
    <w:rsid w:val="76DFA4E8"/>
    <w:rsid w:val="771F844E"/>
    <w:rsid w:val="778720BD"/>
    <w:rsid w:val="77A7D615"/>
    <w:rsid w:val="77FF366A"/>
    <w:rsid w:val="77FF8C96"/>
    <w:rsid w:val="77FFA8F9"/>
    <w:rsid w:val="7976604B"/>
    <w:rsid w:val="79F3BC78"/>
    <w:rsid w:val="7A5B6CAA"/>
    <w:rsid w:val="7A9314AC"/>
    <w:rsid w:val="7B4F6850"/>
    <w:rsid w:val="7BABD5C4"/>
    <w:rsid w:val="7BB12055"/>
    <w:rsid w:val="7BBFADBA"/>
    <w:rsid w:val="7BF7F9C6"/>
    <w:rsid w:val="7BFF492D"/>
    <w:rsid w:val="7C631402"/>
    <w:rsid w:val="7C978C63"/>
    <w:rsid w:val="7CA35AD0"/>
    <w:rsid w:val="7CDF8BC3"/>
    <w:rsid w:val="7CEB72A5"/>
    <w:rsid w:val="7D18750B"/>
    <w:rsid w:val="7DDFDC39"/>
    <w:rsid w:val="7DFDEECD"/>
    <w:rsid w:val="7E140770"/>
    <w:rsid w:val="7E5D92FB"/>
    <w:rsid w:val="7E635AE7"/>
    <w:rsid w:val="7EF51D64"/>
    <w:rsid w:val="7EFFF488"/>
    <w:rsid w:val="7F574612"/>
    <w:rsid w:val="7F7F4920"/>
    <w:rsid w:val="7F9D05A9"/>
    <w:rsid w:val="7FAE6B49"/>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0917"/>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79A608"/>
    <w:rsid w:val="B5F66F24"/>
    <w:rsid w:val="B7F5200A"/>
    <w:rsid w:val="BABDA1AA"/>
    <w:rsid w:val="BB1B4BF1"/>
    <w:rsid w:val="BBE5FE68"/>
    <w:rsid w:val="BBFEB9C1"/>
    <w:rsid w:val="BDF7406A"/>
    <w:rsid w:val="BE6FD8DB"/>
    <w:rsid w:val="BEEF57C2"/>
    <w:rsid w:val="BF6CD6FF"/>
    <w:rsid w:val="BF6D5596"/>
    <w:rsid w:val="BFBEBB2C"/>
    <w:rsid w:val="BFC68935"/>
    <w:rsid w:val="BFDD0F1D"/>
    <w:rsid w:val="BFDDD096"/>
    <w:rsid w:val="C5B3F496"/>
    <w:rsid w:val="C96F3E49"/>
    <w:rsid w:val="CBBF14F3"/>
    <w:rsid w:val="CBE5DCF2"/>
    <w:rsid w:val="CCFCC735"/>
    <w:rsid w:val="CEEB8A74"/>
    <w:rsid w:val="D37FB642"/>
    <w:rsid w:val="D64B98F7"/>
    <w:rsid w:val="D7F99798"/>
    <w:rsid w:val="D7FF400C"/>
    <w:rsid w:val="D9DB2628"/>
    <w:rsid w:val="DBED1CD4"/>
    <w:rsid w:val="DBFBB328"/>
    <w:rsid w:val="DDD7453A"/>
    <w:rsid w:val="DE3E1FD7"/>
    <w:rsid w:val="DE4F9810"/>
    <w:rsid w:val="DEBFCF8E"/>
    <w:rsid w:val="DFBE1B79"/>
    <w:rsid w:val="DFCF1FEC"/>
    <w:rsid w:val="DFE75A3D"/>
    <w:rsid w:val="DFED2117"/>
    <w:rsid w:val="DFEF594B"/>
    <w:rsid w:val="DFF3F960"/>
    <w:rsid w:val="DFFE0D61"/>
    <w:rsid w:val="E35C4B3C"/>
    <w:rsid w:val="E3A781CA"/>
    <w:rsid w:val="E5DFAB50"/>
    <w:rsid w:val="E6FC647F"/>
    <w:rsid w:val="EAE6D6D4"/>
    <w:rsid w:val="EBFBC8F1"/>
    <w:rsid w:val="EBFDF757"/>
    <w:rsid w:val="ED758B5D"/>
    <w:rsid w:val="ED76A08D"/>
    <w:rsid w:val="EDBDD81F"/>
    <w:rsid w:val="EDFDB542"/>
    <w:rsid w:val="EF0FCF96"/>
    <w:rsid w:val="EF7F3FF6"/>
    <w:rsid w:val="EF95E20F"/>
    <w:rsid w:val="EFAF7DFF"/>
    <w:rsid w:val="EFAFB283"/>
    <w:rsid w:val="EFBDA38B"/>
    <w:rsid w:val="EFEE9A76"/>
    <w:rsid w:val="EFEEA106"/>
    <w:rsid w:val="F1BF6FBC"/>
    <w:rsid w:val="F1F9A9B5"/>
    <w:rsid w:val="F3779FC2"/>
    <w:rsid w:val="F3D5C239"/>
    <w:rsid w:val="F3F37DF4"/>
    <w:rsid w:val="F3F96DE6"/>
    <w:rsid w:val="F3FBC54A"/>
    <w:rsid w:val="F47BB68A"/>
    <w:rsid w:val="F47F523E"/>
    <w:rsid w:val="F69FD6B0"/>
    <w:rsid w:val="F6BEF9AB"/>
    <w:rsid w:val="F7E7F921"/>
    <w:rsid w:val="F7F7AC6A"/>
    <w:rsid w:val="F7FD93B9"/>
    <w:rsid w:val="F8D9A400"/>
    <w:rsid w:val="FABF64A5"/>
    <w:rsid w:val="FABF7411"/>
    <w:rsid w:val="FBA53981"/>
    <w:rsid w:val="FBE4457E"/>
    <w:rsid w:val="FBFC558A"/>
    <w:rsid w:val="FBFF71AC"/>
    <w:rsid w:val="FBFFEA2B"/>
    <w:rsid w:val="FCCB27AA"/>
    <w:rsid w:val="FCFF8F4B"/>
    <w:rsid w:val="FD9595AD"/>
    <w:rsid w:val="FDDF4F05"/>
    <w:rsid w:val="FDF9DD9A"/>
    <w:rsid w:val="FDFD5427"/>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AF540A"/>
    <w:rsid w:val="FFB75E44"/>
    <w:rsid w:val="FFBB1E09"/>
    <w:rsid w:val="FFBB6A0C"/>
    <w:rsid w:val="FFBD894B"/>
    <w:rsid w:val="FFBF33B3"/>
    <w:rsid w:val="FFD09362"/>
    <w:rsid w:val="FFD1DA08"/>
    <w:rsid w:val="FFD54B8A"/>
    <w:rsid w:val="FFD7DEDD"/>
    <w:rsid w:val="FFDE369F"/>
    <w:rsid w:val="FFEF98C9"/>
    <w:rsid w:val="FFEFCE62"/>
    <w:rsid w:val="FFF973B0"/>
    <w:rsid w:val="FFFB4F05"/>
    <w:rsid w:val="FFFEC8F5"/>
    <w:rsid w:val="FFFEFE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200" w:leftChars="200" w:hanging="200" w:hangingChars="200"/>
    </w:pPr>
    <w:rPr>
      <w:sz w:val="20"/>
      <w:szCs w:val="21"/>
    </w:rPr>
  </w:style>
  <w:style w:type="paragraph" w:styleId="3">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4">
    <w:name w:val="Document Map"/>
    <w:basedOn w:val="1"/>
    <w:link w:val="22"/>
    <w:qFormat/>
    <w:uiPriority w:val="0"/>
    <w:rPr>
      <w:rFonts w:ascii="宋体" w:eastAsia="宋体"/>
      <w:sz w:val="18"/>
      <w:szCs w:val="18"/>
    </w:rPr>
  </w:style>
  <w:style w:type="paragraph" w:styleId="5">
    <w:name w:val="toa heading"/>
    <w:basedOn w:val="1"/>
    <w:next w:val="1"/>
    <w:qFormat/>
    <w:uiPriority w:val="0"/>
    <w:pPr>
      <w:spacing w:before="120"/>
    </w:pPr>
    <w:rPr>
      <w:rFonts w:ascii="Arial" w:hAnsi="Arial" w:cs="Arial"/>
      <w:sz w:val="24"/>
      <w:szCs w:val="24"/>
    </w:r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200" w:leftChars="200"/>
    </w:pPr>
    <w:rPr>
      <w:rFonts w:ascii="仿宋_GB2312"/>
      <w:szCs w:val="32"/>
    </w:rPr>
  </w:style>
  <w:style w:type="paragraph" w:styleId="8">
    <w:name w:val="Plain Text"/>
    <w:basedOn w:val="1"/>
    <w:qFormat/>
    <w:uiPriority w:val="0"/>
    <w:pPr>
      <w:widowControl/>
      <w:jc w:val="left"/>
    </w:pPr>
    <w:rPr>
      <w:rFonts w:ascii="宋体" w:hAnsi="Courier New"/>
      <w:kern w:val="0"/>
      <w:szCs w:val="21"/>
    </w:rPr>
  </w:style>
  <w:style w:type="paragraph" w:styleId="9">
    <w:name w:val="Body Text Indent 2"/>
    <w:basedOn w:val="1"/>
    <w:qFormat/>
    <w:uiPriority w:val="0"/>
    <w:pPr>
      <w:spacing w:after="120" w:line="480" w:lineRule="auto"/>
      <w:ind w:left="420" w:leftChars="200"/>
    </w:pPr>
  </w:style>
  <w:style w:type="paragraph" w:styleId="10">
    <w:name w:val="Balloon Text"/>
    <w:basedOn w:val="1"/>
    <w:semiHidden/>
    <w:qFormat/>
    <w:uiPriority w:val="0"/>
    <w:rPr>
      <w:sz w:val="18"/>
      <w:szCs w:val="18"/>
    </w:rPr>
  </w:style>
  <w:style w:type="paragraph" w:styleId="11">
    <w:name w:val="footer"/>
    <w:basedOn w:val="1"/>
    <w:link w:val="24"/>
    <w:qFormat/>
    <w:uiPriority w:val="99"/>
    <w:pPr>
      <w:tabs>
        <w:tab w:val="center" w:pos="4153"/>
        <w:tab w:val="right" w:pos="8306"/>
      </w:tabs>
      <w:snapToGrid w:val="0"/>
      <w:jc w:val="left"/>
    </w:pPr>
    <w:rPr>
      <w:rFonts w:eastAsia="宋体"/>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3">
    <w:name w:val="toc 1"/>
    <w:basedOn w:val="1"/>
    <w:next w:val="1"/>
    <w:qFormat/>
    <w:uiPriority w:val="0"/>
  </w:style>
  <w:style w:type="paragraph" w:styleId="14">
    <w:name w:val="Body Text First Indent 2"/>
    <w:basedOn w:val="7"/>
    <w:unhideWhenUsed/>
    <w:qFormat/>
    <w:uiPriority w:val="99"/>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basedOn w:val="17"/>
    <w:qFormat/>
    <w:uiPriority w:val="0"/>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0">
    <w:name w:val="四号正文"/>
    <w:basedOn w:val="1"/>
    <w:link w:val="21"/>
    <w:qFormat/>
    <w:uiPriority w:val="0"/>
    <w:pPr>
      <w:spacing w:line="360" w:lineRule="auto"/>
    </w:pPr>
    <w:rPr>
      <w:rFonts w:ascii="??" w:hAnsi="??" w:eastAsia="宋体" w:cs="宋体"/>
      <w:color w:val="000000"/>
      <w:kern w:val="0"/>
      <w:sz w:val="28"/>
      <w:szCs w:val="21"/>
    </w:rPr>
  </w:style>
  <w:style w:type="character" w:customStyle="1" w:styleId="21">
    <w:name w:val="四号正文 Char"/>
    <w:basedOn w:val="17"/>
    <w:link w:val="20"/>
    <w:qFormat/>
    <w:uiPriority w:val="0"/>
    <w:rPr>
      <w:rFonts w:ascii="??" w:hAnsi="??" w:eastAsia="宋体" w:cs="宋体"/>
      <w:color w:val="000000"/>
      <w:sz w:val="28"/>
      <w:szCs w:val="21"/>
      <w:lang w:val="en-US" w:eastAsia="zh-CN" w:bidi="ar-SA"/>
    </w:rPr>
  </w:style>
  <w:style w:type="character" w:customStyle="1" w:styleId="22">
    <w:name w:val="文档结构图 Char"/>
    <w:basedOn w:val="17"/>
    <w:link w:val="4"/>
    <w:qFormat/>
    <w:uiPriority w:val="0"/>
    <w:rPr>
      <w:rFonts w:ascii="宋体"/>
      <w:kern w:val="2"/>
      <w:sz w:val="18"/>
      <w:szCs w:val="18"/>
    </w:rPr>
  </w:style>
  <w:style w:type="paragraph" w:customStyle="1" w:styleId="23">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4">
    <w:name w:val="页脚 Char"/>
    <w:basedOn w:val="17"/>
    <w:link w:val="11"/>
    <w:qFormat/>
    <w:uiPriority w:val="99"/>
    <w:rPr>
      <w:kern w:val="2"/>
      <w:sz w:val="18"/>
      <w:szCs w:val="18"/>
    </w:rPr>
  </w:style>
  <w:style w:type="character" w:customStyle="1" w:styleId="25">
    <w:name w:val="font31"/>
    <w:basedOn w:val="17"/>
    <w:qFormat/>
    <w:uiPriority w:val="0"/>
    <w:rPr>
      <w:rFonts w:hint="eastAsia" w:ascii="宋体" w:hAnsi="宋体" w:eastAsia="宋体" w:cs="宋体"/>
      <w:color w:val="000000"/>
      <w:sz w:val="24"/>
      <w:szCs w:val="24"/>
      <w:u w:val="none"/>
    </w:rPr>
  </w:style>
  <w:style w:type="character" w:customStyle="1" w:styleId="26">
    <w:name w:val="font51"/>
    <w:basedOn w:val="17"/>
    <w:qFormat/>
    <w:uiPriority w:val="0"/>
    <w:rPr>
      <w:rFonts w:hint="default" w:ascii="Wingdings 2" w:hAnsi="Wingdings 2" w:eastAsia="Wingdings 2" w:cs="Wingdings 2"/>
      <w:color w:val="000000"/>
      <w:sz w:val="18"/>
      <w:szCs w:val="18"/>
      <w:u w:val="none"/>
    </w:rPr>
  </w:style>
  <w:style w:type="character" w:customStyle="1" w:styleId="27">
    <w:name w:val="font01"/>
    <w:basedOn w:val="17"/>
    <w:qFormat/>
    <w:uiPriority w:val="0"/>
    <w:rPr>
      <w:rFonts w:ascii="宋体" w:hAnsi="宋体" w:eastAsia="宋体" w:cs="宋体"/>
      <w:color w:val="000000"/>
      <w:sz w:val="18"/>
      <w:szCs w:val="18"/>
      <w:u w:val="none"/>
    </w:rPr>
  </w:style>
  <w:style w:type="character" w:customStyle="1" w:styleId="28">
    <w:name w:val="font41"/>
    <w:basedOn w:val="17"/>
    <w:qFormat/>
    <w:uiPriority w:val="0"/>
    <w:rPr>
      <w:rFonts w:ascii="宋体" w:hAnsi="宋体" w:eastAsia="宋体" w:cs="宋体"/>
      <w:color w:val="000000"/>
      <w:sz w:val="18"/>
      <w:szCs w:val="18"/>
      <w:u w:val="none"/>
    </w:rPr>
  </w:style>
  <w:style w:type="character" w:customStyle="1" w:styleId="29">
    <w:name w:val="font11"/>
    <w:qFormat/>
    <w:uiPriority w:val="0"/>
    <w:rPr>
      <w:rFonts w:hint="eastAsia" w:ascii="宋体" w:hAnsi="宋体" w:eastAsia="宋体" w:cs="宋体"/>
      <w:b/>
      <w:bCs/>
      <w:color w:val="000000"/>
      <w:sz w:val="21"/>
      <w:szCs w:val="21"/>
      <w:u w:val="none"/>
    </w:rPr>
  </w:style>
  <w:style w:type="character" w:customStyle="1" w:styleId="30">
    <w:name w:val="font2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PSZX</Company>
  <Pages>13</Pages>
  <Words>5776</Words>
  <Characters>6153</Characters>
  <Lines>20</Lines>
  <Paragraphs>5</Paragraphs>
  <TotalTime>13</TotalTime>
  <ScaleCrop>false</ScaleCrop>
  <LinksUpToDate>false</LinksUpToDate>
  <CharactersWithSpaces>6159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2019-06-03T03:06:00Z</dcterms:created>
  <dc:creator>陈萍</dc:creator>
  <cp:lastModifiedBy>user</cp:lastModifiedBy>
  <cp:lastPrinted>2025-12-31T02:00:00Z</cp:lastPrinted>
  <dcterms:modified xsi:type="dcterms:W3CDTF">2026-09-11T11:06:58Z</dcterms:modified>
  <dc:title>区域性就业培训基地建设项目</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EA0448A1106B0901B2EE4969E222A9A1</vt:lpwstr>
  </property>
  <property fmtid="{D5CDD505-2E9C-101B-9397-08002B2CF9AE}" pid="4" name="KSOTemplateDocerSaveRecord">
    <vt:lpwstr>eyJoZGlkIjoiMzZmMTI3NmMwZWUyNDFkM2I0MTk3NWYyMjEzNTY4OWUiLCJ1c2VySWQiOiI5OTQ1MTc1MDAifQ==</vt:lpwstr>
  </property>
</Properties>
</file>