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Style w:val="33"/>
          <w:rFonts w:ascii="黑体" w:hAnsi="黑体" w:eastAsia="黑体"/>
          <w:b w:val="0"/>
        </w:rPr>
      </w:pPr>
      <w:bookmarkStart w:id="0" w:name="_Toc21234"/>
      <w:bookmarkStart w:id="1" w:name="_Toc30803"/>
      <w:bookmarkStart w:id="2" w:name="_Toc17198"/>
      <w:bookmarkStart w:id="3" w:name="_Toc15396614"/>
      <w:bookmarkStart w:id="4" w:name="_Toc28422"/>
      <w:bookmarkStart w:id="5" w:name="_Toc14584"/>
      <w:bookmarkStart w:id="6" w:name="_Toc7364"/>
      <w:bookmarkStart w:id="7" w:name="_Toc966"/>
      <w:bookmarkStart w:id="8" w:name="_Toc15377226"/>
      <w:r>
        <w:rPr>
          <w:rFonts w:hint="eastAsia" w:ascii="黑体" w:hAnsi="黑体" w:eastAsia="黑体"/>
          <w:sz w:val="44"/>
          <w:szCs w:val="44"/>
        </w:rPr>
        <w:t>第</w:t>
      </w:r>
      <w:r>
        <w:rPr>
          <w:rStyle w:val="33"/>
          <w:rFonts w:hint="eastAsia" w:ascii="黑体" w:hAnsi="黑体" w:eastAsia="黑体"/>
          <w:b w:val="0"/>
        </w:rPr>
        <w:t>四部分 附件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tbl>
      <w:tblPr>
        <w:tblStyle w:val="16"/>
        <w:tblpPr w:leftFromText="180" w:rightFromText="180" w:vertAnchor="text" w:horzAnchor="page" w:tblpX="798" w:tblpY="476"/>
        <w:tblOverlap w:val="never"/>
        <w:tblW w:w="11509" w:type="dxa"/>
        <w:tblInd w:w="-4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400"/>
        <w:gridCol w:w="250"/>
        <w:gridCol w:w="376"/>
        <w:gridCol w:w="797"/>
        <w:gridCol w:w="594"/>
        <w:gridCol w:w="497"/>
        <w:gridCol w:w="629"/>
        <w:gridCol w:w="1007"/>
        <w:gridCol w:w="550"/>
        <w:gridCol w:w="241"/>
        <w:gridCol w:w="385"/>
        <w:gridCol w:w="542"/>
        <w:gridCol w:w="195"/>
        <w:gridCol w:w="310"/>
        <w:gridCol w:w="545"/>
        <w:gridCol w:w="271"/>
        <w:gridCol w:w="166"/>
        <w:gridCol w:w="395"/>
        <w:gridCol w:w="398"/>
        <w:gridCol w:w="188"/>
        <w:gridCol w:w="271"/>
        <w:gridCol w:w="275"/>
        <w:gridCol w:w="27"/>
        <w:gridCol w:w="114"/>
        <w:gridCol w:w="1263"/>
        <w:gridCol w:w="8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900" w:hRule="atLeast"/>
        </w:trPr>
        <w:tc>
          <w:tcPr>
            <w:tcW w:w="10686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1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8863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51322821R000000050535-体检费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510" w:hRule="atLeast"/>
        </w:trPr>
        <w:tc>
          <w:tcPr>
            <w:tcW w:w="1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76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1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6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17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76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705" w:hRule="atLeast"/>
        </w:trPr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17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76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严格执行相关政策，保障工资及时、足额发放或社保及时、足额缴纳，预算编制科学合理，减少结余资金。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90" w:hRule="atLeast"/>
        </w:trPr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8863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60" w:hRule="atLeast"/>
        </w:trPr>
        <w:tc>
          <w:tcPr>
            <w:tcW w:w="6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2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1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45" w:hRule="atLeast"/>
        </w:trPr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1.71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2.01</w:t>
            </w:r>
          </w:p>
        </w:tc>
        <w:tc>
          <w:tcPr>
            <w:tcW w:w="22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2.01</w:t>
            </w: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40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90" w:hRule="atLeast"/>
        </w:trPr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1.71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2.01</w:t>
            </w:r>
          </w:p>
        </w:tc>
        <w:tc>
          <w:tcPr>
            <w:tcW w:w="22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2.01</w:t>
            </w: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40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05" w:hRule="atLeast"/>
        </w:trPr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2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40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60" w:hRule="atLeast"/>
        </w:trPr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2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40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2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40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50" w:hRule="atLeast"/>
        </w:trPr>
        <w:tc>
          <w:tcPr>
            <w:tcW w:w="6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1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发放（缴纳）覆盖率</w:t>
            </w:r>
          </w:p>
        </w:tc>
        <w:tc>
          <w:tcPr>
            <w:tcW w:w="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60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6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6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足额保障率（参保率）</w:t>
            </w:r>
          </w:p>
        </w:tc>
        <w:tc>
          <w:tcPr>
            <w:tcW w:w="7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775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7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7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0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57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3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无</w:t>
            </w: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56" w:hRule="atLeast"/>
        </w:trPr>
        <w:tc>
          <w:tcPr>
            <w:tcW w:w="572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496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10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900" w:hRule="atLeast"/>
        </w:trPr>
        <w:tc>
          <w:tcPr>
            <w:tcW w:w="10686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24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826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51322821R000000054998-住房公积金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510" w:hRule="atLeast"/>
        </w:trPr>
        <w:tc>
          <w:tcPr>
            <w:tcW w:w="24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1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70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严格执行相关政策，保障工资及时、足额发放或社保及时、足额缴纳，预算编制科学合理，减少结余资金。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9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826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60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4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23.32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23.58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23.58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9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23.32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23.58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23.58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0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6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50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发放（缴纳）覆盖率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足额保障率（参保率）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8548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0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57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3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572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496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10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900" w:hRule="atLeast"/>
        </w:trPr>
        <w:tc>
          <w:tcPr>
            <w:tcW w:w="10686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24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826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51322821Y000000050642-公车运行维护费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510" w:hRule="atLeast"/>
        </w:trPr>
        <w:tc>
          <w:tcPr>
            <w:tcW w:w="24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1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70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提高预算编制质量，严格执行预算，保障单位日常运转。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9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826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60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2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4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4.75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4.75</w:t>
            </w:r>
          </w:p>
        </w:tc>
        <w:tc>
          <w:tcPr>
            <w:tcW w:w="22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4.75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9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4.75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4.75</w:t>
            </w:r>
          </w:p>
        </w:tc>
        <w:tc>
          <w:tcPr>
            <w:tcW w:w="22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4.75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3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0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2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3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6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2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3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2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3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50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科目调整次数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</w:t>
            </w:r>
          </w:p>
        </w:tc>
        <w:tc>
          <w:tcPr>
            <w:tcW w:w="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次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7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质量指标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预算编制准确率（计算方法为：∣（执行数-预算数）/预算数∣）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</w:t>
            </w:r>
          </w:p>
        </w:tc>
        <w:tc>
          <w:tcPr>
            <w:tcW w:w="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90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经济效益指标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/>
                <w:b w:val="0"/>
                <w:i w:val="0"/>
                <w:color w:val="000000"/>
                <w:sz w:val="18"/>
                <w:u w:val="none"/>
                <w:lang w:eastAsia="zh-CN"/>
              </w:rPr>
              <w:t>“三公”经费</w:t>
            </w: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控制率[计算方法为：（</w:t>
            </w:r>
            <w:r>
              <w:rPr>
                <w:rFonts w:hint="default" w:ascii="宋体" w:hAnsi="宋体"/>
                <w:b w:val="0"/>
                <w:i w:val="0"/>
                <w:color w:val="000000"/>
                <w:sz w:val="18"/>
                <w:u w:val="none"/>
                <w:lang w:eastAsia="zh-CN"/>
              </w:rPr>
              <w:t>“三公”经费</w:t>
            </w: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实际支出数/预算安排数]×100%）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运转保障率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8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815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5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0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57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3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572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496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10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900" w:hRule="atLeast"/>
        </w:trPr>
        <w:tc>
          <w:tcPr>
            <w:tcW w:w="10686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24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826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51322822T000000316147-劳动力调查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510" w:hRule="atLeast"/>
        </w:trPr>
        <w:tc>
          <w:tcPr>
            <w:tcW w:w="24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1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70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劳动力调查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9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826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60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4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2.53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2.53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9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2.53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2.53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0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6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12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50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调查员人数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人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5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月标准工资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元/人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时效指标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完成时间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12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月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3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“稳就业 保就业”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45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满意度指标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服务对象满意度指标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全县就业失业统计监测人员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8548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0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57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30" w:hRule="atLeast"/>
        </w:trPr>
        <w:tc>
          <w:tcPr>
            <w:tcW w:w="10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9660" w:type="dxa"/>
            <w:gridSpan w:val="2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572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496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10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900" w:hRule="atLeast"/>
        </w:trPr>
        <w:tc>
          <w:tcPr>
            <w:tcW w:w="10686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24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826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51322822T000006544683-统计局代管资金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510" w:hRule="atLeast"/>
        </w:trPr>
        <w:tc>
          <w:tcPr>
            <w:tcW w:w="24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1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285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70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该经费为州调查队拨付业务经费，保障2025年12月前完成该该经费支出，严格按照上级规定支出，严格控制预算。</w:t>
            </w:r>
          </w:p>
        </w:tc>
        <w:tc>
          <w:tcPr>
            <w:tcW w:w="309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690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8269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60" w:hRule="atLeast"/>
        </w:trPr>
        <w:tc>
          <w:tcPr>
            <w:tcW w:w="10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823" w:type="dxa"/>
          <w:trHeight w:val="345" w:hRule="atLeast"/>
        </w:trPr>
        <w:tc>
          <w:tcPr>
            <w:tcW w:w="102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涉及专业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个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涉及人数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人数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质量指标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按要求保质保量完成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定性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2025年底完成支付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时效指标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完成时间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定性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2025.12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月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经济效益指标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为全县统计调查提供数据支撑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定性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为全县统计调查提供数据支撑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满意度指标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满意度指标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调查人员满意度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98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成本指标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经济成本指标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产生的费用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万元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51322822T000006973077-四上企业及部分个体户统计人员补贴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四上企业及部分个体户统计人员补贴经费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9.07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6.66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6.66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9.07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6.66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6.66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月发放标准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120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元/人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统计员人数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63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人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时效指标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标准2024年底前完成项目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12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月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完成时间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满意度指标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服务对象满意度指标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满意度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51322823R000008593755-在职人员基础性绩效奖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严格执行相关政策，保障工资及时、足额发放或社保及时、足额缴纳，预算编制科学合理，减少结余资金。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25.02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46.64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46.64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25.02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46.64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46.64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发放（缴纳）覆盖率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足额保障率（参保率）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51322823T000007689951-年度考核奖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年度考核奖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21.31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21.31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21.31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21.31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年度考核奖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40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发放人数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14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人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年度考核奖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25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满意度指标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服务对象满意度指标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单位职工考核奖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51322823T000007786841-全国第五次经济普查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全国第五次经济普查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3.30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3.30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3.30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3.30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调查员人数和临聘人员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215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人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业务培训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批次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时效指标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保障2024年底前完成该项目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12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月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掌握全县经济状况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满意度指标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服务对象满意度指标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二、三产法人单位等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成本指标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社会成本指标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严格控制预算成本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3.3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万元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51322823T000007787081-住户调查奖补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住户调查奖补资金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81.76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81.76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81.76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81.76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7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辅助记账员补贴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元/人·次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记账户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户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辅助记账员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人数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记账户补贴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元/户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质量指标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记账合格率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98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时效指标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完成年限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定性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2025年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了解居民的收入和生活状况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定性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了解居民的收入和生活状况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满意度指标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服务对象满意度指标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调查对象满意度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98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51322825R000012469180-退休人员生活补助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严格执行相关政策，保障工资及时、足额发放或社保及时、足额缴纳，预算编制科学合理，减少结余资金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5.88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5.88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5.88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5.88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发放（缴纳）覆盖率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足额保障率（参保率）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51322825R000012601733-单位缴费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严格执行相关政策，保障工资及时、足额发放或社保及时、足额缴纳，预算编制科学合理，减少结余资金。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66.34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61.55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61.55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66.34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61.55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61.55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发放（缴纳）覆盖率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足额保障率（参保率）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51322825R000012602602-工资性支出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严格执行相关政策，保障工资及时、足额发放或社保及时、足额缴纳，预算编制科学合理，减少结余资金。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141.49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144.78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144.78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141.49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144.78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144.78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发放（缴纳）覆盖率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60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足额保障率（参保率）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51322825T000013860725-第四次全国农业普查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第四次全国农业普查每10年进行一次，尾数逢6的年份为普查年度。根据国家、省、市（州）相关安排部署，旨在全面了解农业生产、农村建设、农民生活等方面的基本情况，掌握农业现代化和农村振兴战略实施的进展和成效，为科学制定“三农”政策提供准确的统计信息支持。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15.69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15.69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15.69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15.69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业务培训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批次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农业生产经营单位和农户的数量等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时效指标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保障2025年底完成前期工作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12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月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7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全面了解农业生产、农村建设、农民生活等方面的基本情况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满意度指标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服务对象满意度指标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农业生产经营单位和农户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≥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90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成本指标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社会成本指标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严格控制预算成本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80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万元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51322825Y000012513633-残疾人就业保障金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提高预算编制质量，严格执行预算，保障单位日常运转。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1.97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1.97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1.97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1.97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1.97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1.97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科目调整次数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次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7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质量指标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预算编制准确率（计算方法为：∣（执行数-预算数）/预算数∣）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经济效益指标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/>
                <w:b w:val="0"/>
                <w:i w:val="0"/>
                <w:color w:val="000000"/>
                <w:sz w:val="18"/>
                <w:u w:val="none"/>
                <w:lang w:eastAsia="zh-CN"/>
              </w:rPr>
              <w:t>“三公”经费</w:t>
            </w: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控制率[计算方法为：（</w:t>
            </w:r>
            <w:r>
              <w:rPr>
                <w:rFonts w:hint="default" w:ascii="宋体" w:hAnsi="宋体"/>
                <w:b w:val="0"/>
                <w:i w:val="0"/>
                <w:color w:val="000000"/>
                <w:sz w:val="18"/>
                <w:u w:val="none"/>
                <w:lang w:eastAsia="zh-CN"/>
              </w:rPr>
              <w:t>“三公”经费</w:t>
            </w: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实际支出数/预算安排数]×100%）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运转保障率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391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62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737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112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416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1110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/>
                <w:i w:val="0"/>
                <w:color w:val="000000"/>
                <w:sz w:val="30"/>
                <w:u w:val="none"/>
                <w:lang w:eastAsia="zh-CN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项目名称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51322825Y000012599889-日常公用经费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10" w:hRule="atLeast"/>
        </w:trPr>
        <w:tc>
          <w:tcPr>
            <w:tcW w:w="20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主管部门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  <w:tc>
          <w:tcPr>
            <w:tcW w:w="959" w:type="dxa"/>
            <w:gridSpan w:val="3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实施单位 （盖章）</w:t>
            </w:r>
          </w:p>
        </w:tc>
        <w:tc>
          <w:tcPr>
            <w:tcW w:w="29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黑水县统计局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项目基本情况</w:t>
            </w: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1.项目年度目标完成情况</w:t>
            </w: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项目年度目标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7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5172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提高预算编制质量，严格执行预算，保障单位日常运转。</w:t>
            </w:r>
          </w:p>
        </w:tc>
        <w:tc>
          <w:tcPr>
            <w:tcW w:w="39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对照年度目标，说明相关任务目标的完成情况（100字以内）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2.项目实施内容及过程概述</w:t>
            </w:r>
          </w:p>
        </w:tc>
        <w:tc>
          <w:tcPr>
            <w:tcW w:w="909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预算执行情况（10分）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年度预算数（万元）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年初预算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调整后预算数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预算执行数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预算执行率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4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总额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35.63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31.62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31.62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/>
                <w:color w:val="000000"/>
                <w:sz w:val="18"/>
                <w:u w:val="none"/>
                <w:lang w:eastAsia="zh-CN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9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其中：财政资金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35.63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31.62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31.62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0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财政专户管理资金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6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单位资金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0.00%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其他资金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2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/</w:t>
            </w:r>
          </w:p>
        </w:tc>
        <w:tc>
          <w:tcPr>
            <w:tcW w:w="208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450" w:hRule="atLeast"/>
        </w:trPr>
        <w:tc>
          <w:tcPr>
            <w:tcW w:w="62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绩效指标（90分）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一级指标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二级指标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三级指标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指标性质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指标值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度量单位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完成值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权重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得分</w:t>
            </w: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产出指标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数量指标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科目调整次数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次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75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质量指标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预算编制准确率（计算方法为：∣（执行数-预算数）/预算数∣）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5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30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90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效益指标</w:t>
            </w: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经济效益指标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/>
                <w:b w:val="0"/>
                <w:i w:val="0"/>
                <w:color w:val="000000"/>
                <w:sz w:val="18"/>
                <w:u w:val="none"/>
                <w:lang w:eastAsia="zh-CN"/>
              </w:rPr>
              <w:t>“三公”经费</w:t>
            </w: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控制率[计算方法为：（</w:t>
            </w:r>
            <w:r>
              <w:rPr>
                <w:rFonts w:hint="default" w:ascii="宋体" w:hAnsi="宋体"/>
                <w:b w:val="0"/>
                <w:i w:val="0"/>
                <w:color w:val="000000"/>
                <w:sz w:val="18"/>
                <w:u w:val="none"/>
                <w:lang w:eastAsia="zh-CN"/>
              </w:rPr>
              <w:t>“三公”经费</w:t>
            </w: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实际支出数/预算安排数]×100%）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≤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330" w:hRule="atLeast"/>
        </w:trPr>
        <w:tc>
          <w:tcPr>
            <w:tcW w:w="62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宋体" w:hAnsi="宋体"/>
                <w:sz w:val="24"/>
              </w:rPr>
            </w:pPr>
          </w:p>
        </w:tc>
        <w:tc>
          <w:tcPr>
            <w:tcW w:w="13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textAlignment w:val="auto"/>
              <w:rPr>
                <w:rFonts w:hint="default" w:ascii="宋体" w:hAnsi="宋体"/>
                <w:sz w:val="24"/>
              </w:rPr>
            </w:pPr>
          </w:p>
        </w:tc>
        <w:tc>
          <w:tcPr>
            <w:tcW w:w="1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社会效益指标</w:t>
            </w:r>
          </w:p>
        </w:tc>
        <w:tc>
          <w:tcPr>
            <w:tcW w:w="15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运转保障率</w:t>
            </w:r>
          </w:p>
        </w:tc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＝</w:t>
            </w:r>
          </w:p>
        </w:tc>
        <w:tc>
          <w:tcPr>
            <w:tcW w:w="7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%</w:t>
            </w:r>
          </w:p>
        </w:tc>
        <w:tc>
          <w:tcPr>
            <w:tcW w:w="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20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8148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合计</w:t>
            </w:r>
          </w:p>
        </w:tc>
        <w:tc>
          <w:tcPr>
            <w:tcW w:w="4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100</w:t>
            </w:r>
          </w:p>
        </w:tc>
        <w:tc>
          <w:tcPr>
            <w:tcW w:w="4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  <w:tc>
          <w:tcPr>
            <w:tcW w:w="2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0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评价结论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结合自评情况，说明项目自评总分，说明项目实施取得的成效或成果。（200字以内）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57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存在问题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结合自评情况，分析存在的问题及原因。（200字以内）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630" w:hRule="atLeast"/>
        </w:trPr>
        <w:tc>
          <w:tcPr>
            <w:tcW w:w="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宋体" w:hAnsi="宋体" w:eastAsia="宋体"/>
                <w:b w:val="0"/>
                <w:i w:val="0"/>
                <w:color w:val="000000"/>
                <w:sz w:val="18"/>
                <w:u w:val="none"/>
                <w:lang w:eastAsia="zh-CN"/>
              </w:rPr>
              <w:t>改进措施</w:t>
            </w:r>
          </w:p>
        </w:tc>
        <w:tc>
          <w:tcPr>
            <w:tcW w:w="10483" w:type="dxa"/>
            <w:gridSpan w:val="2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</w:pPr>
            <w:r>
              <w:rPr>
                <w:rFonts w:hint="default" w:ascii="微软雅黑" w:hAnsi="微软雅黑" w:eastAsia="微软雅黑"/>
                <w:b w:val="0"/>
                <w:i/>
                <w:color w:val="000000"/>
                <w:sz w:val="16"/>
                <w:u w:val="none"/>
                <w:lang w:eastAsia="zh-CN"/>
              </w:rPr>
              <w:t>针对项目自评中发现的问题，提出下一步改进完善的意见及有关政策性建议。（200字以内）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Before w:val="1"/>
          <w:wBefore w:w="400" w:type="dxa"/>
          <w:trHeight w:val="285" w:hRule="atLeast"/>
        </w:trPr>
        <w:tc>
          <w:tcPr>
            <w:tcW w:w="532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项目负责人：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王树龙</w:t>
            </w:r>
          </w:p>
        </w:tc>
        <w:tc>
          <w:tcPr>
            <w:tcW w:w="578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default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财务负责人：</w:t>
            </w:r>
            <w:r>
              <w:rPr>
                <w:rFonts w:hint="eastAsia" w:ascii="黑体" w:hAnsi="黑体" w:eastAsia="黑体"/>
                <w:b w:val="0"/>
                <w:i w:val="0"/>
                <w:color w:val="000000"/>
                <w:sz w:val="18"/>
                <w:u w:val="none"/>
                <w:lang w:eastAsia="zh-CN"/>
              </w:rPr>
              <w:t>周小平</w:t>
            </w:r>
          </w:p>
        </w:tc>
      </w:tr>
    </w:tbl>
    <w:p>
      <w:pPr>
        <w:spacing w:line="572" w:lineRule="exact"/>
        <w:jc w:val="left"/>
        <w:outlineLvl w:val="9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spacing w:before="93"/>
        <w:rPr>
          <w:rFonts w:hAnsi="Calibri" w:cs="仿宋"/>
          <w:sz w:val="32"/>
          <w:szCs w:val="32"/>
        </w:rPr>
      </w:pPr>
      <w:bookmarkStart w:id="9" w:name="_Toc15396618"/>
    </w:p>
    <w:p>
      <w:pPr>
        <w:pStyle w:val="6"/>
        <w:spacing w:before="93"/>
        <w:rPr>
          <w:rFonts w:hAnsi="Calibri" w:cs="仿宋"/>
          <w:sz w:val="32"/>
          <w:szCs w:val="32"/>
        </w:rPr>
      </w:pPr>
    </w:p>
    <w:bookmarkEnd w:id="8"/>
    <w:bookmarkEnd w:id="9"/>
    <w:p>
      <w:pPr>
        <w:spacing w:line="600" w:lineRule="exact"/>
        <w:jc w:val="both"/>
        <w:outlineLvl w:val="0"/>
        <w:rPr>
          <w:rFonts w:eastAsia="仿宋"/>
        </w:rPr>
      </w:pPr>
      <w:bookmarkStart w:id="10" w:name="_GoBack"/>
      <w:bookmarkEnd w:id="1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rPr>
        <w:sz w:val="18"/>
      </w:rPr>
      <w:pict>
        <v:shape id="_x0000_s4100" o:spid="_x0000_s410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1.25pt"/>
          <v:imagedata o:title=""/>
          <o:lock v:ext="edit" aspectratio="f"/>
          <v:textbox inset="0mm,0mm,0mm,0mm" style="mso-fit-shape-to-text:t;">
            <w:txbxContent>
              <w:p>
                <w:pPr>
                  <w:pStyle w:val="10"/>
                  <w:jc w:val="center"/>
                </w:pPr>
                <w:r>
                  <w:rPr>
                    <w:rFonts w:hint="eastAsia" w:ascii="黑体" w:hAnsi="黑体" w:eastAsia="黑体" w:cs="黑体"/>
                    <w:sz w:val="24"/>
                    <w:szCs w:val="24"/>
                  </w:rPr>
                  <w:fldChar w:fldCharType="begin"/>
                </w:r>
                <w:r>
                  <w:rPr>
                    <w:rFonts w:hint="eastAsia" w:ascii="黑体" w:hAnsi="黑体" w:eastAsia="黑体" w:cs="黑体"/>
                    <w:sz w:val="24"/>
                    <w:szCs w:val="24"/>
                  </w:rPr>
                  <w:instrText xml:space="preserve">PAGE   \* MERGEFORMAT</w:instrText>
                </w:r>
                <w:r>
                  <w:rPr>
                    <w:rFonts w:hint="eastAsia" w:ascii="黑体" w:hAnsi="黑体" w:eastAsia="黑体" w:cs="黑体"/>
                    <w:sz w:val="24"/>
                    <w:szCs w:val="24"/>
                  </w:rPr>
                  <w:fldChar w:fldCharType="separate"/>
                </w:r>
                <w:r>
                  <w:rPr>
                    <w:rFonts w:hint="eastAsia" w:ascii="黑体" w:hAnsi="黑体" w:eastAsia="黑体" w:cs="黑体"/>
                    <w:sz w:val="24"/>
                    <w:szCs w:val="24"/>
                    <w:lang w:val="zh-CN"/>
                  </w:rPr>
                  <w:t>15</w:t>
                </w:r>
                <w:r>
                  <w:rPr>
                    <w:rFonts w:hint="eastAsia" w:ascii="黑体" w:hAnsi="黑体" w:eastAsia="黑体" w:cs="黑体"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</w:p>
  <w:p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1.25pt"/>
          <v:imagedata o:title=""/>
          <o:lock v:ext="edit" aspectratio="f"/>
          <v:textbox inset="0mm,0mm,0mm,0mm" style="mso-fit-shape-to-text:t;">
            <w:txbxContent>
              <w:p>
                <w:pPr>
                  <w:pStyle w:val="10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- 1 -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8331EBF"/>
    <w:rsid w:val="1D542101"/>
    <w:rsid w:val="24E438B1"/>
    <w:rsid w:val="26C6060C"/>
    <w:rsid w:val="32457C4F"/>
    <w:rsid w:val="36E15086"/>
    <w:rsid w:val="3A49444B"/>
    <w:rsid w:val="3B2842AA"/>
    <w:rsid w:val="44F13884"/>
    <w:rsid w:val="4BBD20A6"/>
    <w:rsid w:val="529404E9"/>
    <w:rsid w:val="53271079"/>
    <w:rsid w:val="5D916F3A"/>
    <w:rsid w:val="631A32BD"/>
    <w:rsid w:val="67BA5AAD"/>
    <w:rsid w:val="77BC40F6"/>
    <w:rsid w:val="7F4447FF"/>
    <w:rsid w:val="EBBBC4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35" w:name="caption"/>
    <w:lsdException w:qFormat="1" w:unhideWhenUsed="0" w:uiPriority="99" w:semiHidden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4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黑体"/>
      <w:b/>
      <w:bCs/>
      <w:sz w:val="32"/>
      <w:szCs w:val="32"/>
    </w:rPr>
  </w:style>
  <w:style w:type="paragraph" w:styleId="5">
    <w:name w:val="heading 3"/>
    <w:basedOn w:val="1"/>
    <w:next w:val="1"/>
    <w:link w:val="36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99"/>
    <w:pPr>
      <w:ind w:left="200" w:leftChars="200" w:hanging="200" w:hangingChars="200"/>
    </w:pPr>
  </w:style>
  <w:style w:type="paragraph" w:styleId="6">
    <w:name w:val="Body Text"/>
    <w:basedOn w:val="1"/>
    <w:link w:val="32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7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8">
    <w:name w:val="toc 3"/>
    <w:basedOn w:val="1"/>
    <w:next w:val="1"/>
    <w:unhideWhenUsed/>
    <w:qFormat/>
    <w:uiPriority w:val="39"/>
    <w:pPr>
      <w:tabs>
        <w:tab w:val="right" w:leader="dot" w:pos="8296"/>
      </w:tabs>
      <w:ind w:left="840" w:leftChars="400"/>
    </w:pPr>
  </w:style>
  <w:style w:type="paragraph" w:styleId="9">
    <w:name w:val="Balloon Text"/>
    <w:basedOn w:val="1"/>
    <w:link w:val="35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11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right" w:leader="dot" w:pos="8296"/>
      </w:tabs>
      <w:spacing w:before="93"/>
      <w:jc w:val="center"/>
    </w:pPr>
    <w:rPr>
      <w:rFonts w:ascii="仿宋" w:hAnsi="仿宋" w:eastAsia="仿宋"/>
      <w:sz w:val="28"/>
      <w:szCs w:val="28"/>
    </w:rPr>
  </w:style>
  <w:style w:type="paragraph" w:styleId="13">
    <w:name w:val="toc 2"/>
    <w:basedOn w:val="1"/>
    <w:next w:val="1"/>
    <w:unhideWhenUsed/>
    <w:qFormat/>
    <w:uiPriority w:val="39"/>
    <w:pPr>
      <w:tabs>
        <w:tab w:val="right" w:leader="dot" w:pos="8296"/>
      </w:tabs>
      <w:ind w:left="420" w:leftChars="200"/>
    </w:p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Body Text First Indent 2"/>
    <w:basedOn w:val="7"/>
    <w:unhideWhenUsed/>
    <w:qFormat/>
    <w:uiPriority w:val="99"/>
    <w:pPr>
      <w:ind w:firstLine="420" w:firstLineChars="200"/>
    </w:pPr>
  </w:style>
  <w:style w:type="character" w:styleId="18">
    <w:name w:val="Strong"/>
    <w:basedOn w:val="17"/>
    <w:qFormat/>
    <w:uiPriority w:val="99"/>
    <w:rPr>
      <w:b/>
    </w:rPr>
  </w:style>
  <w:style w:type="character" w:styleId="19">
    <w:name w:val="Hyperlink"/>
    <w:basedOn w:val="17"/>
    <w:unhideWhenUsed/>
    <w:qFormat/>
    <w:uiPriority w:val="99"/>
    <w:rPr>
      <w:color w:val="0000FF"/>
      <w:u w:val="single"/>
    </w:rPr>
  </w:style>
  <w:style w:type="paragraph" w:customStyle="1" w:styleId="2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21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customStyle="1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TOC 标题1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黑体"/>
      <w:color w:val="365F90"/>
      <w:kern w:val="0"/>
      <w:sz w:val="28"/>
      <w:szCs w:val="28"/>
    </w:rPr>
  </w:style>
  <w:style w:type="paragraph" w:customStyle="1" w:styleId="24">
    <w:name w:val="TOC 标题2"/>
    <w:basedOn w:val="3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黑体"/>
      <w:color w:val="365F90"/>
      <w:kern w:val="0"/>
      <w:sz w:val="28"/>
      <w:szCs w:val="28"/>
    </w:rPr>
  </w:style>
  <w:style w:type="paragraph" w:customStyle="1" w:styleId="25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paragraph" w:customStyle="1" w:styleId="26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27">
    <w:name w:val="Header Char"/>
    <w:basedOn w:val="17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28">
    <w:name w:val="页眉 字符"/>
    <w:link w:val="11"/>
    <w:qFormat/>
    <w:uiPriority w:val="99"/>
    <w:rPr>
      <w:sz w:val="18"/>
    </w:rPr>
  </w:style>
  <w:style w:type="character" w:customStyle="1" w:styleId="29">
    <w:name w:val="Footer Char"/>
    <w:basedOn w:val="17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30">
    <w:name w:val="页脚 字符"/>
    <w:link w:val="10"/>
    <w:qFormat/>
    <w:uiPriority w:val="99"/>
    <w:rPr>
      <w:sz w:val="18"/>
    </w:rPr>
  </w:style>
  <w:style w:type="character" w:customStyle="1" w:styleId="31">
    <w:name w:val="Body Text Char"/>
    <w:basedOn w:val="17"/>
    <w:semiHidden/>
    <w:qFormat/>
    <w:uiPriority w:val="99"/>
    <w:rPr>
      <w:rFonts w:ascii="Times New Roman" w:hAnsi="Times New Roman"/>
      <w:szCs w:val="24"/>
    </w:rPr>
  </w:style>
  <w:style w:type="character" w:customStyle="1" w:styleId="32">
    <w:name w:val="正文文本 字符"/>
    <w:link w:val="6"/>
    <w:qFormat/>
    <w:uiPriority w:val="99"/>
    <w:rPr>
      <w:rFonts w:ascii="仿宋_GB2312" w:hAnsi="Times New Roman" w:eastAsia="仿宋_GB2312"/>
      <w:sz w:val="24"/>
    </w:rPr>
  </w:style>
  <w:style w:type="character" w:customStyle="1" w:styleId="33">
    <w:name w:val="标题 1 字符"/>
    <w:basedOn w:val="17"/>
    <w:link w:val="3"/>
    <w:qFormat/>
    <w:uiPriority w:val="9"/>
    <w:rPr>
      <w:rFonts w:ascii="Times New Roman" w:hAnsi="Times New Roman"/>
      <w:b/>
      <w:bCs/>
      <w:kern w:val="44"/>
      <w:sz w:val="44"/>
      <w:szCs w:val="44"/>
    </w:rPr>
  </w:style>
  <w:style w:type="character" w:customStyle="1" w:styleId="34">
    <w:name w:val="标题 2 字符"/>
    <w:basedOn w:val="17"/>
    <w:link w:val="4"/>
    <w:qFormat/>
    <w:uiPriority w:val="9"/>
    <w:rPr>
      <w:rFonts w:ascii="Cambria" w:hAnsi="Cambria" w:eastAsia="宋体" w:cs="黑体"/>
      <w:b/>
      <w:bCs/>
      <w:kern w:val="2"/>
      <w:sz w:val="32"/>
      <w:szCs w:val="32"/>
    </w:rPr>
  </w:style>
  <w:style w:type="character" w:customStyle="1" w:styleId="35">
    <w:name w:val="批注框文本 字符"/>
    <w:basedOn w:val="17"/>
    <w:link w:val="9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36">
    <w:name w:val="标题 3 字符"/>
    <w:basedOn w:val="17"/>
    <w:link w:val="5"/>
    <w:qFormat/>
    <w:uiPriority w:val="9"/>
    <w:rPr>
      <w:rFonts w:ascii="Times New Roman" w:hAnsi="Times New Roman"/>
      <w:b/>
      <w:bCs/>
      <w:kern w:val="2"/>
      <w:sz w:val="32"/>
      <w:szCs w:val="32"/>
    </w:rPr>
  </w:style>
  <w:style w:type="character" w:customStyle="1" w:styleId="37">
    <w:name w:val="标题 2 Char Char"/>
    <w:basedOn w:val="17"/>
    <w:link w:val="4"/>
    <w:qFormat/>
    <w:uiPriority w:val="9"/>
    <w:rPr>
      <w:rFonts w:ascii="Cambria" w:hAnsi="Cambria" w:eastAsia="宋体" w:cs="黑体"/>
      <w:b/>
      <w:bCs/>
      <w:kern w:val="2"/>
      <w:sz w:val="32"/>
      <w:szCs w:val="32"/>
    </w:rPr>
  </w:style>
  <w:style w:type="paragraph" w:customStyle="1" w:styleId="38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39">
    <w:name w:val="heading 1 Char"/>
    <w:basedOn w:val="17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40">
    <w:name w:val="heading 2 Char"/>
    <w:basedOn w:val="17"/>
    <w:link w:val="4"/>
    <w:qFormat/>
    <w:uiPriority w:val="0"/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41">
    <w:name w:val="Table Text"/>
    <w:basedOn w:val="1"/>
    <w:qFormat/>
    <w:uiPriority w:val="0"/>
    <w:rPr>
      <w:rFonts w:ascii="FangSong_GB2312" w:hAnsi="FangSong_GB2312" w:eastAsia="FangSong_GB2312" w:cs="FangSong_GB2312"/>
      <w:sz w:val="31"/>
      <w:szCs w:val="31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100" textRotate="1"/>
    <customShpInfo spid="_x0000_s409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四川省财政厅</Company>
  <Pages>16</Pages>
  <Words>5919</Words>
  <Characters>7087</Characters>
  <Lines>54</Lines>
  <Paragraphs>15</Paragraphs>
  <TotalTime>3</TotalTime>
  <ScaleCrop>false</ScaleCrop>
  <LinksUpToDate>false</LinksUpToDate>
  <CharactersWithSpaces>7099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2020-08-08T09:49:00Z</dcterms:created>
  <dc:creator>曹颖</dc:creator>
  <cp:lastModifiedBy>user</cp:lastModifiedBy>
  <cp:lastPrinted>2023-08-03T10:35:00Z</cp:lastPrinted>
  <dcterms:modified xsi:type="dcterms:W3CDTF">2026-09-18T10:43:38Z</dcterms:modified>
  <dc:title>四川省***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E82B2C61A57B4D7C9503C10EC364998F_12</vt:lpwstr>
  </property>
  <property fmtid="{D5CDD505-2E9C-101B-9397-08002B2CF9AE}" pid="4" name="KSOTemplateDocerSaveRecord">
    <vt:lpwstr>eyJoZGlkIjoiMzZmMTI3NmMwZWUyNDFkM2I0MTk3NWYyMjEzNTY4OWUiLCJ1c2VySWQiOiI5OTQ1MTc1MDAifQ==</vt:lpwstr>
  </property>
</Properties>
</file>