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AC" w:rsidRDefault="003210AC">
      <w:pPr>
        <w:spacing w:line="600" w:lineRule="exact"/>
        <w:jc w:val="center"/>
        <w:outlineLvl w:val="0"/>
        <w:rPr>
          <w:rFonts w:ascii="仿宋_GB2312" w:eastAsia="仿宋_GB2312" w:hAnsi="黑体" w:cs="方正小标宋简体"/>
          <w:b/>
          <w:sz w:val="36"/>
          <w:szCs w:val="36"/>
        </w:rPr>
      </w:pPr>
      <w:bookmarkStart w:id="0" w:name="_Toc15396616"/>
    </w:p>
    <w:p w:rsidR="003210AC" w:rsidRDefault="003349E5">
      <w:pPr>
        <w:spacing w:line="600" w:lineRule="exact"/>
        <w:jc w:val="center"/>
        <w:outlineLvl w:val="0"/>
        <w:rPr>
          <w:rFonts w:ascii="仿宋_GB2312" w:eastAsia="仿宋_GB2312" w:hAnsi="黑体" w:cs="方正小标宋简体"/>
          <w:b/>
          <w:sz w:val="36"/>
          <w:szCs w:val="36"/>
        </w:rPr>
      </w:pPr>
      <w:r>
        <w:rPr>
          <w:rFonts w:ascii="仿宋_GB2312" w:eastAsia="仿宋_GB2312" w:hAnsi="黑体" w:cs="方正小标宋简体" w:hint="eastAsia"/>
          <w:b/>
          <w:sz w:val="36"/>
          <w:szCs w:val="36"/>
        </w:rPr>
        <w:t>黑水县发展和改革局</w:t>
      </w:r>
    </w:p>
    <w:p w:rsidR="003210AC" w:rsidRDefault="003349E5">
      <w:pPr>
        <w:spacing w:line="600" w:lineRule="exact"/>
        <w:jc w:val="center"/>
        <w:outlineLvl w:val="0"/>
        <w:rPr>
          <w:rFonts w:ascii="仿宋_GB2312" w:eastAsia="仿宋_GB2312" w:hAnsi="黑体" w:cs="方正小标宋简体"/>
          <w:b/>
          <w:sz w:val="36"/>
          <w:szCs w:val="36"/>
        </w:rPr>
      </w:pPr>
      <w:r>
        <w:rPr>
          <w:rFonts w:ascii="仿宋_GB2312" w:eastAsia="仿宋_GB2312" w:hAnsi="黑体" w:cs="方正小标宋简体" w:hint="eastAsia"/>
          <w:b/>
          <w:sz w:val="36"/>
          <w:szCs w:val="36"/>
        </w:rPr>
        <w:t>2018</w:t>
      </w:r>
      <w:r>
        <w:rPr>
          <w:rFonts w:ascii="仿宋_GB2312" w:eastAsia="仿宋_GB2312" w:hAnsi="黑体" w:cs="方正小标宋简体" w:hint="eastAsia"/>
          <w:b/>
          <w:sz w:val="36"/>
          <w:szCs w:val="36"/>
        </w:rPr>
        <w:t>年部门整体支出绩效评价报告</w:t>
      </w:r>
      <w:bookmarkEnd w:id="0"/>
    </w:p>
    <w:p w:rsidR="003210AC" w:rsidRDefault="003210AC" w:rsidP="003349E5">
      <w:pPr>
        <w:spacing w:line="580" w:lineRule="exact"/>
        <w:ind w:firstLineChars="200" w:firstLine="640"/>
        <w:rPr>
          <w:rFonts w:ascii="仿宋_GB2312" w:eastAsia="仿宋_GB2312" w:hAnsi="黑体" w:cs="黑体"/>
          <w:b/>
          <w:sz w:val="32"/>
          <w:szCs w:val="32"/>
        </w:rPr>
      </w:pPr>
    </w:p>
    <w:p w:rsidR="003210AC" w:rsidRDefault="003349E5">
      <w:pPr>
        <w:ind w:firstLineChars="200" w:firstLine="600"/>
        <w:rPr>
          <w:rFonts w:ascii="黑体" w:eastAsia="黑体" w:hAnsi="黑体" w:cs="黑体"/>
          <w:sz w:val="30"/>
          <w:szCs w:val="30"/>
        </w:rPr>
      </w:pPr>
      <w:r>
        <w:rPr>
          <w:rFonts w:ascii="黑体" w:eastAsia="黑体" w:hAnsi="黑体" w:cs="黑体" w:hint="eastAsia"/>
          <w:sz w:val="30"/>
          <w:szCs w:val="30"/>
        </w:rPr>
        <w:t>一、单位概况</w:t>
      </w:r>
    </w:p>
    <w:p w:rsidR="003210AC" w:rsidRDefault="003349E5">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w:t>
      </w:r>
    </w:p>
    <w:p w:rsidR="003210AC" w:rsidRDefault="003349E5">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黑水县发展改革和经济商务信息化局属行政单位，二级预算单位</w:t>
      </w:r>
      <w:r>
        <w:rPr>
          <w:rFonts w:ascii="仿宋_GB2312" w:eastAsia="仿宋_GB2312" w:hAnsi="黑体" w:cs="黑体" w:hint="eastAsia"/>
          <w:sz w:val="32"/>
          <w:szCs w:val="32"/>
        </w:rPr>
        <w:t>为：黑水县物价局价格认证中心</w:t>
      </w:r>
      <w:r>
        <w:rPr>
          <w:rFonts w:ascii="仿宋_GB2312" w:eastAsia="仿宋_GB2312" w:hAnsi="黑体" w:cs="黑体" w:hint="eastAsia"/>
          <w:sz w:val="32"/>
          <w:szCs w:val="32"/>
        </w:rPr>
        <w:t>。</w:t>
      </w:r>
      <w:r>
        <w:rPr>
          <w:rFonts w:ascii="仿宋_GB2312" w:eastAsia="仿宋_GB2312" w:hAnsi="黑体" w:cs="黑体" w:hint="eastAsia"/>
          <w:sz w:val="32"/>
          <w:szCs w:val="32"/>
        </w:rPr>
        <w:t> </w:t>
      </w:r>
    </w:p>
    <w:p w:rsidR="003210AC" w:rsidRDefault="003349E5">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黑水县发展改革和经济商务信息化局有</w:t>
      </w:r>
      <w:r>
        <w:rPr>
          <w:rFonts w:ascii="仿宋_GB2312" w:eastAsia="仿宋_GB2312" w:hAnsi="黑体" w:cs="黑体" w:hint="eastAsia"/>
          <w:sz w:val="32"/>
          <w:szCs w:val="32"/>
        </w:rPr>
        <w:t>8</w:t>
      </w:r>
      <w:r>
        <w:rPr>
          <w:rFonts w:ascii="仿宋_GB2312" w:eastAsia="仿宋_GB2312" w:hAnsi="黑体" w:cs="黑体" w:hint="eastAsia"/>
          <w:sz w:val="32"/>
          <w:szCs w:val="32"/>
        </w:rPr>
        <w:t>个内设机构：办公室、国民经济综合股、行政审批股、项目投资管理股、以工代赈综合股、经济和信息化股、商务股、物价股</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w:t>
      </w:r>
    </w:p>
    <w:p w:rsidR="003210AC" w:rsidRDefault="003349E5">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机构职能。</w:t>
      </w:r>
    </w:p>
    <w:p w:rsidR="003210AC" w:rsidRDefault="003349E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本单位是财政全额拨款的政府组成部门。根据州委、州政府关于</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年全州工作的总体部署，</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年主要工作是</w:t>
      </w:r>
      <w:r>
        <w:rPr>
          <w:rFonts w:ascii="仿宋_GB2312" w:eastAsia="仿宋_GB2312" w:hint="eastAsia"/>
          <w:sz w:val="32"/>
          <w:szCs w:val="32"/>
        </w:rPr>
        <w:t xml:space="preserve">: </w:t>
      </w:r>
    </w:p>
    <w:p w:rsidR="003210AC" w:rsidRDefault="003349E5">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1.</w:t>
      </w:r>
      <w:r>
        <w:rPr>
          <w:rFonts w:ascii="仿宋_GB2312" w:eastAsia="仿宋_GB2312" w:hint="eastAsia"/>
          <w:sz w:val="32"/>
          <w:szCs w:val="32"/>
        </w:rPr>
        <w:t>负责机关日常政务的综合协调，责机关文秘、信息、档案、机要、保密、安全、信访、综治、维稳及值班等工作；参与提案、议案和领导安排重要事项的督查督办；负责机关接待、公务车管理等事务性工作；负责机关人事、工资、财务、培训、离退休人员管理等工作；负责处理局党组、纪检日常事务和党群工作；负责机关人事档案管理工作；保证机关有效运转。</w:t>
      </w:r>
    </w:p>
    <w:p w:rsidR="003210AC" w:rsidRDefault="003349E5">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研究提出经济体制改革重大问题，组织拟订综合性经济体制改革方案；组织拟订经济社会发展中长期规划、主体</w:t>
      </w:r>
      <w:r>
        <w:rPr>
          <w:rFonts w:ascii="仿宋_GB2312" w:eastAsia="仿宋_GB2312" w:hint="eastAsia"/>
          <w:sz w:val="32"/>
          <w:szCs w:val="32"/>
        </w:rPr>
        <w:lastRenderedPageBreak/>
        <w:t>功能区规划；综合分析研究经济形势，进行经济和社会发展的预测预警；组织编制经济社会发展年度</w:t>
      </w:r>
      <w:r>
        <w:rPr>
          <w:rFonts w:ascii="仿宋_GB2312" w:eastAsia="仿宋_GB2312" w:hint="eastAsia"/>
          <w:sz w:val="32"/>
          <w:szCs w:val="32"/>
        </w:rPr>
        <w:t>计划，研究提出经济和社会发展年度主要目标；草拟全县国民经济及社会事业发展执行情况的报告；</w:t>
      </w:r>
      <w:r>
        <w:rPr>
          <w:rFonts w:ascii="仿宋_GB2312" w:eastAsia="仿宋_GB2312" w:hint="eastAsia"/>
          <w:sz w:val="32"/>
        </w:rPr>
        <w:t>研究拟订全县人口发展战略规划及人口政策；</w:t>
      </w:r>
      <w:r>
        <w:rPr>
          <w:rFonts w:ascii="仿宋_GB2312" w:eastAsia="仿宋_GB2312" w:hint="eastAsia"/>
          <w:sz w:val="32"/>
          <w:szCs w:val="32"/>
        </w:rPr>
        <w:t>协调地区经济发展与可持续发展战略的重大问题。</w:t>
      </w:r>
    </w:p>
    <w:p w:rsidR="003210AC" w:rsidRDefault="003349E5">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负责本系统、本部门的行政许可工作；负责拟订行政许可事项审查（审核）的政策、规定、标准、规程细则、办事指南；负责机关行政许可职责；</w:t>
      </w:r>
      <w:r>
        <w:rPr>
          <w:rFonts w:ascii="仿宋_GB2312" w:eastAsia="仿宋_GB2312" w:hint="eastAsia"/>
          <w:sz w:val="32"/>
        </w:rPr>
        <w:t>按规定权限审批、核准、备案或转报固定资产投资项目、企业技术改造项目和资源开发利用、外资、境外投资项目</w:t>
      </w:r>
      <w:r>
        <w:rPr>
          <w:rFonts w:ascii="仿宋_GB2312" w:eastAsia="仿宋_GB2312" w:hint="eastAsia"/>
          <w:sz w:val="32"/>
          <w:szCs w:val="32"/>
        </w:rPr>
        <w:t>；组织实施固定资产投资项目和企业技术改造项目节能评估和审查工作；承担本系统、本部门依法行政工作；承担行政执</w:t>
      </w:r>
      <w:r>
        <w:rPr>
          <w:rFonts w:ascii="仿宋_GB2312" w:eastAsia="仿宋_GB2312" w:hint="eastAsia"/>
          <w:sz w:val="32"/>
          <w:szCs w:val="32"/>
        </w:rPr>
        <w:t>法监督、行政复议、行政应诉、行政调解和规范性文件审核和备案工作。</w:t>
      </w:r>
    </w:p>
    <w:p w:rsidR="003210AC" w:rsidRDefault="003349E5">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监测分析全县固定资产投资状况，提出全县固定资产投资调控措施、中长期规划和年度计划；编制基础设施发展建设规划并负责审核、转报使用国家、省财政性资金项目投资计划；负责编制重大项目规划、年度计划，管理项目储备；监督检查重大项目计划执行情况，协调重大项目推进、要素支持和资源配置中的相关事宜；编制藏区经济和社会发展的中长期规划和年度计划。</w:t>
      </w:r>
    </w:p>
    <w:p w:rsidR="003210AC" w:rsidRDefault="003349E5">
      <w:pPr>
        <w:spacing w:line="560" w:lineRule="exact"/>
        <w:ind w:firstLineChars="200" w:firstLine="640"/>
        <w:rPr>
          <w:rFonts w:ascii="仿宋_GB2312" w:eastAsia="仿宋_GB2312"/>
          <w:sz w:val="32"/>
          <w:szCs w:val="32"/>
        </w:rPr>
      </w:pPr>
      <w:r>
        <w:rPr>
          <w:rFonts w:ascii="仿宋_GB2312" w:eastAsia="仿宋_GB2312" w:hint="eastAsia"/>
          <w:sz w:val="32"/>
          <w:szCs w:val="32"/>
        </w:rPr>
        <w:t>负责指导和协调招标投标工作，综合管理招标投标（比选）活动；负责建设项目招标文件的审查和备案，监督招标投标活动，</w:t>
      </w:r>
      <w:r>
        <w:rPr>
          <w:rFonts w:ascii="仿宋_GB2312" w:eastAsia="仿宋_GB2312" w:hint="eastAsia"/>
          <w:sz w:val="32"/>
          <w:szCs w:val="32"/>
        </w:rPr>
        <w:t>受理相关投诉，调查违规行为；负责对政府资金项目的审批程序、建设资金使用、工程招标投标、开工建设</w:t>
      </w:r>
      <w:r>
        <w:rPr>
          <w:rFonts w:ascii="仿宋_GB2312" w:eastAsia="仿宋_GB2312" w:hint="eastAsia"/>
          <w:sz w:val="32"/>
          <w:szCs w:val="32"/>
        </w:rPr>
        <w:lastRenderedPageBreak/>
        <w:t>条件、建设进度、工程质量、投资概算控制以及工程竣工验收等建设活动进行全过程的稽察和监督检查。</w:t>
      </w:r>
    </w:p>
    <w:p w:rsidR="003210AC" w:rsidRDefault="003349E5">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根据国家和省、州以工代赈方针、政策，编制以工代赈、易地搬迁规划，审核、转报和下达以工代赈、易地搬迁计划，负责以工代赈、易地搬迁项目检查监督、验收和总结等工作；会同县级相关部门研究提出全县农业和农村经济发展战略、体制改革及有关政策建议，协调农业和农村经济社会发展的重大问题；组织编制农业、林业、水利、畜牧、农机和气象及有关</w:t>
      </w:r>
      <w:r>
        <w:rPr>
          <w:rFonts w:ascii="仿宋_GB2312" w:eastAsia="仿宋_GB2312" w:hint="eastAsia"/>
          <w:sz w:val="32"/>
          <w:szCs w:val="32"/>
        </w:rPr>
        <w:t>农村基础设施投资计划并审核、转报使用财政性资金重大项目；协调组织相关部门实施生态建设重大项目；承担浙江省对口支援帮扶相关工作。</w:t>
      </w:r>
    </w:p>
    <w:p w:rsidR="003210AC" w:rsidRDefault="003349E5">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企业技术改造投资管理，组织企业技术改造推进工作，制订并组织实施企业技术改造投资规划、年度计划；组织企业技术改造项目申报国家有关专项计划并监督实施；指导和督促检查工业企业安全生产工作；负责全县民爆物品销售环节的安全监督管理；参与对全县非公有制企业的指导、协调和服务工作。牵头拟订战略性新兴产业发展的产业规划、技术规划、产品规划和政策措施并组织实施；负责工业企业节能降耗、循环经济</w:t>
      </w:r>
      <w:r>
        <w:rPr>
          <w:rFonts w:ascii="仿宋_GB2312" w:eastAsia="仿宋_GB2312" w:hint="eastAsia"/>
          <w:sz w:val="32"/>
          <w:szCs w:val="32"/>
        </w:rPr>
        <w:t>发展、资源综合利用、清洁生产、水资源节约与污染治理、应对气候变化及低碳经济发展工作；负责电力运行调度管理；负责电力资源配置、留县电量和直购电协调工作；负责拟订并组织实施产业园区、产业集群发展规划和政策措施，协调解决有关问题。</w:t>
      </w:r>
    </w:p>
    <w:p w:rsidR="003210AC" w:rsidRDefault="003349E5">
      <w:pPr>
        <w:spacing w:line="560" w:lineRule="exact"/>
        <w:ind w:firstLineChars="200" w:firstLine="640"/>
        <w:rPr>
          <w:rFonts w:ascii="仿宋_GB2312" w:eastAsia="仿宋_GB2312"/>
          <w:sz w:val="32"/>
          <w:szCs w:val="32"/>
        </w:rPr>
      </w:pPr>
      <w:r>
        <w:rPr>
          <w:rFonts w:ascii="仿宋_GB2312" w:eastAsia="仿宋_GB2312" w:hint="eastAsia"/>
          <w:sz w:val="32"/>
          <w:szCs w:val="32"/>
        </w:rPr>
        <w:t>统筹推进信息化工作，负责全县信息基础设施建设的协</w:t>
      </w:r>
      <w:r>
        <w:rPr>
          <w:rFonts w:ascii="仿宋_GB2312" w:eastAsia="仿宋_GB2312" w:hint="eastAsia"/>
          <w:sz w:val="32"/>
          <w:szCs w:val="32"/>
        </w:rPr>
        <w:lastRenderedPageBreak/>
        <w:t>调和管理；负责全县无线电管理，组织实施无线电管制；负责组织重要时期、重点区域、重大活动的无线电安全保障。</w:t>
      </w:r>
    </w:p>
    <w:p w:rsidR="003210AC" w:rsidRDefault="003349E5">
      <w:pPr>
        <w:spacing w:line="360" w:lineRule="auto"/>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负责实施全县盐业行业管理工作，承担食盐专营管理工作，组织编制盐业发展规划，制定、组织实施产业政策。</w:t>
      </w:r>
    </w:p>
    <w:p w:rsidR="003210AC" w:rsidRDefault="003349E5">
      <w:pPr>
        <w:spacing w:line="360" w:lineRule="auto"/>
        <w:ind w:firstLineChars="100" w:firstLine="32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7.</w:t>
      </w:r>
      <w:r>
        <w:rPr>
          <w:rFonts w:ascii="仿宋_GB2312" w:eastAsia="仿宋_GB2312" w:hint="eastAsia"/>
          <w:sz w:val="32"/>
        </w:rPr>
        <w:t>承担服务业发展工作中组织实施的协调工作，拟订商贸服务业发展战略、行业规划和政策措施；负责研究全县商贸流通业发展、现代市场体系和现代流通方式的发展趋势；承担建立健全生活必需品市场供应应急管理机制、重要消费品储备管理和市场调控的有关工作；牵头协调整顿和规范市场经济秩序相关工作；负责全县招商项目策划、项目收集、项目分析、项目包装、项目发布、项目签约和重大项目的跟踪促进；参与投资促进项目的对接、洽谈和跟踪服务工作</w:t>
      </w:r>
      <w:r>
        <w:rPr>
          <w:rFonts w:ascii="仿宋_GB2312" w:eastAsia="仿宋_GB2312" w:hint="eastAsia"/>
          <w:sz w:val="32"/>
          <w:szCs w:val="32"/>
        </w:rPr>
        <w:t>。</w:t>
      </w:r>
    </w:p>
    <w:p w:rsidR="003210AC" w:rsidRDefault="003349E5">
      <w:pPr>
        <w:spacing w:line="560" w:lineRule="exact"/>
        <w:ind w:firstLine="640"/>
        <w:rPr>
          <w:rFonts w:ascii="仿宋_GB2312" w:eastAsia="仿宋_GB2312" w:hAnsi="ˎ̥" w:cs="Arial"/>
          <w:sz w:val="32"/>
          <w:szCs w:val="32"/>
        </w:rPr>
      </w:pPr>
      <w:r>
        <w:rPr>
          <w:rFonts w:ascii="仿宋_GB2312" w:eastAsia="仿宋_GB2312" w:hint="eastAsia"/>
          <w:sz w:val="32"/>
          <w:szCs w:val="32"/>
        </w:rPr>
        <w:t>8.</w:t>
      </w:r>
      <w:r>
        <w:rPr>
          <w:rFonts w:ascii="仿宋_GB2312" w:eastAsia="仿宋_GB2312" w:hAnsi="ˎ̥" w:cs="Arial" w:hint="eastAsia"/>
          <w:sz w:val="32"/>
          <w:szCs w:val="32"/>
        </w:rPr>
        <w:t>负责制定、调整管理权限范围内的价格，监督有关价格政策和政府定价、政府指导价的执行；负责全县主要工</w:t>
      </w:r>
      <w:r>
        <w:rPr>
          <w:rFonts w:ascii="仿宋_GB2312" w:eastAsia="仿宋_GB2312" w:hAnsi="ˎ̥" w:cs="Arial" w:hint="eastAsia"/>
          <w:sz w:val="32"/>
          <w:szCs w:val="32"/>
        </w:rPr>
        <w:t>业品、农副产品、能源产品、交通运输的成本调查分析工作，指导、协调已放开工业品价格；负责省州出台的行政事业性收费、公益服务收费、公用事业收费、中介服务收费和经营性收费政策在县内的政策实施；负责制定和调整管理权限内的收费项目和标准；依法清理和取缔不合理收费；协调处理部门和地区间的收费争议，协助有关部门开展减轻企业和农民负担工作。</w:t>
      </w:r>
    </w:p>
    <w:p w:rsidR="003210AC" w:rsidRDefault="003349E5">
      <w:pPr>
        <w:spacing w:line="560" w:lineRule="exact"/>
        <w:ind w:firstLine="640"/>
        <w:rPr>
          <w:rFonts w:ascii="仿宋_GB2312" w:eastAsia="仿宋_GB2312"/>
          <w:sz w:val="32"/>
          <w:szCs w:val="32"/>
        </w:rPr>
      </w:pPr>
      <w:r>
        <w:rPr>
          <w:rFonts w:ascii="仿宋_GB2312" w:eastAsia="仿宋_GB2312" w:hAnsi="ˎ̥" w:cs="Arial" w:hint="eastAsia"/>
          <w:sz w:val="32"/>
          <w:szCs w:val="32"/>
        </w:rPr>
        <w:t>监督检查县级和乡镇有关部门、收费单位、经营者的价格和收费活动，接受上级物价部门委托，检查县级以上管辖</w:t>
      </w:r>
      <w:r>
        <w:rPr>
          <w:rFonts w:ascii="仿宋_GB2312" w:eastAsia="仿宋_GB2312" w:hAnsi="ˎ̥" w:cs="Arial" w:hint="eastAsia"/>
          <w:sz w:val="32"/>
          <w:szCs w:val="32"/>
        </w:rPr>
        <w:lastRenderedPageBreak/>
        <w:t>的收费单位、经营者的价格和收费活动，处理价格违法行为；受理违反价格和收费法规、政策的</w:t>
      </w:r>
      <w:r>
        <w:rPr>
          <w:rFonts w:ascii="仿宋_GB2312" w:eastAsia="仿宋_GB2312" w:hAnsi="ˎ̥" w:cs="Arial" w:hint="eastAsia"/>
          <w:sz w:val="32"/>
          <w:szCs w:val="32"/>
        </w:rPr>
        <w:t>举报事宜。</w:t>
      </w:r>
    </w:p>
    <w:p w:rsidR="003210AC" w:rsidRDefault="003349E5">
      <w:pPr>
        <w:pStyle w:val="a4"/>
        <w:adjustRightInd w:val="0"/>
        <w:snapToGrid w:val="0"/>
        <w:spacing w:before="93" w:line="600" w:lineRule="exact"/>
        <w:ind w:firstLineChars="210" w:firstLine="672"/>
        <w:outlineLvl w:val="2"/>
        <w:rPr>
          <w:rFonts w:hAnsi="仿宋"/>
          <w:bCs/>
          <w:color w:val="000000"/>
          <w:sz w:val="32"/>
          <w:szCs w:val="32"/>
        </w:rPr>
      </w:pPr>
      <w:r>
        <w:rPr>
          <w:rFonts w:hint="eastAsia"/>
          <w:sz w:val="32"/>
          <w:szCs w:val="32"/>
        </w:rPr>
        <w:t>9.</w:t>
      </w:r>
      <w:r>
        <w:rPr>
          <w:rFonts w:hint="eastAsia"/>
          <w:sz w:val="32"/>
          <w:szCs w:val="32"/>
        </w:rPr>
        <w:t>承办县委、县政府和州发改委交办的其他事项。</w:t>
      </w:r>
    </w:p>
    <w:p w:rsidR="003210AC" w:rsidRDefault="003349E5">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kern w:val="0"/>
          <w:sz w:val="32"/>
          <w:szCs w:val="32"/>
        </w:rPr>
      </w:pPr>
      <w:r>
        <w:rPr>
          <w:rFonts w:ascii="仿宋_GB2312" w:eastAsia="仿宋_GB2312" w:hint="eastAsia"/>
          <w:kern w:val="0"/>
          <w:sz w:val="32"/>
          <w:szCs w:val="32"/>
        </w:rPr>
        <w:t>黑水县发展改革和经济商务信息化局单位总编制</w:t>
      </w:r>
      <w:r>
        <w:rPr>
          <w:rFonts w:ascii="仿宋_GB2312" w:eastAsia="仿宋_GB2312" w:hint="eastAsia"/>
          <w:kern w:val="0"/>
          <w:sz w:val="32"/>
          <w:szCs w:val="32"/>
        </w:rPr>
        <w:t>27</w:t>
      </w:r>
      <w:r>
        <w:rPr>
          <w:rFonts w:ascii="仿宋_GB2312" w:eastAsia="仿宋_GB2312" w:hint="eastAsia"/>
          <w:kern w:val="0"/>
          <w:sz w:val="32"/>
          <w:szCs w:val="32"/>
        </w:rPr>
        <w:t>名，其中：行政编</w:t>
      </w:r>
      <w:r>
        <w:rPr>
          <w:rFonts w:ascii="仿宋_GB2312" w:eastAsia="仿宋_GB2312" w:hint="eastAsia"/>
          <w:kern w:val="0"/>
          <w:sz w:val="32"/>
          <w:szCs w:val="32"/>
        </w:rPr>
        <w:t>10</w:t>
      </w:r>
      <w:r>
        <w:rPr>
          <w:rFonts w:ascii="仿宋_GB2312" w:eastAsia="仿宋_GB2312" w:hint="eastAsia"/>
          <w:kern w:val="0"/>
          <w:sz w:val="32"/>
          <w:szCs w:val="32"/>
        </w:rPr>
        <w:t>名，工勤</w:t>
      </w:r>
      <w:r>
        <w:rPr>
          <w:rFonts w:ascii="仿宋_GB2312" w:eastAsia="仿宋_GB2312" w:hint="eastAsia"/>
          <w:kern w:val="0"/>
          <w:sz w:val="32"/>
          <w:szCs w:val="32"/>
        </w:rPr>
        <w:t>4</w:t>
      </w:r>
      <w:r>
        <w:rPr>
          <w:rFonts w:ascii="仿宋_GB2312" w:eastAsia="仿宋_GB2312" w:hint="eastAsia"/>
          <w:kern w:val="0"/>
          <w:sz w:val="32"/>
          <w:szCs w:val="32"/>
        </w:rPr>
        <w:t>名</w:t>
      </w:r>
      <w:r>
        <w:rPr>
          <w:rFonts w:ascii="仿宋_GB2312" w:eastAsia="仿宋_GB2312" w:hint="eastAsia"/>
          <w:kern w:val="0"/>
          <w:sz w:val="32"/>
          <w:szCs w:val="32"/>
        </w:rPr>
        <w:t>,</w:t>
      </w:r>
      <w:r>
        <w:rPr>
          <w:rFonts w:ascii="仿宋_GB2312" w:eastAsia="仿宋_GB2312" w:hint="eastAsia"/>
          <w:kern w:val="0"/>
          <w:sz w:val="32"/>
          <w:szCs w:val="32"/>
        </w:rPr>
        <w:t>参照公务员法管理人员</w:t>
      </w:r>
      <w:r>
        <w:rPr>
          <w:rFonts w:ascii="仿宋_GB2312" w:eastAsia="仿宋_GB2312" w:hint="eastAsia"/>
          <w:kern w:val="0"/>
          <w:sz w:val="32"/>
          <w:szCs w:val="32"/>
        </w:rPr>
        <w:t>5</w:t>
      </w:r>
      <w:r>
        <w:rPr>
          <w:rFonts w:ascii="仿宋_GB2312" w:eastAsia="仿宋_GB2312" w:hint="eastAsia"/>
          <w:kern w:val="0"/>
          <w:sz w:val="32"/>
          <w:szCs w:val="32"/>
        </w:rPr>
        <w:t>名</w:t>
      </w:r>
      <w:r>
        <w:rPr>
          <w:rFonts w:ascii="仿宋_GB2312" w:eastAsia="仿宋_GB2312" w:hint="eastAsia"/>
          <w:kern w:val="0"/>
          <w:sz w:val="32"/>
          <w:szCs w:val="32"/>
        </w:rPr>
        <w:t>,</w:t>
      </w:r>
      <w:r>
        <w:rPr>
          <w:rFonts w:ascii="仿宋_GB2312" w:eastAsia="仿宋_GB2312" w:hint="eastAsia"/>
          <w:kern w:val="0"/>
          <w:sz w:val="32"/>
          <w:szCs w:val="32"/>
        </w:rPr>
        <w:t>事业</w:t>
      </w:r>
      <w:r>
        <w:rPr>
          <w:rFonts w:ascii="仿宋_GB2312" w:eastAsia="仿宋_GB2312" w:hint="eastAsia"/>
          <w:kern w:val="0"/>
          <w:sz w:val="32"/>
          <w:szCs w:val="32"/>
        </w:rPr>
        <w:t>8</w:t>
      </w:r>
      <w:r>
        <w:rPr>
          <w:rFonts w:ascii="仿宋_GB2312" w:eastAsia="仿宋_GB2312" w:hint="eastAsia"/>
          <w:kern w:val="0"/>
          <w:sz w:val="32"/>
          <w:szCs w:val="32"/>
        </w:rPr>
        <w:t>名。在职人员总数</w:t>
      </w:r>
      <w:r>
        <w:rPr>
          <w:rFonts w:ascii="仿宋_GB2312" w:eastAsia="仿宋_GB2312" w:hint="eastAsia"/>
          <w:kern w:val="0"/>
          <w:sz w:val="32"/>
          <w:szCs w:val="32"/>
        </w:rPr>
        <w:t>28</w:t>
      </w:r>
      <w:r>
        <w:rPr>
          <w:rFonts w:ascii="仿宋_GB2312" w:eastAsia="仿宋_GB2312" w:hint="eastAsia"/>
          <w:kern w:val="0"/>
          <w:sz w:val="32"/>
          <w:szCs w:val="32"/>
        </w:rPr>
        <w:t>人，其中：行政人员</w:t>
      </w:r>
      <w:r>
        <w:rPr>
          <w:rFonts w:ascii="仿宋_GB2312" w:eastAsia="仿宋_GB2312" w:hint="eastAsia"/>
          <w:kern w:val="0"/>
          <w:sz w:val="32"/>
          <w:szCs w:val="32"/>
        </w:rPr>
        <w:t>8</w:t>
      </w:r>
      <w:r>
        <w:rPr>
          <w:rFonts w:ascii="仿宋_GB2312" w:eastAsia="仿宋_GB2312" w:hint="eastAsia"/>
          <w:kern w:val="0"/>
          <w:sz w:val="32"/>
          <w:szCs w:val="32"/>
        </w:rPr>
        <w:t>人，工</w:t>
      </w:r>
      <w:r>
        <w:rPr>
          <w:rFonts w:ascii="仿宋_GB2312" w:eastAsia="仿宋_GB2312" w:hint="eastAsia"/>
          <w:kern w:val="0"/>
          <w:sz w:val="32"/>
          <w:szCs w:val="32"/>
        </w:rPr>
        <w:t>勤</w:t>
      </w:r>
      <w:r>
        <w:rPr>
          <w:rFonts w:ascii="仿宋_GB2312" w:eastAsia="仿宋_GB2312" w:hint="eastAsia"/>
          <w:kern w:val="0"/>
          <w:sz w:val="32"/>
          <w:szCs w:val="32"/>
        </w:rPr>
        <w:t>4</w:t>
      </w:r>
      <w:r>
        <w:rPr>
          <w:rFonts w:ascii="仿宋_GB2312" w:eastAsia="仿宋_GB2312" w:hint="eastAsia"/>
          <w:kern w:val="0"/>
          <w:sz w:val="32"/>
          <w:szCs w:val="32"/>
        </w:rPr>
        <w:t>人，参照公务员法管理人员</w:t>
      </w:r>
      <w:r>
        <w:rPr>
          <w:rFonts w:ascii="仿宋_GB2312" w:eastAsia="仿宋_GB2312" w:hint="eastAsia"/>
          <w:kern w:val="0"/>
          <w:sz w:val="32"/>
          <w:szCs w:val="32"/>
        </w:rPr>
        <w:t>5</w:t>
      </w:r>
      <w:r>
        <w:rPr>
          <w:rFonts w:ascii="仿宋_GB2312" w:eastAsia="仿宋_GB2312" w:hint="eastAsia"/>
          <w:kern w:val="0"/>
          <w:sz w:val="32"/>
          <w:szCs w:val="32"/>
        </w:rPr>
        <w:t>名，事业</w:t>
      </w:r>
      <w:r>
        <w:rPr>
          <w:rFonts w:ascii="仿宋_GB2312" w:eastAsia="仿宋_GB2312" w:hint="eastAsia"/>
          <w:kern w:val="0"/>
          <w:sz w:val="32"/>
          <w:szCs w:val="32"/>
        </w:rPr>
        <w:t>11</w:t>
      </w:r>
      <w:r>
        <w:rPr>
          <w:rFonts w:ascii="仿宋_GB2312" w:eastAsia="仿宋_GB2312" w:hint="eastAsia"/>
          <w:kern w:val="0"/>
          <w:sz w:val="32"/>
          <w:szCs w:val="32"/>
        </w:rPr>
        <w:t>名；离休人员</w:t>
      </w:r>
      <w:r>
        <w:rPr>
          <w:rFonts w:ascii="仿宋_GB2312" w:eastAsia="仿宋_GB2312" w:hint="eastAsia"/>
          <w:kern w:val="0"/>
          <w:sz w:val="32"/>
          <w:szCs w:val="32"/>
        </w:rPr>
        <w:t>1</w:t>
      </w:r>
      <w:r>
        <w:rPr>
          <w:rFonts w:ascii="仿宋_GB2312" w:eastAsia="仿宋_GB2312" w:hint="eastAsia"/>
          <w:kern w:val="0"/>
          <w:sz w:val="32"/>
          <w:szCs w:val="32"/>
        </w:rPr>
        <w:t>人，退休人员</w:t>
      </w:r>
      <w:r>
        <w:rPr>
          <w:rFonts w:ascii="仿宋_GB2312" w:eastAsia="仿宋_GB2312" w:hint="eastAsia"/>
          <w:kern w:val="0"/>
          <w:sz w:val="32"/>
          <w:szCs w:val="32"/>
        </w:rPr>
        <w:t>19</w:t>
      </w:r>
      <w:r>
        <w:rPr>
          <w:rFonts w:ascii="仿宋_GB2312" w:eastAsia="仿宋_GB2312" w:hint="eastAsia"/>
          <w:kern w:val="0"/>
          <w:sz w:val="32"/>
          <w:szCs w:val="32"/>
        </w:rPr>
        <w:t>人。</w:t>
      </w:r>
    </w:p>
    <w:p w:rsidR="003210AC" w:rsidRDefault="003349E5">
      <w:pPr>
        <w:numPr>
          <w:ilvl w:val="0"/>
          <w:numId w:val="2"/>
        </w:numPr>
        <w:pBdr>
          <w:bottom w:val="single" w:sz="4" w:space="28" w:color="FFFFFF"/>
        </w:pBdr>
        <w:tabs>
          <w:tab w:val="left" w:pos="1440"/>
        </w:tabs>
        <w:autoSpaceDE w:val="0"/>
        <w:snapToGrid w:val="0"/>
        <w:spacing w:line="560" w:lineRule="exact"/>
        <w:ind w:firstLineChars="200" w:firstLine="600"/>
        <w:outlineLvl w:val="2"/>
        <w:rPr>
          <w:rFonts w:ascii="黑体" w:eastAsia="黑体" w:hAnsi="黑体" w:cs="黑体"/>
          <w:sz w:val="30"/>
          <w:szCs w:val="30"/>
        </w:rPr>
      </w:pPr>
      <w:r>
        <w:rPr>
          <w:rFonts w:ascii="黑体" w:eastAsia="黑体" w:hAnsi="黑体" w:cs="黑体" w:hint="eastAsia"/>
          <w:sz w:val="30"/>
          <w:szCs w:val="30"/>
        </w:rPr>
        <w:t>部门财政资金收支情况</w:t>
      </w:r>
    </w:p>
    <w:p w:rsidR="003210AC" w:rsidRDefault="003349E5">
      <w:pPr>
        <w:numPr>
          <w:ilvl w:val="0"/>
          <w:numId w:val="3"/>
        </w:numPr>
        <w:pBdr>
          <w:bottom w:val="single" w:sz="4" w:space="28" w:color="FFFFFF"/>
        </w:pBdr>
        <w:tabs>
          <w:tab w:val="left" w:pos="1440"/>
        </w:tabs>
        <w:autoSpaceDE w:val="0"/>
        <w:snapToGrid w:val="0"/>
        <w:spacing w:line="560" w:lineRule="exact"/>
        <w:ind w:firstLineChars="100" w:firstLine="320"/>
        <w:outlineLvl w:val="2"/>
        <w:rPr>
          <w:rFonts w:ascii="仿宋_GB2312" w:eastAsia="仿宋_GB2312" w:hAnsi="仿宋" w:cs="仿宋_GB2312"/>
          <w:sz w:val="32"/>
          <w:szCs w:val="32"/>
        </w:rPr>
      </w:pPr>
      <w:r>
        <w:rPr>
          <w:rFonts w:ascii="仿宋_GB2312" w:eastAsia="仿宋_GB2312" w:hAnsi="仿宋" w:cs="仿宋_GB2312" w:hint="eastAsia"/>
          <w:sz w:val="32"/>
          <w:szCs w:val="32"/>
        </w:rPr>
        <w:t>部门财政资金收入情况。</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 w:cs="仿宋_GB2312" w:hint="eastAsia"/>
          <w:sz w:val="32"/>
          <w:szCs w:val="32"/>
        </w:rPr>
        <w:t>2018</w:t>
      </w:r>
      <w:r>
        <w:rPr>
          <w:rFonts w:ascii="仿宋_GB2312" w:eastAsia="仿宋_GB2312" w:hAnsi="仿宋" w:cs="仿宋_GB2312" w:hint="eastAsia"/>
          <w:sz w:val="32"/>
          <w:szCs w:val="32"/>
        </w:rPr>
        <w:t>年，</w:t>
      </w:r>
      <w:r>
        <w:rPr>
          <w:rFonts w:ascii="仿宋_GB2312" w:eastAsia="仿宋_GB2312" w:hAnsi="仿宋_GB2312" w:cs="仿宋_GB2312" w:hint="eastAsia"/>
          <w:sz w:val="32"/>
          <w:szCs w:val="32"/>
        </w:rPr>
        <w:t>部门预算收入总额</w:t>
      </w:r>
      <w:r>
        <w:rPr>
          <w:rFonts w:ascii="仿宋_GB2312" w:hAnsi="仿宋_GB2312" w:cs="仿宋_GB2312" w:hint="eastAsia"/>
          <w:sz w:val="32"/>
          <w:szCs w:val="32"/>
        </w:rPr>
        <w:t>403.83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较上年</w:t>
      </w:r>
      <w:r>
        <w:rPr>
          <w:rFonts w:ascii="仿宋_GB2312" w:eastAsia="仿宋_GB2312" w:hAnsi="仿宋_GB2312" w:cs="仿宋_GB2312" w:hint="eastAsia"/>
          <w:sz w:val="32"/>
          <w:szCs w:val="32"/>
        </w:rPr>
        <w:t>增长</w:t>
      </w:r>
      <w:r>
        <w:rPr>
          <w:rFonts w:ascii="仿宋_GB2312" w:hAnsi="仿宋_GB2312" w:cs="仿宋_GB2312" w:hint="eastAsia"/>
          <w:sz w:val="32"/>
          <w:szCs w:val="32"/>
        </w:rPr>
        <w:t>134.53</w:t>
      </w:r>
      <w:r>
        <w:rPr>
          <w:rFonts w:ascii="仿宋_GB2312" w:eastAsia="仿宋_GB2312" w:hAnsi="仿宋_GB2312" w:cs="仿宋_GB2312" w:hint="eastAsia"/>
          <w:sz w:val="32"/>
          <w:szCs w:val="32"/>
        </w:rPr>
        <w:t>万元,实际收入</w:t>
      </w:r>
      <w:r w:rsidRPr="003349E5">
        <w:rPr>
          <w:rFonts w:ascii="仿宋_GB2312" w:eastAsia="仿宋_GB2312" w:hAnsi="仿宋_GB2312" w:cs="仿宋_GB2312"/>
          <w:sz w:val="32"/>
          <w:szCs w:val="32"/>
        </w:rPr>
        <w:t>2,584.10</w:t>
      </w:r>
      <w:r>
        <w:rPr>
          <w:rFonts w:ascii="仿宋_GB2312" w:eastAsia="仿宋_GB2312" w:hAnsi="仿宋_GB2312" w:cs="仿宋_GB2312" w:hint="eastAsia"/>
          <w:sz w:val="32"/>
          <w:szCs w:val="32"/>
        </w:rPr>
        <w:t>万元，差异率639.89%，因为年初预算时未将项目预算列入；</w:t>
      </w:r>
      <w:r>
        <w:rPr>
          <w:rFonts w:ascii="仿宋_GB2312" w:eastAsia="仿宋_GB2312" w:hAnsi="仿宋_GB2312" w:cs="仿宋_GB2312" w:hint="eastAsia"/>
          <w:sz w:val="32"/>
          <w:szCs w:val="32"/>
        </w:rPr>
        <w:t>部门支出预算总额</w:t>
      </w:r>
      <w:r>
        <w:rPr>
          <w:rFonts w:ascii="仿宋_GB2312" w:hAnsi="仿宋_GB2312" w:cs="仿宋_GB2312" w:hint="eastAsia"/>
          <w:sz w:val="32"/>
          <w:szCs w:val="32"/>
        </w:rPr>
        <w:t>403.83</w:t>
      </w:r>
      <w:r>
        <w:rPr>
          <w:rFonts w:ascii="仿宋_GB2312" w:eastAsia="仿宋_GB2312" w:hAnsi="仿宋_GB2312" w:cs="仿宋_GB2312" w:hint="eastAsia"/>
          <w:sz w:val="32"/>
          <w:szCs w:val="32"/>
        </w:rPr>
        <w:t>万元，较上年减少</w:t>
      </w:r>
      <w:r>
        <w:rPr>
          <w:rFonts w:ascii="仿宋_GB2312" w:hAnsi="仿宋_GB2312" w:cs="仿宋_GB2312" w:hint="eastAsia"/>
          <w:sz w:val="32"/>
          <w:szCs w:val="32"/>
        </w:rPr>
        <w:t>134.53</w:t>
      </w:r>
      <w:r>
        <w:rPr>
          <w:rFonts w:ascii="仿宋_GB2312" w:eastAsia="仿宋_GB2312" w:hAnsi="仿宋_GB2312" w:cs="仿宋_GB2312" w:hint="eastAsia"/>
          <w:sz w:val="32"/>
          <w:szCs w:val="32"/>
        </w:rPr>
        <w:t>万元，其中：基本支出</w:t>
      </w:r>
      <w:r>
        <w:rPr>
          <w:rFonts w:ascii="仿宋_GB2312" w:hAnsi="仿宋_GB2312" w:cs="仿宋_GB2312" w:hint="eastAsia"/>
          <w:sz w:val="32"/>
          <w:szCs w:val="32"/>
        </w:rPr>
        <w:t>134.53</w:t>
      </w:r>
      <w:r>
        <w:rPr>
          <w:rFonts w:ascii="仿宋_GB2312" w:eastAsia="仿宋_GB2312" w:hAnsi="仿宋_GB2312" w:cs="仿宋_GB2312" w:hint="eastAsia"/>
          <w:sz w:val="32"/>
          <w:szCs w:val="32"/>
        </w:rPr>
        <w:t>万元。</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w:t>
      </w:r>
      <w:r>
        <w:rPr>
          <w:rFonts w:ascii="仿宋_GB2312" w:eastAsia="仿宋_GB2312" w:hAnsi="仿宋_GB2312" w:cs="仿宋_GB2312" w:hint="eastAsia"/>
          <w:sz w:val="32"/>
          <w:szCs w:val="32"/>
        </w:rPr>
        <w:t>增加</w:t>
      </w:r>
      <w:r>
        <w:rPr>
          <w:rFonts w:ascii="仿宋_GB2312" w:hAnsi="仿宋_GB2312" w:cs="仿宋_GB2312" w:hint="eastAsia"/>
          <w:sz w:val="32"/>
          <w:szCs w:val="32"/>
        </w:rPr>
        <w:t>134.53</w:t>
      </w:r>
      <w:r>
        <w:rPr>
          <w:rFonts w:ascii="仿宋_GB2312" w:eastAsia="仿宋_GB2312" w:hAnsi="仿宋_GB2312" w:cs="仿宋_GB2312" w:hint="eastAsia"/>
          <w:sz w:val="32"/>
          <w:szCs w:val="32"/>
        </w:rPr>
        <w:t>万元，原因是：</w:t>
      </w:r>
      <w:r>
        <w:rPr>
          <w:rFonts w:ascii="仿宋_GB2312" w:eastAsia="仿宋_GB2312" w:hAnsi="仿宋_GB2312" w:cs="仿宋_GB2312" w:hint="eastAsia"/>
          <w:sz w:val="32"/>
          <w:szCs w:val="32"/>
        </w:rPr>
        <w:t>发改物价合署办公，人员增加</w:t>
      </w:r>
      <w:r>
        <w:rPr>
          <w:rFonts w:ascii="仿宋_GB2312" w:eastAsia="仿宋_GB2312" w:hAnsi="仿宋_GB2312" w:cs="仿宋_GB2312" w:hint="eastAsia"/>
          <w:sz w:val="32"/>
          <w:szCs w:val="32"/>
        </w:rPr>
        <w:t>。</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2018</w:t>
      </w:r>
      <w:r>
        <w:rPr>
          <w:rFonts w:ascii="仿宋_GB2312" w:eastAsia="仿宋_GB2312" w:hAnsi="仿宋" w:cs="仿宋_GB2312" w:hint="eastAsia"/>
          <w:sz w:val="32"/>
          <w:szCs w:val="32"/>
        </w:rPr>
        <w:t>年总收入</w:t>
      </w:r>
      <w:r>
        <w:rPr>
          <w:rFonts w:ascii="仿宋_GB2312" w:eastAsia="仿宋_GB2312" w:hAnsi="仿宋" w:cs="仿宋_GB2312" w:hint="eastAsia"/>
          <w:sz w:val="32"/>
          <w:szCs w:val="32"/>
        </w:rPr>
        <w:t>2584.1</w:t>
      </w:r>
      <w:r>
        <w:rPr>
          <w:rFonts w:ascii="仿宋_GB2312" w:eastAsia="仿宋_GB2312" w:hAnsi="仿宋" w:cs="仿宋_GB2312" w:hint="eastAsia"/>
          <w:sz w:val="32"/>
          <w:szCs w:val="32"/>
        </w:rPr>
        <w:t>万元，基本支出</w:t>
      </w:r>
      <w:r>
        <w:rPr>
          <w:rFonts w:ascii="仿宋_GB2312" w:eastAsia="仿宋_GB2312" w:hAnsi="仿宋" w:cs="仿宋_GB2312" w:hint="eastAsia"/>
          <w:sz w:val="32"/>
          <w:szCs w:val="32"/>
        </w:rPr>
        <w:t>496.37</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占总</w:t>
      </w:r>
      <w:r>
        <w:rPr>
          <w:rFonts w:ascii="仿宋_GB2312" w:eastAsia="仿宋_GB2312" w:hAnsi="仿宋" w:cs="仿宋_GB2312" w:hint="eastAsia"/>
          <w:sz w:val="32"/>
          <w:szCs w:val="32"/>
        </w:rPr>
        <w:t>收入</w:t>
      </w:r>
      <w:r>
        <w:rPr>
          <w:rFonts w:ascii="仿宋_GB2312" w:eastAsia="仿宋_GB2312" w:hAnsi="仿宋" w:cs="仿宋_GB2312" w:hint="eastAsia"/>
          <w:sz w:val="32"/>
          <w:szCs w:val="32"/>
        </w:rPr>
        <w:t>的</w:t>
      </w:r>
      <w:r>
        <w:rPr>
          <w:rFonts w:ascii="仿宋_GB2312" w:eastAsia="仿宋_GB2312" w:hAnsi="仿宋" w:cs="仿宋_GB2312" w:hint="eastAsia"/>
          <w:sz w:val="32"/>
          <w:szCs w:val="32"/>
        </w:rPr>
        <w:t>19.21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项目支出</w:t>
      </w:r>
      <w:r>
        <w:rPr>
          <w:rFonts w:ascii="仿宋_GB2312" w:eastAsia="仿宋_GB2312" w:hAnsi="仿宋" w:cs="仿宋_GB2312" w:hint="eastAsia"/>
          <w:sz w:val="32"/>
          <w:szCs w:val="32"/>
        </w:rPr>
        <w:t>2087.73</w:t>
      </w:r>
      <w:r>
        <w:rPr>
          <w:rFonts w:ascii="仿宋_GB2312" w:eastAsia="仿宋_GB2312" w:hAnsi="仿宋" w:cs="仿宋_GB2312" w:hint="eastAsia"/>
          <w:sz w:val="32"/>
          <w:szCs w:val="32"/>
        </w:rPr>
        <w:t>万元，占总支出的</w:t>
      </w:r>
      <w:r>
        <w:rPr>
          <w:rFonts w:ascii="仿宋_GB2312" w:eastAsia="仿宋_GB2312" w:hAnsi="仿宋" w:cs="仿宋_GB2312" w:hint="eastAsia"/>
          <w:sz w:val="32"/>
          <w:szCs w:val="32"/>
        </w:rPr>
        <w:t>80.79</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p>
    <w:p w:rsidR="003210AC" w:rsidRDefault="003349E5">
      <w:pPr>
        <w:numPr>
          <w:ilvl w:val="0"/>
          <w:numId w:val="3"/>
        </w:numPr>
        <w:pBdr>
          <w:bottom w:val="single" w:sz="4" w:space="28" w:color="FFFFFF"/>
        </w:pBdr>
        <w:tabs>
          <w:tab w:val="left" w:pos="1440"/>
        </w:tabs>
        <w:autoSpaceDE w:val="0"/>
        <w:snapToGrid w:val="0"/>
        <w:spacing w:line="560" w:lineRule="exact"/>
        <w:ind w:firstLineChars="100" w:firstLine="320"/>
        <w:outlineLvl w:val="2"/>
        <w:rPr>
          <w:rFonts w:ascii="仿宋_GB2312" w:eastAsia="仿宋_GB2312" w:hAnsi="仿宋" w:cs="仿宋_GB2312"/>
          <w:sz w:val="32"/>
          <w:szCs w:val="32"/>
        </w:rPr>
      </w:pPr>
      <w:r>
        <w:rPr>
          <w:rFonts w:ascii="仿宋_GB2312" w:eastAsia="仿宋_GB2312" w:hAnsi="仿宋" w:cs="仿宋_GB2312" w:hint="eastAsia"/>
          <w:sz w:val="32"/>
          <w:szCs w:val="32"/>
        </w:rPr>
        <w:t>部门财政资金支出情况。</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201</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年总支出</w:t>
      </w:r>
      <w:r>
        <w:rPr>
          <w:rFonts w:ascii="仿宋_GB2312" w:eastAsia="仿宋_GB2312" w:hAnsi="仿宋" w:cs="仿宋_GB2312" w:hint="eastAsia"/>
          <w:sz w:val="32"/>
          <w:szCs w:val="32"/>
        </w:rPr>
        <w:t>2460.34</w:t>
      </w:r>
      <w:r>
        <w:rPr>
          <w:rFonts w:ascii="仿宋_GB2312" w:eastAsia="仿宋_GB2312" w:hAnsi="仿宋" w:cs="仿宋_GB2312" w:hint="eastAsia"/>
          <w:sz w:val="32"/>
          <w:szCs w:val="32"/>
        </w:rPr>
        <w:t>万元，基本支出</w:t>
      </w:r>
      <w:r>
        <w:rPr>
          <w:rFonts w:ascii="仿宋_GB2312" w:eastAsia="仿宋_GB2312" w:hAnsi="仿宋" w:cs="仿宋_GB2312" w:hint="eastAsia"/>
          <w:sz w:val="32"/>
          <w:szCs w:val="32"/>
        </w:rPr>
        <w:t>524.99</w:t>
      </w:r>
      <w:r>
        <w:rPr>
          <w:rFonts w:ascii="仿宋_GB2312" w:eastAsia="仿宋_GB2312" w:hAnsi="仿宋" w:cs="仿宋_GB2312" w:hint="eastAsia"/>
          <w:sz w:val="32"/>
          <w:szCs w:val="32"/>
        </w:rPr>
        <w:t>万元，占总支出的</w:t>
      </w:r>
      <w:r>
        <w:rPr>
          <w:rFonts w:ascii="仿宋_GB2312" w:eastAsia="仿宋_GB2312" w:hAnsi="仿宋" w:cs="仿宋_GB2312" w:hint="eastAsia"/>
          <w:sz w:val="32"/>
          <w:szCs w:val="32"/>
        </w:rPr>
        <w:t>21.34</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，其中工资福利支出</w:t>
      </w:r>
      <w:r>
        <w:rPr>
          <w:rFonts w:ascii="仿宋_GB2312" w:eastAsia="仿宋_GB2312" w:hAnsi="仿宋" w:cs="仿宋_GB2312" w:hint="eastAsia"/>
          <w:sz w:val="32"/>
          <w:szCs w:val="32"/>
        </w:rPr>
        <w:t>413.47</w:t>
      </w:r>
      <w:r>
        <w:rPr>
          <w:rFonts w:ascii="仿宋_GB2312" w:eastAsia="仿宋_GB2312" w:hAnsi="仿宋" w:cs="仿宋_GB2312" w:hint="eastAsia"/>
          <w:sz w:val="32"/>
          <w:szCs w:val="32"/>
        </w:rPr>
        <w:t>万元，商品</w:t>
      </w:r>
      <w:r>
        <w:rPr>
          <w:rFonts w:ascii="仿宋_GB2312" w:eastAsia="仿宋_GB2312" w:hAnsi="仿宋" w:cs="仿宋_GB2312" w:hint="eastAsia"/>
          <w:sz w:val="32"/>
          <w:szCs w:val="32"/>
        </w:rPr>
        <w:lastRenderedPageBreak/>
        <w:t>和服务支出</w:t>
      </w:r>
      <w:r>
        <w:rPr>
          <w:rFonts w:ascii="仿宋_GB2312" w:eastAsia="仿宋_GB2312" w:hAnsi="仿宋" w:cs="仿宋_GB2312" w:hint="eastAsia"/>
          <w:sz w:val="32"/>
          <w:szCs w:val="32"/>
        </w:rPr>
        <w:t>56.26</w:t>
      </w:r>
      <w:r>
        <w:rPr>
          <w:rFonts w:ascii="仿宋_GB2312" w:eastAsia="仿宋_GB2312" w:hAnsi="仿宋" w:cs="仿宋_GB2312" w:hint="eastAsia"/>
          <w:sz w:val="32"/>
          <w:szCs w:val="32"/>
        </w:rPr>
        <w:t>万元，对个人和家庭的补助支出</w:t>
      </w:r>
      <w:r>
        <w:rPr>
          <w:rFonts w:ascii="仿宋_GB2312" w:eastAsia="仿宋_GB2312" w:hAnsi="仿宋" w:cs="仿宋_GB2312" w:hint="eastAsia"/>
          <w:sz w:val="32"/>
          <w:szCs w:val="32"/>
        </w:rPr>
        <w:t>55.26</w:t>
      </w:r>
      <w:r>
        <w:rPr>
          <w:rFonts w:ascii="仿宋_GB2312" w:eastAsia="仿宋_GB2312" w:hAnsi="仿宋" w:cs="仿宋_GB2312" w:hint="eastAsia"/>
          <w:sz w:val="32"/>
          <w:szCs w:val="32"/>
        </w:rPr>
        <w:t>万元；项目支出</w:t>
      </w:r>
      <w:r>
        <w:rPr>
          <w:rFonts w:ascii="仿宋_GB2312" w:eastAsia="仿宋_GB2312" w:hAnsi="仿宋" w:cs="仿宋_GB2312" w:hint="eastAsia"/>
          <w:sz w:val="32"/>
          <w:szCs w:val="32"/>
        </w:rPr>
        <w:t>1935.35</w:t>
      </w:r>
      <w:r>
        <w:rPr>
          <w:rFonts w:ascii="仿宋_GB2312" w:eastAsia="仿宋_GB2312" w:hAnsi="仿宋" w:cs="仿宋_GB2312" w:hint="eastAsia"/>
          <w:sz w:val="32"/>
          <w:szCs w:val="32"/>
        </w:rPr>
        <w:t>万元，占总支出的</w:t>
      </w:r>
      <w:r>
        <w:rPr>
          <w:rFonts w:ascii="仿宋_GB2312" w:eastAsia="仿宋_GB2312" w:hAnsi="仿宋" w:cs="仿宋_GB2312" w:hint="eastAsia"/>
          <w:sz w:val="32"/>
          <w:szCs w:val="32"/>
        </w:rPr>
        <w:t>78.66</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，其中：商品和服务支出</w:t>
      </w:r>
      <w:r>
        <w:rPr>
          <w:rFonts w:ascii="仿宋_GB2312" w:eastAsia="仿宋_GB2312" w:hAnsi="仿宋" w:cs="仿宋_GB2312" w:hint="eastAsia"/>
          <w:sz w:val="32"/>
          <w:szCs w:val="32"/>
        </w:rPr>
        <w:t>373.89</w:t>
      </w:r>
      <w:r>
        <w:rPr>
          <w:rFonts w:ascii="仿宋_GB2312" w:eastAsia="仿宋_GB2312" w:hAnsi="仿宋" w:cs="仿宋_GB2312" w:hint="eastAsia"/>
          <w:sz w:val="32"/>
          <w:szCs w:val="32"/>
        </w:rPr>
        <w:t>万元，基本建设支出</w:t>
      </w:r>
      <w:r>
        <w:rPr>
          <w:rFonts w:ascii="仿宋_GB2312" w:eastAsia="仿宋_GB2312" w:hAnsi="仿宋" w:cs="仿宋_GB2312" w:hint="eastAsia"/>
          <w:sz w:val="32"/>
          <w:szCs w:val="32"/>
        </w:rPr>
        <w:t>1412.62</w:t>
      </w:r>
      <w:r>
        <w:rPr>
          <w:rFonts w:ascii="仿宋_GB2312" w:eastAsia="仿宋_GB2312" w:hAnsi="仿宋" w:cs="仿宋_GB2312" w:hint="eastAsia"/>
          <w:sz w:val="32"/>
          <w:szCs w:val="32"/>
        </w:rPr>
        <w:t>万元，对企事业单位的补贴支出</w:t>
      </w:r>
      <w:r>
        <w:rPr>
          <w:rFonts w:ascii="仿宋_GB2312" w:eastAsia="仿宋_GB2312" w:hAnsi="仿宋" w:cs="仿宋_GB2312" w:hint="eastAsia"/>
          <w:sz w:val="32"/>
          <w:szCs w:val="32"/>
        </w:rPr>
        <w:t>148.84</w:t>
      </w:r>
      <w:r>
        <w:rPr>
          <w:rFonts w:ascii="仿宋_GB2312" w:eastAsia="仿宋_GB2312" w:hAnsi="仿宋" w:cs="仿宋_GB2312" w:hint="eastAsia"/>
          <w:sz w:val="32"/>
          <w:szCs w:val="32"/>
        </w:rPr>
        <w:t>万元。</w:t>
      </w:r>
    </w:p>
    <w:p w:rsidR="003210AC" w:rsidRDefault="003349E5">
      <w:pPr>
        <w:numPr>
          <w:ilvl w:val="0"/>
          <w:numId w:val="2"/>
        </w:numPr>
        <w:pBdr>
          <w:bottom w:val="single" w:sz="4" w:space="28" w:color="FFFFFF"/>
        </w:pBdr>
        <w:tabs>
          <w:tab w:val="left" w:pos="1440"/>
        </w:tabs>
        <w:autoSpaceDE w:val="0"/>
        <w:snapToGrid w:val="0"/>
        <w:spacing w:line="560" w:lineRule="exact"/>
        <w:ind w:firstLineChars="200" w:firstLine="600"/>
        <w:outlineLvl w:val="2"/>
        <w:rPr>
          <w:rFonts w:ascii="仿宋_GB2312" w:eastAsia="仿宋_GB2312" w:hAnsi="仿宋" w:cs="仿宋_GB2312"/>
          <w:sz w:val="32"/>
          <w:szCs w:val="32"/>
        </w:rPr>
      </w:pPr>
      <w:r>
        <w:rPr>
          <w:rFonts w:ascii="黑体" w:eastAsia="黑体" w:hAnsi="黑体" w:cs="黑体" w:hint="eastAsia"/>
          <w:sz w:val="30"/>
          <w:szCs w:val="30"/>
        </w:rPr>
        <w:t>部门整体预算绩效管理情况</w:t>
      </w:r>
    </w:p>
    <w:p w:rsidR="003210AC" w:rsidRDefault="003349E5">
      <w:pPr>
        <w:numPr>
          <w:ilvl w:val="0"/>
          <w:numId w:val="4"/>
        </w:num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部门预算管理</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我局</w:t>
      </w:r>
      <w:r>
        <w:rPr>
          <w:rFonts w:ascii="仿宋_GB2312" w:eastAsia="仿宋_GB2312" w:hAnsi="仿宋" w:cs="仿宋_GB2312" w:hint="eastAsia"/>
          <w:sz w:val="32"/>
          <w:szCs w:val="32"/>
        </w:rPr>
        <w:t>2018</w:t>
      </w:r>
      <w:r>
        <w:rPr>
          <w:rFonts w:ascii="仿宋_GB2312" w:eastAsia="仿宋_GB2312" w:hAnsi="仿宋" w:cs="仿宋_GB2312" w:hint="eastAsia"/>
          <w:sz w:val="32"/>
          <w:szCs w:val="32"/>
        </w:rPr>
        <w:t>年预算编制准确，严格按照相关制度要求进行支付，及时进行预算动态调整，确保我局</w:t>
      </w:r>
      <w:r>
        <w:rPr>
          <w:rFonts w:ascii="仿宋_GB2312" w:eastAsia="仿宋_GB2312" w:hAnsi="仿宋" w:cs="仿宋_GB2312" w:hint="eastAsia"/>
          <w:sz w:val="32"/>
          <w:szCs w:val="32"/>
        </w:rPr>
        <w:t>2018</w:t>
      </w:r>
      <w:r>
        <w:rPr>
          <w:rFonts w:ascii="仿宋_GB2312" w:eastAsia="仿宋_GB2312" w:hAnsi="仿宋" w:cs="仿宋_GB2312" w:hint="eastAsia"/>
          <w:sz w:val="32"/>
          <w:szCs w:val="32"/>
        </w:rPr>
        <w:t>年全年工作正常运行，顺利完成县人民政府交付的工作任务。</w:t>
      </w:r>
    </w:p>
    <w:p w:rsidR="003210AC" w:rsidRDefault="003349E5">
      <w:pPr>
        <w:numPr>
          <w:ilvl w:val="0"/>
          <w:numId w:val="4"/>
        </w:num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专项</w:t>
      </w:r>
      <w:bookmarkStart w:id="1" w:name="_GoBack"/>
      <w:bookmarkEnd w:id="1"/>
      <w:r>
        <w:rPr>
          <w:rFonts w:ascii="仿宋_GB2312" w:eastAsia="仿宋_GB2312" w:hAnsi="仿宋" w:cs="仿宋_GB2312" w:hint="eastAsia"/>
          <w:sz w:val="32"/>
          <w:szCs w:val="32"/>
        </w:rPr>
        <w:t>预算管理</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2018</w:t>
      </w:r>
      <w:r>
        <w:rPr>
          <w:rFonts w:ascii="仿宋_GB2312" w:eastAsia="仿宋_GB2312" w:hAnsi="仿宋" w:cs="仿宋_GB2312" w:hint="eastAsia"/>
          <w:sz w:val="32"/>
          <w:szCs w:val="32"/>
        </w:rPr>
        <w:t>年专项预算项目程序严格按照相关规定制度执行，合理规划项目实施及支付进度，扶贫发展资金项目主要用于改善建档立卡贫困村、提高建档立卡贫困户生产生活条件和增收脱贫为重点，道路建设给当地交通带来了便利，促进了当地村民与村外进行商品交易次数。</w:t>
      </w:r>
    </w:p>
    <w:p w:rsidR="003210AC" w:rsidRDefault="003349E5">
      <w:pPr>
        <w:numPr>
          <w:ilvl w:val="0"/>
          <w:numId w:val="4"/>
        </w:num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结果应用情况</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我局按照财政相关要求，及时进行绩效评价，上报财政并及时公开，对于评价结果，我局对发现的问题及时进行整改。</w:t>
      </w:r>
    </w:p>
    <w:p w:rsidR="003210AC" w:rsidRDefault="003349E5">
      <w:pPr>
        <w:numPr>
          <w:ilvl w:val="0"/>
          <w:numId w:val="2"/>
        </w:numPr>
        <w:pBdr>
          <w:bottom w:val="single" w:sz="4" w:space="28" w:color="FFFFFF"/>
        </w:pBdr>
        <w:tabs>
          <w:tab w:val="left" w:pos="1440"/>
        </w:tabs>
        <w:autoSpaceDE w:val="0"/>
        <w:snapToGrid w:val="0"/>
        <w:spacing w:line="560" w:lineRule="exact"/>
        <w:ind w:firstLineChars="200" w:firstLine="600"/>
        <w:outlineLvl w:val="2"/>
        <w:rPr>
          <w:rFonts w:ascii="黑体" w:eastAsia="黑体" w:hAnsi="黑体" w:cs="黑体"/>
          <w:sz w:val="30"/>
          <w:szCs w:val="30"/>
        </w:rPr>
      </w:pPr>
      <w:r>
        <w:rPr>
          <w:rFonts w:ascii="黑体" w:eastAsia="黑体" w:hAnsi="黑体" w:cs="黑体" w:hint="eastAsia"/>
          <w:sz w:val="30"/>
          <w:szCs w:val="30"/>
        </w:rPr>
        <w:t>评价结论及建议</w:t>
      </w:r>
    </w:p>
    <w:p w:rsidR="003210AC" w:rsidRDefault="003349E5">
      <w:pPr>
        <w:numPr>
          <w:ilvl w:val="0"/>
          <w:numId w:val="5"/>
        </w:num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评价结论</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本能年度财政拨款为我局发改日常工作的开展提供了强有力的保障，使我局顺利完成</w:t>
      </w:r>
      <w:r>
        <w:rPr>
          <w:rFonts w:ascii="仿宋_GB2312" w:eastAsia="仿宋_GB2312" w:hAnsi="仿宋" w:cs="仿宋_GB2312" w:hint="eastAsia"/>
          <w:sz w:val="32"/>
          <w:szCs w:val="32"/>
        </w:rPr>
        <w:t>2018</w:t>
      </w:r>
      <w:r>
        <w:rPr>
          <w:rFonts w:ascii="仿宋_GB2312" w:eastAsia="仿宋_GB2312" w:hAnsi="仿宋" w:cs="仿宋_GB2312" w:hint="eastAsia"/>
          <w:sz w:val="32"/>
          <w:szCs w:val="32"/>
        </w:rPr>
        <w:t>年度发改建设工作，</w:t>
      </w:r>
      <w:r>
        <w:rPr>
          <w:rFonts w:ascii="仿宋_GB2312" w:eastAsia="仿宋_GB2312" w:hAnsi="仿宋" w:cs="仿宋_GB2312" w:hint="eastAsia"/>
          <w:sz w:val="32"/>
          <w:szCs w:val="32"/>
          <w:lang w:val="zh-CN"/>
        </w:rPr>
        <w:t>201</w:t>
      </w:r>
      <w:r>
        <w:rPr>
          <w:rFonts w:ascii="仿宋_GB2312" w:eastAsia="仿宋_GB2312" w:hAnsi="仿宋" w:cs="仿宋_GB2312" w:hint="eastAsia"/>
          <w:sz w:val="32"/>
          <w:szCs w:val="32"/>
        </w:rPr>
        <w:t>9</w:t>
      </w:r>
      <w:r>
        <w:rPr>
          <w:rFonts w:ascii="仿宋_GB2312" w:eastAsia="仿宋_GB2312" w:hAnsi="仿宋" w:cs="仿宋_GB2312" w:hint="eastAsia"/>
          <w:sz w:val="32"/>
          <w:szCs w:val="32"/>
          <w:lang w:val="zh-CN"/>
        </w:rPr>
        <w:t>年我局要加强工作</w:t>
      </w:r>
      <w:r>
        <w:rPr>
          <w:rFonts w:ascii="仿宋_GB2312" w:eastAsia="仿宋_GB2312" w:hAnsi="仿宋" w:cs="仿宋_GB2312" w:hint="eastAsia"/>
          <w:sz w:val="32"/>
          <w:szCs w:val="32"/>
          <w:lang w:val="zh-CN"/>
        </w:rPr>
        <w:t>管理，顺利完成</w:t>
      </w:r>
      <w:r>
        <w:rPr>
          <w:rFonts w:ascii="仿宋_GB2312" w:eastAsia="仿宋_GB2312" w:hAnsi="仿宋" w:cs="仿宋_GB2312" w:hint="eastAsia"/>
          <w:sz w:val="32"/>
          <w:szCs w:val="32"/>
          <w:lang w:val="zh-CN"/>
        </w:rPr>
        <w:t>201</w:t>
      </w:r>
      <w:r>
        <w:rPr>
          <w:rFonts w:ascii="仿宋_GB2312" w:eastAsia="仿宋_GB2312" w:hAnsi="仿宋" w:cs="仿宋_GB2312" w:hint="eastAsia"/>
          <w:sz w:val="32"/>
          <w:szCs w:val="32"/>
        </w:rPr>
        <w:t>9</w:t>
      </w:r>
      <w:r>
        <w:rPr>
          <w:rFonts w:ascii="仿宋_GB2312" w:eastAsia="仿宋_GB2312" w:hAnsi="仿宋" w:cs="仿宋_GB2312" w:hint="eastAsia"/>
          <w:sz w:val="32"/>
          <w:szCs w:val="32"/>
          <w:lang w:val="zh-CN"/>
        </w:rPr>
        <w:t>年的工作任务</w:t>
      </w:r>
      <w:r>
        <w:rPr>
          <w:rFonts w:ascii="仿宋_GB2312" w:eastAsia="仿宋_GB2312" w:hAnsi="仿宋" w:cs="仿宋_GB2312" w:hint="eastAsia"/>
          <w:sz w:val="32"/>
          <w:szCs w:val="32"/>
        </w:rPr>
        <w:t>。</w:t>
      </w:r>
      <w:r>
        <w:rPr>
          <w:rFonts w:ascii="仿宋_GB2312" w:eastAsia="仿宋_GB2312" w:hAnsi="仿宋" w:cs="仿宋_GB2312" w:hint="eastAsia"/>
          <w:sz w:val="32"/>
          <w:szCs w:val="32"/>
          <w:lang w:val="zh-CN"/>
        </w:rPr>
        <w:t xml:space="preserve"> </w:t>
      </w:r>
      <w:r>
        <w:rPr>
          <w:rFonts w:ascii="仿宋_GB2312" w:eastAsia="仿宋_GB2312" w:hAnsi="仿宋" w:cs="仿宋_GB2312" w:hint="eastAsia"/>
          <w:sz w:val="32"/>
          <w:szCs w:val="32"/>
        </w:rPr>
        <w:t xml:space="preserve">  </w:t>
      </w:r>
    </w:p>
    <w:p w:rsidR="003210AC" w:rsidRDefault="003349E5">
      <w:pPr>
        <w:numPr>
          <w:ilvl w:val="0"/>
          <w:numId w:val="5"/>
        </w:num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lastRenderedPageBreak/>
        <w:t>存在问题</w:t>
      </w:r>
    </w:p>
    <w:p w:rsidR="003210AC" w:rsidRDefault="003349E5">
      <w:pPr>
        <w:pBdr>
          <w:bottom w:val="single" w:sz="4" w:space="28" w:color="FFFFFF"/>
        </w:pBdr>
        <w:tabs>
          <w:tab w:val="left" w:pos="1440"/>
        </w:tabs>
        <w:autoSpaceDE w:val="0"/>
        <w:snapToGrid w:val="0"/>
        <w:spacing w:line="560" w:lineRule="exact"/>
        <w:ind w:firstLineChars="300" w:firstLine="96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3210AC" w:rsidRDefault="003349E5">
      <w:pPr>
        <w:numPr>
          <w:ilvl w:val="0"/>
          <w:numId w:val="5"/>
        </w:num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 w:cs="仿宋_GB2312" w:hint="eastAsia"/>
          <w:sz w:val="32"/>
          <w:szCs w:val="32"/>
        </w:rPr>
        <w:t>改进建议</w:t>
      </w:r>
    </w:p>
    <w:p w:rsidR="003210AC" w:rsidRDefault="003349E5">
      <w:pPr>
        <w:pBdr>
          <w:bottom w:val="single" w:sz="4" w:space="28" w:color="FFFFFF"/>
        </w:pBdr>
        <w:tabs>
          <w:tab w:val="left" w:pos="1440"/>
        </w:tabs>
        <w:autoSpaceDE w:val="0"/>
        <w:snapToGrid w:val="0"/>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3210AC" w:rsidRDefault="003210AC">
      <w:pPr>
        <w:spacing w:line="580" w:lineRule="exact"/>
        <w:ind w:firstLineChars="200" w:firstLine="640"/>
        <w:rPr>
          <w:rFonts w:ascii="仿宋_GB2312" w:eastAsia="仿宋_GB2312" w:hAnsi="仿宋_GB2312" w:cs="仿宋_GB2312"/>
          <w:sz w:val="32"/>
          <w:szCs w:val="32"/>
        </w:rPr>
      </w:pPr>
    </w:p>
    <w:p w:rsidR="003210AC" w:rsidRDefault="003210AC">
      <w:pPr>
        <w:widowControl/>
        <w:jc w:val="left"/>
        <w:rPr>
          <w:rFonts w:ascii="仿宋_GB2312" w:eastAsia="仿宋_GB2312" w:hAnsi="仿宋_GB2312" w:cs="仿宋_GB2312"/>
          <w:sz w:val="32"/>
          <w:szCs w:val="32"/>
        </w:rPr>
      </w:pPr>
    </w:p>
    <w:sectPr w:rsidR="003210AC" w:rsidSect="003210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仿宋_GB2312"/>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A624D3"/>
    <w:multiLevelType w:val="singleLevel"/>
    <w:tmpl w:val="C2A624D3"/>
    <w:lvl w:ilvl="0">
      <w:start w:val="1"/>
      <w:numFmt w:val="chineseCounting"/>
      <w:suff w:val="nothing"/>
      <w:lvlText w:val="（%1）"/>
      <w:lvlJc w:val="left"/>
      <w:rPr>
        <w:rFonts w:hint="eastAsia"/>
      </w:rPr>
    </w:lvl>
  </w:abstractNum>
  <w:abstractNum w:abstractNumId="1">
    <w:nsid w:val="0D7737E0"/>
    <w:multiLevelType w:val="singleLevel"/>
    <w:tmpl w:val="0D7737E0"/>
    <w:lvl w:ilvl="0">
      <w:start w:val="2"/>
      <w:numFmt w:val="chineseCounting"/>
      <w:suff w:val="nothing"/>
      <w:lvlText w:val="%1、"/>
      <w:lvlJc w:val="left"/>
      <w:rPr>
        <w:rFonts w:hint="eastAsia"/>
      </w:rPr>
    </w:lvl>
  </w:abstractNum>
  <w:abstractNum w:abstractNumId="2">
    <w:nsid w:val="122A8879"/>
    <w:multiLevelType w:val="singleLevel"/>
    <w:tmpl w:val="122A8879"/>
    <w:lvl w:ilvl="0">
      <w:start w:val="1"/>
      <w:numFmt w:val="chineseCounting"/>
      <w:suff w:val="nothing"/>
      <w:lvlText w:val="（%1）"/>
      <w:lvlJc w:val="left"/>
      <w:rPr>
        <w:rFonts w:hint="eastAsia"/>
      </w:rPr>
    </w:lvl>
  </w:abstractNum>
  <w:abstractNum w:abstractNumId="3">
    <w:nsid w:val="1AA84F3C"/>
    <w:multiLevelType w:val="singleLevel"/>
    <w:tmpl w:val="1AA84F3C"/>
    <w:lvl w:ilvl="0">
      <w:start w:val="2"/>
      <w:numFmt w:val="chineseCounting"/>
      <w:suff w:val="nothing"/>
      <w:lvlText w:val="（%1）"/>
      <w:lvlJc w:val="left"/>
      <w:rPr>
        <w:rFonts w:hint="eastAsia"/>
      </w:rPr>
    </w:lvl>
  </w:abstractNum>
  <w:abstractNum w:abstractNumId="4">
    <w:nsid w:val="23DAE8CE"/>
    <w:multiLevelType w:val="singleLevel"/>
    <w:tmpl w:val="23DAE8CE"/>
    <w:lvl w:ilvl="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291808"/>
    <w:rsid w:val="003210AC"/>
    <w:rsid w:val="003349E5"/>
    <w:rsid w:val="00491B22"/>
    <w:rsid w:val="0052390C"/>
    <w:rsid w:val="04FF7290"/>
    <w:rsid w:val="0A854335"/>
    <w:rsid w:val="23820D9E"/>
    <w:rsid w:val="26D84AAA"/>
    <w:rsid w:val="2E3854E3"/>
    <w:rsid w:val="34D34D13"/>
    <w:rsid w:val="37DF2D46"/>
    <w:rsid w:val="46BC5526"/>
    <w:rsid w:val="4DFE69AF"/>
    <w:rsid w:val="4E2A439E"/>
    <w:rsid w:val="52D024D7"/>
    <w:rsid w:val="5B1C2ACD"/>
    <w:rsid w:val="6F075675"/>
    <w:rsid w:val="7D3E2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10AC"/>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rsid w:val="003210AC"/>
    <w:pPr>
      <w:ind w:leftChars="200" w:left="200" w:hangingChars="200" w:hanging="200"/>
    </w:pPr>
  </w:style>
  <w:style w:type="paragraph" w:styleId="a4">
    <w:name w:val="Body Text"/>
    <w:basedOn w:val="a"/>
    <w:uiPriority w:val="99"/>
    <w:qFormat/>
    <w:rsid w:val="003210AC"/>
    <w:pPr>
      <w:spacing w:beforeLines="30"/>
    </w:pPr>
    <w:rPr>
      <w:rFonts w:ascii="仿宋_GB2312" w:eastAsia="仿宋_GB2312"/>
      <w:kern w:val="0"/>
      <w:sz w:val="30"/>
    </w:rPr>
  </w:style>
  <w:style w:type="paragraph" w:styleId="a5">
    <w:name w:val="footer"/>
    <w:basedOn w:val="a"/>
    <w:link w:val="Char"/>
    <w:uiPriority w:val="99"/>
    <w:semiHidden/>
    <w:unhideWhenUsed/>
    <w:qFormat/>
    <w:rsid w:val="003210A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semiHidden/>
    <w:unhideWhenUsed/>
    <w:qFormat/>
    <w:rsid w:val="003210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6"/>
    <w:uiPriority w:val="99"/>
    <w:semiHidden/>
    <w:qFormat/>
    <w:rsid w:val="003210AC"/>
    <w:rPr>
      <w:sz w:val="18"/>
      <w:szCs w:val="18"/>
    </w:rPr>
  </w:style>
  <w:style w:type="character" w:customStyle="1" w:styleId="Char">
    <w:name w:val="页脚 Char"/>
    <w:basedOn w:val="a1"/>
    <w:link w:val="a5"/>
    <w:uiPriority w:val="99"/>
    <w:semiHidden/>
    <w:qFormat/>
    <w:rsid w:val="003210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487</Words>
  <Characters>2776</Characters>
  <Application>Microsoft Office Word</Application>
  <DocSecurity>0</DocSecurity>
  <Lines>23</Lines>
  <Paragraphs>6</Paragraphs>
  <ScaleCrop>false</ScaleCrop>
  <Company>Sky123.Org</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4</cp:revision>
  <dcterms:created xsi:type="dcterms:W3CDTF">2019-08-19T01:06:00Z</dcterms:created>
  <dcterms:modified xsi:type="dcterms:W3CDTF">2019-08-29T09:09:00Z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