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黑水县粮食局</w:t>
      </w:r>
    </w:p>
    <w:p>
      <w:pPr>
        <w:widowControl/>
        <w:spacing w:line="480" w:lineRule="atLeast"/>
        <w:ind w:firstLine="60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关于“三公”经费2019年决算情况说明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“三公”经费2019年决算情况如下：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2019年决算支出0.21万元，较2018年决算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增加0.21万元增长100%，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：上级部门来我县调研。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其中：国内公务接待费0.21万元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2019年决算支出6.32万元，较2018年决算增加53%。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w w:val="9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hAnsi="宋体" w:eastAsia="仿宋_GB2312" w:cs="宋体"/>
          <w:color w:val="333333"/>
          <w:w w:val="95"/>
          <w:kern w:val="0"/>
          <w:sz w:val="32"/>
          <w:szCs w:val="32"/>
        </w:rPr>
        <w:t xml:space="preserve"> 单位共有公务用车3辆，其中：越野车1辆，特种车2辆。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2019年安排公务用车运行维护费6.32万元。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主要用于领导因公出差、下乡等所需的公务用车燃料费、维修费、过路过桥费、保险费等支出。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黑水县粮食局财政拨款“三公”经费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2019年决算情况表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6.32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539FA"/>
    <w:rsid w:val="003C21FA"/>
    <w:rsid w:val="003F1AE8"/>
    <w:rsid w:val="0063103E"/>
    <w:rsid w:val="006E2521"/>
    <w:rsid w:val="007153A1"/>
    <w:rsid w:val="0078030B"/>
    <w:rsid w:val="00874DD1"/>
    <w:rsid w:val="0A965226"/>
    <w:rsid w:val="1D0B2F60"/>
    <w:rsid w:val="40D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2020-09-10T08:41:54Z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