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黑水县粮食局</w:t>
      </w:r>
      <w:r>
        <w:rPr>
          <w:rFonts w:hint="eastAsia" w:ascii="仿宋_GB2312" w:hAnsi="黑体" w:eastAsia="仿宋_GB2312" w:cs="方正小标宋简体"/>
          <w:b/>
          <w:sz w:val="32"/>
          <w:szCs w:val="32"/>
        </w:rPr>
        <w:t>2018年部门整体支出绩效评价报告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一、单位概况</w:t>
      </w:r>
    </w:p>
    <w:p>
      <w:pPr>
        <w:snapToGrid w:val="0"/>
        <w:spacing w:line="560" w:lineRule="exact"/>
        <w:ind w:firstLine="643" w:firstLineChars="200"/>
        <w:rPr>
          <w:rFonts w:hint="eastAsia" w:ascii="楷体" w:hAnsi="楷体" w:eastAsia="楷体" w:cs="仿宋"/>
          <w:b/>
          <w:sz w:val="32"/>
          <w:szCs w:val="32"/>
        </w:rPr>
      </w:pPr>
      <w:r>
        <w:rPr>
          <w:rFonts w:hint="eastAsia" w:ascii="楷体" w:hAnsi="楷体" w:eastAsia="楷体" w:cs="仿宋"/>
          <w:b/>
          <w:sz w:val="32"/>
          <w:szCs w:val="32"/>
        </w:rPr>
        <w:t>（一）机构组成</w:t>
      </w:r>
    </w:p>
    <w:p>
      <w:pPr>
        <w:snapToGrid w:val="0"/>
        <w:spacing w:line="360" w:lineRule="auto"/>
        <w:ind w:firstLine="482"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b/>
          <w:color w:val="333333"/>
          <w:sz w:val="24"/>
          <w:szCs w:val="24"/>
          <w:lang w:val="en-US" w:eastAsia="zh-CN"/>
        </w:rPr>
        <w:t xml:space="preserve">   </w:t>
      </w:r>
      <w:r>
        <w:rPr>
          <w:rFonts w:hint="eastAsia" w:ascii="仿宋" w:hAnsi="仿宋" w:eastAsia="仿宋" w:cs="仿宋"/>
          <w:color w:val="000000"/>
          <w:kern w:val="0"/>
          <w:sz w:val="30"/>
          <w:szCs w:val="30"/>
          <w:lang w:val="en-US" w:eastAsia="zh-CN" w:bidi="ar-SA"/>
        </w:rPr>
        <w:t xml:space="preserve"> 黑水县粮食局是属于独立核算一级单位。内设机构5个股室。包括有办公室、财务室、检测检验室、综合业务股、行政执法股。</w:t>
      </w:r>
    </w:p>
    <w:p>
      <w:pPr>
        <w:numPr>
          <w:ilvl w:val="0"/>
          <w:numId w:val="1"/>
        </w:numPr>
        <w:snapToGrid w:val="0"/>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机构职能</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本单位是贯彻执行国家、地方的有关粮食工作方针、政策，制定粮食行业发展规划、年度计划并组织实施的政府组成部门。根据州委、州政府关于2018年全州工作的总体部署.</w:t>
      </w:r>
    </w:p>
    <w:p>
      <w:pPr>
        <w:snapToGrid w:val="0"/>
        <w:spacing w:line="56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（三）人员概况</w:t>
      </w:r>
    </w:p>
    <w:p>
      <w:pPr>
        <w:snapToGrid w:val="0"/>
        <w:spacing w:line="360" w:lineRule="auto"/>
        <w:ind w:firstLine="600" w:firstLineChars="200"/>
        <w:jc w:val="left"/>
        <w:rPr>
          <w:rFonts w:hint="default"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黑水县粮食局公室总编制13名，其中：行政编制（参照公务员管理）11名，工勤2名。在职人员总数12人，其中：行政人员（参照公务员管理）10人；行政工勤2人。</w:t>
      </w:r>
    </w:p>
    <w:p>
      <w:pPr>
        <w:spacing w:line="560" w:lineRule="exact"/>
        <w:ind w:firstLine="600" w:firstLineChars="200"/>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二、部门财政资金收支情况</w:t>
      </w:r>
    </w:p>
    <w:p>
      <w:pPr>
        <w:spacing w:line="560" w:lineRule="exact"/>
        <w:ind w:firstLine="750" w:firstLineChars="250"/>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（一）部门财政资金收入情况</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收入与预算对比分析：本单位2018年年初预算安排收入186.55万元，本年实际收入366.53万元，本年实际收入与年初预算增加179.98元。差异主要原因是：本年工资、五险一金基数、人员经费增加；印刷、制作等费用增加。</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2．本年收入与上年收入的对比分析</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本年度实际收入366.53万元，比上年度收入574.56万元，减少了208.03万元。主要原因是：厉行节约。</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3．本年收入结构分析：本年收入366.53万元，其中财政拨款收入366.53万元，占本年收入的100%。</w:t>
      </w:r>
    </w:p>
    <w:p>
      <w:pPr>
        <w:widowControl/>
        <w:adjustRightInd w:val="0"/>
        <w:snapToGrid w:val="0"/>
        <w:spacing w:line="360" w:lineRule="auto"/>
        <w:ind w:firstLine="72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（二）部门财政资金支出情况</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支出与预算对比分析：本年预算支出186.55万元，本年决算数支出366.53万元，本年实际支出比预算支出增加179.98万元。实际支出增加主要原因是本年工资、五险一金基数、人员经费增加；印刷、制作等费用增加。</w:t>
      </w:r>
    </w:p>
    <w:p>
      <w:pPr>
        <w:snapToGrid w:val="0"/>
        <w:spacing w:line="240" w:lineRule="auto"/>
        <w:ind w:firstLine="300" w:firstLineChars="1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2．本年支出与上年支出的对比分析: 本年度实际支出366.53万元，比上年度574.56万元，减少了208.03万元,差异原因主要是厉行节约。</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3.本年支出结构分析: 本年支出366.53万元，按资金来源分析：其中财政拨款支出366.53万元，占本年总支出的100%，按支出性质分析：基本支出248.33万元，占本年总支出的64.48%,项目支出118.20万元,占本年总支出的35.52%；按支出经济分类：工资福利支出222.65万元，占本年支出89.66%，商品和服务支出15.61万元，占本年支出6.28%，对个人和家庭的补助10.07万元，占本年支4.06%。</w:t>
      </w:r>
    </w:p>
    <w:p>
      <w:pPr>
        <w:spacing w:line="580" w:lineRule="exact"/>
        <w:ind w:firstLine="602" w:firstLineChars="200"/>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三、部门整体预算绩效管理情况（根据适用指标体系进行调整）</w:t>
      </w:r>
    </w:p>
    <w:p>
      <w:pPr>
        <w:spacing w:line="58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（一）部门预算管理。</w:t>
      </w:r>
    </w:p>
    <w:p>
      <w:pPr>
        <w:spacing w:line="58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包括部门绩效目标制定、目标完成、预算编制准确、支出控制、预算动态调整、执行进度、预算完成情况和违规记录等情况。</w:t>
      </w:r>
    </w:p>
    <w:p>
      <w:pPr>
        <w:snapToGrid w:val="0"/>
        <w:spacing w:line="560" w:lineRule="exact"/>
        <w:ind w:firstLine="600" w:firstLineChars="200"/>
        <w:jc w:val="left"/>
        <w:rPr>
          <w:rFonts w:hint="eastAsia" w:ascii="仿宋" w:hAnsi="仿宋" w:eastAsia="仿宋" w:cs="仿宋"/>
          <w:color w:val="auto"/>
          <w:sz w:val="30"/>
          <w:szCs w:val="30"/>
          <w:shd w:val="clear" w:color="auto" w:fill="auto"/>
        </w:rPr>
      </w:pPr>
      <w:r>
        <w:rPr>
          <w:rFonts w:hint="eastAsia" w:ascii="仿宋" w:hAnsi="仿宋" w:eastAsia="仿宋" w:cs="仿宋"/>
          <w:color w:val="000000" w:themeColor="text1"/>
          <w:sz w:val="30"/>
          <w:szCs w:val="30"/>
          <w:shd w:val="clear" w:color="auto" w:fill="auto"/>
        </w:rPr>
        <w:t>严格按照州、县预算编制要求，按时完成了基础信息、项目</w:t>
      </w:r>
      <w:r>
        <w:rPr>
          <w:rFonts w:hint="eastAsia" w:ascii="仿宋" w:hAnsi="仿宋" w:eastAsia="仿宋" w:cs="仿宋"/>
          <w:color w:val="auto"/>
          <w:sz w:val="30"/>
          <w:szCs w:val="30"/>
          <w:shd w:val="clear" w:color="auto" w:fill="auto"/>
        </w:rPr>
        <w:t>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（二）专项预算管理。</w:t>
      </w:r>
    </w:p>
    <w:p>
      <w:pPr>
        <w:spacing w:line="58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包括专项预算项目程序严密、规划合理、结果符合、分配科学、分配及时、专项预算绩效目标完成、实施绩效、违规记录等情况。</w:t>
      </w:r>
    </w:p>
    <w:p>
      <w:pPr>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themeColor="text1"/>
          <w:sz w:val="30"/>
          <w:szCs w:val="30"/>
        </w:rPr>
        <w:t>资产管理做到正确核算，加强固定</w:t>
      </w:r>
      <w:r>
        <w:rPr>
          <w:rFonts w:hint="eastAsia" w:ascii="仿宋" w:hAnsi="仿宋" w:eastAsia="仿宋" w:cs="仿宋"/>
          <w:color w:val="000000"/>
          <w:sz w:val="30"/>
          <w:szCs w:val="30"/>
        </w:rPr>
        <w:t>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通过县巡查组巡查组，本单位无违规记录</w:t>
      </w:r>
    </w:p>
    <w:p>
      <w:pPr>
        <w:spacing w:line="58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（三）结果应用情况。</w:t>
      </w:r>
    </w:p>
    <w:p>
      <w:pPr>
        <w:pStyle w:val="5"/>
        <w:shd w:val="clear" w:color="auto" w:fill="FFFFFF"/>
        <w:spacing w:before="0" w:beforeAutospacing="0" w:after="0" w:afterAutospacing="0" w:line="560" w:lineRule="exact"/>
        <w:ind w:firstLine="600" w:firstLineChars="200"/>
        <w:rPr>
          <w:rFonts w:hint="eastAsia" w:ascii="仿宋" w:hAnsi="仿宋" w:eastAsia="仿宋" w:cs="仿宋"/>
          <w:color w:val="C0504D" w:themeColor="accent2"/>
          <w:sz w:val="30"/>
          <w:szCs w:val="30"/>
        </w:rPr>
      </w:pPr>
      <w:r>
        <w:rPr>
          <w:rFonts w:hint="eastAsia" w:ascii="仿宋" w:hAnsi="仿宋" w:eastAsia="仿宋" w:cs="仿宋"/>
          <w:color w:val="000000"/>
          <w:sz w:val="30"/>
          <w:szCs w:val="30"/>
          <w:lang w:val="en-US" w:eastAsia="zh-CN"/>
        </w:rPr>
        <w:t>本年本单位在执行公务过程中</w:t>
      </w:r>
      <w:r>
        <w:rPr>
          <w:rFonts w:hint="eastAsia" w:ascii="仿宋" w:hAnsi="仿宋" w:eastAsia="仿宋" w:cs="仿宋"/>
          <w:color w:val="000000"/>
          <w:sz w:val="30"/>
          <w:szCs w:val="30"/>
        </w:rPr>
        <w:t>严格执行“厉行节约、反对浪费”的规定，严格控制“三公”经费支出，加强公务用车管理，努力降低燃修费用。</w:t>
      </w:r>
    </w:p>
    <w:p>
      <w:pPr>
        <w:pStyle w:val="5"/>
        <w:shd w:val="clear" w:color="auto" w:fill="FFFFFF"/>
        <w:spacing w:before="0" w:beforeAutospacing="0" w:after="0" w:afterAutospacing="0" w:line="5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部门预算</w:t>
      </w:r>
      <w:r>
        <w:rPr>
          <w:rFonts w:hint="eastAsia" w:ascii="仿宋" w:hAnsi="仿宋" w:eastAsia="仿宋" w:cs="仿宋"/>
          <w:color w:val="000000"/>
          <w:sz w:val="30"/>
          <w:szCs w:val="30"/>
          <w:lang w:eastAsia="zh-CN"/>
        </w:rPr>
        <w:t>决算</w:t>
      </w:r>
      <w:r>
        <w:rPr>
          <w:rFonts w:hint="eastAsia" w:ascii="仿宋" w:hAnsi="仿宋" w:eastAsia="仿宋" w:cs="仿宋"/>
          <w:color w:val="000000"/>
          <w:sz w:val="30"/>
          <w:szCs w:val="30"/>
        </w:rPr>
        <w:t>在财政部门批复后及时填报预算公</w:t>
      </w:r>
      <w:r>
        <w:rPr>
          <w:rFonts w:hint="eastAsia" w:ascii="仿宋" w:hAnsi="仿宋" w:eastAsia="仿宋" w:cs="仿宋"/>
          <w:color w:val="000000"/>
          <w:sz w:val="30"/>
          <w:szCs w:val="30"/>
          <w:lang w:eastAsia="zh-CN"/>
        </w:rPr>
        <w:t>开资料、决算公开资料</w:t>
      </w:r>
      <w:r>
        <w:rPr>
          <w:rFonts w:hint="eastAsia" w:ascii="仿宋" w:hAnsi="仿宋" w:eastAsia="仿宋" w:cs="仿宋"/>
          <w:color w:val="000000"/>
          <w:sz w:val="30"/>
          <w:szCs w:val="30"/>
        </w:rPr>
        <w:t>报表报财政审核</w:t>
      </w:r>
      <w:r>
        <w:rPr>
          <w:rFonts w:hint="eastAsia" w:ascii="仿宋" w:hAnsi="仿宋" w:eastAsia="仿宋" w:cs="仿宋"/>
          <w:color w:val="000000"/>
          <w:sz w:val="30"/>
          <w:szCs w:val="30"/>
          <w:lang w:eastAsia="zh-CN"/>
        </w:rPr>
        <w:t>后</w:t>
      </w:r>
      <w:r>
        <w:rPr>
          <w:rFonts w:hint="eastAsia" w:ascii="仿宋" w:hAnsi="仿宋" w:eastAsia="仿宋" w:cs="仿宋"/>
          <w:color w:val="000000"/>
          <w:sz w:val="30"/>
          <w:szCs w:val="30"/>
        </w:rPr>
        <w:t>在政府信息公开网上公示。</w:t>
      </w:r>
    </w:p>
    <w:p>
      <w:pPr>
        <w:pStyle w:val="5"/>
        <w:shd w:val="clear" w:color="auto" w:fill="FFFFFF"/>
        <w:spacing w:before="0" w:beforeAutospacing="0" w:after="0" w:afterAutospacing="0" w:line="560" w:lineRule="exact"/>
        <w:ind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四、评价结论及建议 </w:t>
      </w:r>
    </w:p>
    <w:p>
      <w:pPr>
        <w:spacing w:line="560" w:lineRule="exact"/>
        <w:ind w:firstLine="645"/>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（一）评价结论</w:t>
      </w:r>
    </w:p>
    <w:p>
      <w:pPr>
        <w:spacing w:line="360" w:lineRule="auto"/>
        <w:ind w:firstLine="645"/>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5"/>
        <w:shd w:val="clear" w:color="auto" w:fill="FFFFFF"/>
        <w:spacing w:before="0" w:beforeAutospacing="0" w:after="0" w:afterAutospacing="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预算支出在保障本</w:t>
      </w:r>
      <w:r>
        <w:rPr>
          <w:rFonts w:hint="eastAsia" w:ascii="仿宋" w:hAnsi="仿宋" w:eastAsia="仿宋" w:cs="仿宋"/>
          <w:color w:val="000000"/>
          <w:sz w:val="30"/>
          <w:szCs w:val="30"/>
          <w:lang w:eastAsia="zh-CN"/>
        </w:rPr>
        <w:t>单位</w:t>
      </w:r>
      <w:r>
        <w:rPr>
          <w:rFonts w:hint="eastAsia" w:ascii="仿宋" w:hAnsi="仿宋" w:eastAsia="仿宋" w:cs="仿宋"/>
          <w:color w:val="000000"/>
          <w:sz w:val="30"/>
          <w:szCs w:val="30"/>
        </w:rPr>
        <w:t>工作运转、履行职能职责上整体情况良好。具体有：2018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360" w:lineRule="auto"/>
        <w:ind w:firstLine="645"/>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结合评价得分评价结果为良好。</w:t>
      </w:r>
    </w:p>
    <w:p>
      <w:pPr>
        <w:pStyle w:val="5"/>
        <w:shd w:val="clear" w:color="auto" w:fill="FFFFFF"/>
        <w:spacing w:before="0" w:beforeAutospacing="0" w:after="0" w:afterAutospacing="0" w:line="360" w:lineRule="auto"/>
        <w:ind w:firstLine="600" w:firstLineChars="200"/>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（二）存在问题</w:t>
      </w:r>
    </w:p>
    <w:p>
      <w:pPr>
        <w:pStyle w:val="5"/>
        <w:shd w:val="clear" w:color="auto" w:fill="FFFFFF"/>
        <w:spacing w:before="0" w:beforeAutospacing="0" w:after="0" w:afterAutospacing="0" w:line="360" w:lineRule="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预算编制不够精细。</w:t>
      </w:r>
    </w:p>
    <w:p>
      <w:pPr>
        <w:pStyle w:val="5"/>
        <w:shd w:val="clear" w:color="auto" w:fill="FFFFFF"/>
        <w:spacing w:before="0" w:beforeAutospacing="0" w:after="0" w:afterAutospacing="0" w:line="360" w:lineRule="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（三）改进建议 </w:t>
      </w:r>
    </w:p>
    <w:p>
      <w:pPr>
        <w:pStyle w:val="5"/>
        <w:shd w:val="clear" w:color="auto" w:fill="FFFFFF"/>
        <w:spacing w:before="0" w:beforeAutospacing="0" w:after="0" w:afterAutospacing="0" w:line="360" w:lineRule="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我们将进一步重视预算的编制工作，提高预算编制的精确度，提高财政资金使用效率，尽量减少预算执行调整、结转和结余注销的情形。 </w:t>
      </w:r>
    </w:p>
    <w:p>
      <w:pPr>
        <w:pStyle w:val="5"/>
        <w:shd w:val="clear" w:color="auto" w:fill="FFFFFF"/>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SA"/>
        </w:rPr>
        <w:t>　</w:t>
      </w:r>
    </w:p>
    <w:p>
      <w:pPr>
        <w:widowControl/>
        <w:jc w:val="left"/>
        <w:rPr>
          <w:rFonts w:hint="eastAsia" w:ascii="仿宋" w:hAnsi="仿宋" w:eastAsia="仿宋" w:cs="仿宋"/>
          <w:b w:val="0"/>
          <w:bCs/>
          <w:sz w:val="30"/>
          <w:szCs w:val="30"/>
          <w:lang w:eastAsia="zh-CN"/>
        </w:rPr>
      </w:pPr>
    </w:p>
    <w:p>
      <w:pPr>
        <w:widowControl/>
        <w:jc w:val="left"/>
        <w:rPr>
          <w:rFonts w:hint="eastAsia" w:ascii="仿宋" w:hAnsi="仿宋" w:eastAsia="仿宋" w:cs="仿宋"/>
          <w:b w:val="0"/>
          <w:bCs/>
          <w:sz w:val="30"/>
          <w:szCs w:val="30"/>
          <w:lang w:eastAsia="zh-CN"/>
        </w:rPr>
      </w:pPr>
    </w:p>
    <w:p>
      <w:pPr>
        <w:widowControl/>
        <w:jc w:val="left"/>
        <w:rPr>
          <w:rFonts w:hint="eastAsia" w:ascii="仿宋" w:hAnsi="仿宋" w:eastAsia="仿宋" w:cs="仿宋"/>
          <w:b w:val="0"/>
          <w:bCs/>
          <w:sz w:val="30"/>
          <w:szCs w:val="30"/>
          <w:lang w:eastAsia="zh-CN"/>
        </w:rPr>
      </w:pPr>
    </w:p>
    <w:p>
      <w:pPr>
        <w:widowControl/>
        <w:jc w:val="left"/>
        <w:rPr>
          <w:rFonts w:hint="eastAsia" w:ascii="仿宋" w:hAnsi="仿宋" w:eastAsia="仿宋" w:cs="仿宋"/>
          <w:b w:val="0"/>
          <w:bCs/>
          <w:sz w:val="30"/>
          <w:szCs w:val="30"/>
          <w:lang w:eastAsia="zh-CN"/>
        </w:rPr>
      </w:pPr>
    </w:p>
    <w:p>
      <w:pPr>
        <w:widowControl/>
        <w:ind w:firstLine="4800" w:firstLineChars="1600"/>
        <w:jc w:val="left"/>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黑水县粮食局</w:t>
      </w:r>
    </w:p>
    <w:p>
      <w:pPr>
        <w:widowControl/>
        <w:ind w:firstLine="4500" w:firstLineChars="1500"/>
        <w:jc w:val="lef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2019年9月9日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9B19D"/>
    <w:multiLevelType w:val="singleLevel"/>
    <w:tmpl w:val="9789B1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2E828FC"/>
    <w:rsid w:val="1C1D1875"/>
    <w:rsid w:val="2CF964DF"/>
    <w:rsid w:val="319C7519"/>
    <w:rsid w:val="31B13BCD"/>
    <w:rsid w:val="31C15B64"/>
    <w:rsid w:val="41BD2A49"/>
    <w:rsid w:val="42D2123F"/>
    <w:rsid w:val="674158C5"/>
    <w:rsid w:val="6EF94CAD"/>
    <w:rsid w:val="72C67EB0"/>
    <w:rsid w:val="78D3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kern w:val="0"/>
      <w:sz w:val="30"/>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4</TotalTime>
  <ScaleCrop>false</ScaleCrop>
  <LinksUpToDate>false</LinksUpToDate>
  <CharactersWithSpaces>359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2019-09-08T16:41:47Z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