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2021年知木林弼石村以工代赈项目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支出绩效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pStyle w:val="8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知木林镇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弼石村有土地和牧草资源优势，发展种养殖业有得天独厚的优势，该村立足“高半山特色农业”定位，着力打造种养殖业产业，发展药材种植和藏香猪养殖。积极调整产业结构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聚焦产业发展基础和优势特色，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在上级部门的指导关心下新建黑水县2021年财政预算内以工代赈项目（知木林镇弼石村）项目。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项目区土地集中连片，周边交通、通信设施较为完善，可满足项目实施需求。通过土地整理，预计可净增耕地17亩，占建设规模的5.1%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以工代赈项目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土地整理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建设规模350亩，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建设内容为土地整理、配套灌溉管网9.2公里、田间道路2.5公里、挡土墙约2400m³和配套设施（项目公示牌、沤粪池、农膜回收池、围栏等）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本项目是围绕脱贫攻坚及各项农村基础设施建设进行的，使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以工代赈项目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顺利实施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，符合当地发展需求，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巩固</w:t>
      </w:r>
      <w:r>
        <w:rPr>
          <w:rFonts w:hint="eastAsia" w:ascii="仿宋_GB2312" w:hAnsi="仿宋" w:cs="仿宋_GB2312"/>
          <w:sz w:val="32"/>
          <w:szCs w:val="32"/>
          <w:lang w:eastAsia="zh-CN"/>
        </w:rPr>
        <w:t>脱贫攻坚胜利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" w:cs="仿宋_GB2312"/>
          <w:sz w:val="32"/>
          <w:szCs w:val="32"/>
          <w:lang w:eastAsia="zh-CN"/>
        </w:rPr>
        <w:t>提供坚实基础及保障。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</w:t>
      </w:r>
    </w:p>
    <w:p>
      <w:pPr>
        <w:ind w:firstLine="643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本项目是围绕脱贫攻坚及各项农村基础设施建设进行的，使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以工代赈项目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顺利实施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，符合当地发展需求，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巩固</w:t>
      </w:r>
      <w:r>
        <w:rPr>
          <w:rFonts w:hint="eastAsia" w:ascii="仿宋_GB2312" w:hAnsi="仿宋" w:cs="仿宋_GB2312"/>
          <w:sz w:val="32"/>
          <w:szCs w:val="32"/>
          <w:lang w:eastAsia="zh-CN"/>
        </w:rPr>
        <w:t>脱贫攻坚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" w:cs="仿宋_GB2312"/>
          <w:sz w:val="32"/>
          <w:szCs w:val="32"/>
          <w:lang w:eastAsia="zh-CN"/>
        </w:rPr>
        <w:t>提供坚实基础及保障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2021年县财政下达衔接资金306万元，用于知木林镇弼石村以工代赈项目建设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2021年度顺利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完成指标值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，共拨付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知木林镇弼石村以工代赈项目资金</w:t>
      </w:r>
      <w:bookmarkStart w:id="2" w:name="_GoBack"/>
      <w:bookmarkEnd w:id="2"/>
      <w:r>
        <w:rPr>
          <w:rFonts w:hint="eastAsia" w:ascii="仿宋_GB2312" w:hAnsi="仿宋" w:cs="仿宋_GB2312"/>
          <w:sz w:val="32"/>
          <w:szCs w:val="32"/>
          <w:lang w:val="en-US" w:eastAsia="zh-CN"/>
        </w:rPr>
        <w:t>298.70万元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项目的投资控制着重是在承发包阶段和施工阶段采取有效措施，随时纠正发生的偏差，把工程造价的发生控制在批准的造价限额以内，以求在工程项目建设中取得较好的投资效益和社会效益。项目建设过程中，首先确定造价控制目标，制定工程费用支出计划并付诸实施，在计划执行过程中对其进行跟踪检查，收集有关反映费用支出的数据，将实际费用支出额与计划费用支出额进行比较，发现实际支出额与计划支出额之间的偏差，并分析产生偏差的原因，采取有效措施加以控制，以保证造价控制目标的实现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主要工作有：负责工程所需资金的筹措与拨付；负责资金使用的监管；负责项目投资管理，对项目投资控制，确保项目投资控制在造价限额以内，以保证造价控制目标的实现。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3、项目绩效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  <w:t>（1）经济效益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Calibri" w:hAnsi="Calibri" w:eastAsia="仿宋_GB2312" w:cs="Calibri"/>
          <w:b/>
          <w:bCs w:val="0"/>
          <w:color w:val="000000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eastAsia="zh-CN"/>
        </w:rPr>
        <w:t>增加村民收入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理论上该项目可以利用工程受益区一般劳动力2700工日，合计可以发放劳动报酬54万元，占总投资的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%。实际运用当地村民承担一般劳务工作的比例，按理论计算结果的83.3%保守估算，当地村民因此可以获取的劳动报酬约45万元。具有较为明显的增收效果。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_GB2312" w:cs="Calibri"/>
          <w:b/>
          <w:bCs w:val="0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提供短期就业岗位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本工程可以利用工程受益区一般劳动力2700工日，按照工程的施工组织设计要求，整个施工期间，工地应保留45名一般劳动力。本工程施工期为2个月，也就是说，在2个月施工期内，本工程可以提供短期就业岗位45个，可带动部分劳动力在疫情期间短期就业，并按照市场用工要求进行管理发放薪酬，人均预计可达10000元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  <w:t>（2）社会效益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_GB2312" w:cs="Calibri"/>
          <w:b/>
          <w:bCs w:val="0"/>
          <w:color w:val="000000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加有效利用面积，提高土地利用率</w:t>
      </w:r>
    </w:p>
    <w:p>
      <w:pPr>
        <w:pageBreakBefore w:val="0"/>
        <w:tabs>
          <w:tab w:val="left" w:pos="221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项目完成后，将有效改善该村人居环境条件，继续巩固脱贫成效，增加土地利用面积，减少贫困人口农业生产成本，提高农作物产量，增加了贫困人口收入，提升了脱贫稳定性。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_GB2312" w:cs="Calibri"/>
          <w:b/>
          <w:bCs w:val="0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提高耕地质量，增加耕地产出率</w:t>
      </w:r>
    </w:p>
    <w:p>
      <w:pPr>
        <w:pageBreakBefore w:val="0"/>
        <w:tabs>
          <w:tab w:val="left" w:pos="221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本项目实施以后，土地得到平整，土壤得到改良，水利设施配套完善，区内所有的耕地将加厚土层；再配套上灌溉及肥水一体化设施，耕地质量将得到全面提高，从而增加耕地产出率。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  <w:t>（3）生态效益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_GB2312" w:cs="Calibri"/>
          <w:b/>
          <w:bCs w:val="0"/>
          <w:color w:val="00000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降低风害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/>
        </w:rPr>
        <w:t>沿项目区规划道路单侧向阳处布置耕地防护林，可以提高植被覆盖率，从而降低 风害影响，建成优良的农业生态环境系统</w:t>
      </w:r>
      <w:bookmarkStart w:id="0" w:name="_Toc14775"/>
      <w:bookmarkStart w:id="1" w:name="_Toc5916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_GB2312" w:cs="Calibri"/>
          <w:b/>
          <w:bCs w:val="0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控制水土污染</w:t>
      </w:r>
      <w:bookmarkEnd w:id="0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/>
        </w:rPr>
        <w:t>项目建成后，在项目区内大力推广使用有机肥料、生物肥料和生物农药，尽可能地减少化肥和剧毒农药的使用，从而控制水土污染，保护耕地生态环境。通过土地平整、配套耕地水利等措施，减少项目区内的地表径流量，提高项目区林木的水土涵养能力和土壤的蓄水能力，有效地减少和防止水土流失，改善生态环境。通过土地整理提高了项目区内耕地的质量，可以减少化学肥料的使用；土地整理项目可明显改善生态环境，有利于减少病虫害对农作物的危害程度，可减少农药的使用，有利于进一步改善生态环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根据资金文件要求，做到专款专用，及时拨付资金。群众满意度达100%。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100E7646"/>
    <w:rsid w:val="12282338"/>
    <w:rsid w:val="137D30BD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90DE3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3F4B5CEC"/>
    <w:rsid w:val="40CF3803"/>
    <w:rsid w:val="41085735"/>
    <w:rsid w:val="42991C74"/>
    <w:rsid w:val="43FF22E4"/>
    <w:rsid w:val="44AC2F3E"/>
    <w:rsid w:val="46D74E0F"/>
    <w:rsid w:val="489F1B09"/>
    <w:rsid w:val="491227F0"/>
    <w:rsid w:val="49D272E9"/>
    <w:rsid w:val="4CBF62A7"/>
    <w:rsid w:val="4FDF12ED"/>
    <w:rsid w:val="56672E63"/>
    <w:rsid w:val="57F85919"/>
    <w:rsid w:val="5ACF32C8"/>
    <w:rsid w:val="5DEA3A96"/>
    <w:rsid w:val="5DFC2EA5"/>
    <w:rsid w:val="5F4B137B"/>
    <w:rsid w:val="605A7FDE"/>
    <w:rsid w:val="61F15310"/>
    <w:rsid w:val="63E65DE1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F2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2020-06-30T08:13:00Z</dcterms:created>
  <dc:creator>Administrator</dc:creator>
  <cp:lastModifiedBy>Administrator</cp:lastModifiedBy>
  <cp:lastPrinted>2020-07-07T07:49:00Z</cp:lastPrinted>
  <dcterms:modified xsi:type="dcterms:W3CDTF">2022-08-16T08:06:04Z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7756D68833C54D90A2BAC21B0400B83C</vt:lpwstr>
  </property>
</Properties>
</file>