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2022上半年县级储备粮油补贴费用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  <w:bookmarkStart w:id="0" w:name="_GoBack"/>
      <w:bookmarkEnd w:id="0"/>
    </w:p>
    <w:p>
      <w:pPr>
        <w:pStyle w:val="8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《黑水县人民政府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关于同意建立县级储备粮食的批复》（黑府函〔20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〕90号）、《黑水县财政局关于县级储备粮食有关费用的通知》（黑财〔20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〕122号）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《黑水县人民政府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新增县级储备菜籽油储备规模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的批复》（黑府函〔20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号）、《黑水县财政局关于县级储备粮食有关费用的通知》（黑财〔20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黑水县发展和改革局关于调整县级储备粮费用补贴的请示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文件，拨付黑水县202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2上半年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县级储备粮油补贴费用项目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储备粮油补贴资金确保县级储备粮油小麦1100吨、菜籽油40吨，库存数量真实；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通过该笔资金提高储备粮油的保管质量；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确保县级储备粮小麦1100吨、菜籽油40吨的轮换（出入库）任务顺利完成；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县级储备粮油补贴资金保障了我县储备粮油安全，满足当地老百姓的生活需求，提高老百姓满意度。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本项目是围绕黑水县粮食储备安全进行的，使储备粮补贴资金项目顺利实施，符合当地发展需求，符合国家相关政策，为粮食安全提供坚实基础及保障。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项目实施后，有力促进了全县经济社会又好又快发展，取得了显著的经济效益、社会效益和生态效益</w:t>
      </w:r>
      <w:r>
        <w:rPr>
          <w:rFonts w:hint="eastAsia" w:ascii="仿宋_GB2312" w:hAnsi="宋体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ind w:firstLine="643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本项目是围绕黑水县粮食储备安全进行的，使储备粮补贴资金项目顺利实施，符合当地发展需求，符合国家相关政策，为粮食安全提供坚实基础及保障。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2022年县财政安排202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2上半年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年县级储备粮油补贴资金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40.39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根据黑水县储备粮管理办法，此笔储备粮补贴资金实行封闭运行、专款专用、保障基本、安全适用原则，确保资金规范使用。该项目资金严格按照国家粮食储备相关政策、黑水县储备粮管理办法项目工作流程实施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通过储备粮油补贴资金确保县级储备粮油小麦1100吨、菜籽油40吨数量库存真实；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提高储备粮油的保管质量；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确保县级储备粮油小麦1100吨、菜籽油40吨的轮换（出入库）任务顺利完成；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县级储备粮油补贴资金保障我县储备粮油安全，满足当地老百姓的生活需求，提高老百姓满意度。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根据储备粮油管理办法及资金文件要求，做到专款专用，及时拨付资金，资金拨付率100%，群众满意度达100%。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DVmZmQ0ODYyOTRmNjFlMzhiYzE4NzdmZjJjYTA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100E7646"/>
    <w:rsid w:val="12282338"/>
    <w:rsid w:val="137D30BD"/>
    <w:rsid w:val="14D678DA"/>
    <w:rsid w:val="161E1D8F"/>
    <w:rsid w:val="1A6874EB"/>
    <w:rsid w:val="1A73286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07894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41085735"/>
    <w:rsid w:val="42991C74"/>
    <w:rsid w:val="42CD6211"/>
    <w:rsid w:val="43FF22E4"/>
    <w:rsid w:val="44AC2F3E"/>
    <w:rsid w:val="46D74E0F"/>
    <w:rsid w:val="489F1B09"/>
    <w:rsid w:val="491227F0"/>
    <w:rsid w:val="49D272E9"/>
    <w:rsid w:val="4CBF62A7"/>
    <w:rsid w:val="4FDF12ED"/>
    <w:rsid w:val="57F85919"/>
    <w:rsid w:val="5ACF32C8"/>
    <w:rsid w:val="5DEA3A96"/>
    <w:rsid w:val="5DFC2EA5"/>
    <w:rsid w:val="5F4B137B"/>
    <w:rsid w:val="605A7FDE"/>
    <w:rsid w:val="61F15310"/>
    <w:rsid w:val="63E65DE1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536C0C"/>
    <w:rsid w:val="7CB85C6D"/>
    <w:rsid w:val="7F2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1049</Words>
  <Characters>1109</Characters>
  <Lines>9</Lines>
  <Paragraphs>2</Paragraphs>
  <TotalTime>0</TotalTime>
  <ScaleCrop>false</ScaleCrop>
  <LinksUpToDate>false</LinksUpToDate>
  <CharactersWithSpaces>1111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2020-06-30T08:13:00Z</dcterms:created>
  <dc:creator>Administrator</dc:creator>
  <cp:lastModifiedBy>杨雪</cp:lastModifiedBy>
  <cp:lastPrinted>2020-07-07T07:49:00Z</cp:lastPrinted>
  <dcterms:modified xsi:type="dcterms:W3CDTF">2023-08-22T02:19:10Z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7756D68833C54D90A2BAC21B0400B83C</vt:lpwstr>
  </property>
</Properties>
</file>