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8095E3">
      <w:pPr>
        <w:spacing w:line="600" w:lineRule="exact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</w:pPr>
      <w:bookmarkStart w:id="0" w:name="_Toc15396616"/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  <w:t>黑水县价格认证中心</w:t>
      </w:r>
    </w:p>
    <w:p w14:paraId="7B00BEC0">
      <w:pPr>
        <w:spacing w:line="600" w:lineRule="exact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20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24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年部门整体支出绩效评价报告</w:t>
      </w:r>
      <w:bookmarkEnd w:id="0"/>
    </w:p>
    <w:p w14:paraId="1E726DB0">
      <w:pPr>
        <w:spacing w:line="580" w:lineRule="exact"/>
        <w:ind w:firstLine="643" w:firstLineChars="200"/>
        <w:rPr>
          <w:rFonts w:ascii="仿宋_GB2312" w:hAnsi="黑体" w:eastAsia="仿宋_GB2312" w:cs="黑体"/>
          <w:b/>
          <w:sz w:val="32"/>
          <w:szCs w:val="32"/>
        </w:rPr>
      </w:pPr>
    </w:p>
    <w:p w14:paraId="3CB2411C">
      <w:pPr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一、单位概况</w:t>
      </w:r>
    </w:p>
    <w:p w14:paraId="093F29E7">
      <w:pPr>
        <w:spacing w:line="580" w:lineRule="exact"/>
        <w:ind w:firstLine="643" w:firstLineChars="200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（一）机构组成。</w:t>
      </w:r>
    </w:p>
    <w:p w14:paraId="7117D24C">
      <w:pPr>
        <w:spacing w:line="58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  <w:lang w:eastAsia="zh-CN"/>
        </w:rPr>
        <w:t>黑水县价格认证中心</w:t>
      </w:r>
      <w:r>
        <w:rPr>
          <w:rFonts w:hint="eastAsia" w:ascii="仿宋_GB2312" w:hAnsi="黑体" w:eastAsia="仿宋_GB2312" w:cs="黑体"/>
          <w:sz w:val="32"/>
          <w:szCs w:val="32"/>
        </w:rPr>
        <w:t>属</w:t>
      </w:r>
      <w:r>
        <w:rPr>
          <w:rFonts w:hint="eastAsia" w:ascii="仿宋_GB2312" w:hAnsi="黑体" w:eastAsia="仿宋_GB2312" w:cs="黑体"/>
          <w:sz w:val="32"/>
          <w:szCs w:val="32"/>
          <w:lang w:eastAsia="zh-CN"/>
        </w:rPr>
        <w:t>事业</w:t>
      </w:r>
      <w:r>
        <w:rPr>
          <w:rFonts w:hint="eastAsia" w:ascii="仿宋_GB2312" w:hAnsi="黑体" w:eastAsia="仿宋_GB2312" w:cs="黑体"/>
          <w:sz w:val="32"/>
          <w:szCs w:val="32"/>
        </w:rPr>
        <w:t>单位</w:t>
      </w:r>
      <w:r>
        <w:rPr>
          <w:rFonts w:hint="eastAsia" w:ascii="仿宋_GB2312" w:hAnsi="黑体" w:eastAsia="仿宋_GB2312" w:cs="黑体"/>
          <w:sz w:val="32"/>
          <w:szCs w:val="32"/>
          <w:lang w:eastAsia="zh-CN"/>
        </w:rPr>
        <w:t>，无二级预算单位</w:t>
      </w:r>
      <w:r>
        <w:rPr>
          <w:rFonts w:hint="eastAsia" w:ascii="仿宋_GB2312" w:hAnsi="黑体" w:eastAsia="仿宋_GB2312" w:cs="黑体"/>
          <w:sz w:val="32"/>
          <w:szCs w:val="32"/>
        </w:rPr>
        <w:t>。</w:t>
      </w:r>
    </w:p>
    <w:p w14:paraId="6831091C">
      <w:pPr>
        <w:spacing w:line="58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  <w:lang w:eastAsia="zh-CN"/>
        </w:rPr>
        <w:t>黑水县价格认证中心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1</w:t>
      </w:r>
      <w:r>
        <w:rPr>
          <w:rFonts w:hint="eastAsia" w:ascii="仿宋_GB2312" w:hAnsi="黑体" w:eastAsia="仿宋_GB2312" w:cs="黑体"/>
          <w:sz w:val="32"/>
          <w:szCs w:val="32"/>
        </w:rPr>
        <w:t>个内设机构：</w:t>
      </w:r>
      <w:r>
        <w:rPr>
          <w:rFonts w:hint="eastAsia" w:ascii="仿宋_GB2312" w:hAnsi="黑体" w:eastAsia="仿宋_GB2312" w:cs="黑体"/>
          <w:sz w:val="32"/>
          <w:szCs w:val="32"/>
          <w:lang w:eastAsia="zh-CN"/>
        </w:rPr>
        <w:t>价格认证中心</w:t>
      </w:r>
      <w:r>
        <w:rPr>
          <w:rFonts w:hint="eastAsia" w:ascii="仿宋_GB2312" w:hAnsi="黑体" w:eastAsia="仿宋_GB2312" w:cs="黑体"/>
          <w:sz w:val="32"/>
          <w:szCs w:val="32"/>
        </w:rPr>
        <w:t>。</w:t>
      </w:r>
    </w:p>
    <w:p w14:paraId="0CF18A16">
      <w:pPr>
        <w:numPr>
          <w:ilvl w:val="0"/>
          <w:numId w:val="1"/>
        </w:numPr>
        <w:spacing w:line="580" w:lineRule="exact"/>
        <w:ind w:firstLine="643" w:firstLineChars="200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机构职能。</w:t>
      </w:r>
    </w:p>
    <w:p w14:paraId="64CB4525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pacing w:line="360" w:lineRule="auto"/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本单位是财政全额拨款的政府组成部门。根据州委、州政府关于</w:t>
      </w:r>
      <w:r>
        <w:rPr>
          <w:rFonts w:hint="eastAsia" w:ascii="仿宋_GB2312" w:eastAsia="仿宋_GB2312"/>
          <w:sz w:val="32"/>
          <w:szCs w:val="32"/>
          <w:lang w:eastAsia="zh-CN"/>
        </w:rPr>
        <w:t>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/>
          <w:sz w:val="32"/>
          <w:szCs w:val="32"/>
        </w:rPr>
        <w:t>年全州工作的总体部署，</w:t>
      </w:r>
      <w:r>
        <w:rPr>
          <w:rFonts w:hint="eastAsia" w:ascii="仿宋_GB2312" w:eastAsia="仿宋_GB2312"/>
          <w:sz w:val="32"/>
          <w:szCs w:val="32"/>
          <w:lang w:eastAsia="zh-CN"/>
        </w:rPr>
        <w:t>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/>
          <w:sz w:val="32"/>
          <w:szCs w:val="32"/>
        </w:rPr>
        <w:t xml:space="preserve">年主要工作是: </w:t>
      </w:r>
    </w:p>
    <w:p w14:paraId="7E67BAA9">
      <w:pPr>
        <w:pStyle w:val="2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ind w:left="0" w:leftChars="0" w:firstLine="640" w:firstLineChars="200"/>
        <w:rPr>
          <w:rFonts w:hint="eastAsia" w:ascii="仿宋_GB2312" w:hAnsi="Times New Roman" w:eastAsia="仿宋_GB2312" w:cs="Times New Roman"/>
          <w:sz w:val="32"/>
        </w:rPr>
      </w:pPr>
      <w:r>
        <w:rPr>
          <w:rFonts w:hint="eastAsia" w:ascii="仿宋_GB2312" w:hAnsi="ˎ̥" w:eastAsia="仿宋_GB2312" w:cs="Arial"/>
          <w:sz w:val="32"/>
          <w:szCs w:val="32"/>
        </w:rPr>
        <w:t>对刑事、民事、行政、经济等案件中的涉案标的进行价格认定；对各类有形、无形资产、各种商品和服务价格认证，对中介价格评估机构的结论进行认证，对价格纠纷进行调解；开展各类价格咨询，成本调查；完成局分配的有关价格管理方面的事务性工作任务。</w:t>
      </w:r>
      <w:r>
        <w:rPr>
          <w:rFonts w:hint="eastAsia" w:ascii="仿宋_GB2312" w:hAnsi="Times New Roman" w:eastAsia="仿宋_GB2312" w:cs="Times New Roman"/>
          <w:sz w:val="32"/>
        </w:rPr>
        <w:t xml:space="preserve"> </w:t>
      </w:r>
    </w:p>
    <w:p w14:paraId="6888BB25">
      <w:pPr>
        <w:spacing w:line="580" w:lineRule="exact"/>
        <w:ind w:firstLine="643" w:firstLineChars="200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（三）人员概况。</w:t>
      </w:r>
    </w:p>
    <w:p w14:paraId="06BBD728">
      <w:pPr>
        <w:keepNext w:val="0"/>
        <w:keepLines w:val="0"/>
        <w:pageBreakBefore w:val="0"/>
        <w:widowControl w:val="0"/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outlineLvl w:val="2"/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黑水县价格认证中心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单位总编制</w:t>
      </w: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19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名，其中：事业</w:t>
      </w: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编19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名。在职人员总数</w:t>
      </w: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25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人，</w:t>
      </w: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事业人员25名。</w:t>
      </w:r>
    </w:p>
    <w:p w14:paraId="08AAED9E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outlineLvl w:val="2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二、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部门财政资金收支情况</w:t>
      </w:r>
    </w:p>
    <w:p w14:paraId="652B1A6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60" w:lineRule="exact"/>
        <w:ind w:firstLine="321" w:firstLineChars="100"/>
        <w:textAlignment w:val="auto"/>
        <w:outlineLvl w:val="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部门财政资金收入情况。</w:t>
      </w:r>
    </w:p>
    <w:p w14:paraId="1419DF2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outlineLvl w:val="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2024年，本年收入411.40万元，较2023年增加201.17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万元，</w:t>
      </w:r>
      <w:r>
        <w:rPr>
          <w:rFonts w:hint="eastAsia" w:ascii="仿宋_GB2312" w:hAnsi="仿宋_GB2312" w:eastAsia="仿宋_GB2312" w:cs="仿宋_GB2312"/>
          <w:sz w:val="32"/>
          <w:szCs w:val="32"/>
        </w:rPr>
        <w:t>基本支出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增加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201.02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项目支出增加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0.15万元，</w:t>
      </w:r>
      <w:r>
        <w:rPr>
          <w:rFonts w:hint="eastAsia" w:ascii="仿宋_GB2312" w:hAnsi="仿宋_GB2312" w:eastAsia="仿宋_GB2312" w:cs="仿宋_GB2312"/>
          <w:sz w:val="32"/>
          <w:szCs w:val="32"/>
        </w:rPr>
        <w:t>原因是：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2024年机构改革单位合并人员增加，费用增加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4E93F3E2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outlineLvl w:val="2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2024年总收入411.40元，基本支出411.25万元，</w:t>
      </w:r>
      <w:r>
        <w:rPr>
          <w:rFonts w:hint="eastAsia" w:ascii="仿宋_GB2312" w:hAnsi="仿宋" w:eastAsia="仿宋_GB2312" w:cs="仿宋_GB2312"/>
          <w:sz w:val="32"/>
          <w:szCs w:val="32"/>
        </w:rPr>
        <w:t>占总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收入</w:t>
      </w:r>
      <w:r>
        <w:rPr>
          <w:rFonts w:hint="eastAsia" w:ascii="仿宋_GB2312" w:hAnsi="仿宋" w:eastAsia="仿宋_GB2312" w:cs="仿宋_GB2312"/>
          <w:sz w:val="32"/>
          <w:szCs w:val="32"/>
        </w:rPr>
        <w:t>的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99.96</w:t>
      </w:r>
      <w:r>
        <w:rPr>
          <w:rFonts w:hint="eastAsia" w:ascii="仿宋_GB2312" w:hAnsi="仿宋" w:eastAsia="仿宋_GB2312" w:cs="仿宋_GB2312"/>
          <w:sz w:val="32"/>
          <w:szCs w:val="32"/>
        </w:rPr>
        <w:t>%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；项目支出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0.15万元，占0.04%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。</w:t>
      </w:r>
    </w:p>
    <w:p w14:paraId="149934E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60" w:lineRule="exact"/>
        <w:ind w:left="0" w:leftChars="0" w:firstLine="321" w:firstLineChars="100"/>
        <w:textAlignment w:val="auto"/>
        <w:outlineLvl w:val="2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部门财政资金支出情况。</w:t>
      </w:r>
    </w:p>
    <w:p w14:paraId="1185E76E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outlineLvl w:val="2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20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" w:eastAsia="仿宋_GB2312" w:cs="仿宋_GB2312"/>
          <w:sz w:val="32"/>
          <w:szCs w:val="32"/>
        </w:rPr>
        <w:t>年总支出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411.40</w:t>
      </w:r>
      <w:r>
        <w:rPr>
          <w:rFonts w:hint="eastAsia" w:ascii="仿宋_GB2312" w:hAnsi="仿宋" w:eastAsia="仿宋_GB2312" w:cs="仿宋_GB2312"/>
          <w:sz w:val="32"/>
          <w:szCs w:val="32"/>
        </w:rPr>
        <w:t>万元，基本支出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411.40</w:t>
      </w:r>
      <w:r>
        <w:rPr>
          <w:rFonts w:hint="eastAsia" w:ascii="仿宋_GB2312" w:hAnsi="仿宋" w:eastAsia="仿宋_GB2312" w:cs="仿宋_GB2312"/>
          <w:sz w:val="32"/>
          <w:szCs w:val="32"/>
        </w:rPr>
        <w:t>万元，占总支出的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99.96</w:t>
      </w:r>
      <w:r>
        <w:rPr>
          <w:rFonts w:hint="eastAsia" w:ascii="仿宋_GB2312" w:hAnsi="仿宋" w:eastAsia="仿宋_GB2312" w:cs="仿宋_GB2312"/>
          <w:sz w:val="32"/>
          <w:szCs w:val="32"/>
        </w:rPr>
        <w:t>%，其中工资福利支出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371.48万元</w:t>
      </w:r>
      <w:r>
        <w:rPr>
          <w:rFonts w:hint="eastAsia" w:ascii="仿宋_GB2312" w:hAnsi="仿宋" w:eastAsia="仿宋_GB2312" w:cs="仿宋_GB2312"/>
          <w:sz w:val="32"/>
          <w:szCs w:val="32"/>
        </w:rPr>
        <w:t>，商品和服务支出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38.99</w:t>
      </w:r>
      <w:r>
        <w:rPr>
          <w:rFonts w:hint="eastAsia" w:ascii="仿宋_GB2312" w:hAnsi="仿宋" w:eastAsia="仿宋_GB2312" w:cs="仿宋_GB2312"/>
          <w:sz w:val="32"/>
          <w:szCs w:val="32"/>
        </w:rPr>
        <w:t>万元，对个人和家庭的补助支出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0.93</w:t>
      </w:r>
      <w:r>
        <w:rPr>
          <w:rFonts w:hint="eastAsia" w:ascii="仿宋_GB2312" w:hAnsi="仿宋" w:eastAsia="仿宋_GB2312" w:cs="仿宋_GB2312"/>
          <w:sz w:val="32"/>
          <w:szCs w:val="32"/>
        </w:rPr>
        <w:t>万元。</w:t>
      </w:r>
    </w:p>
    <w:p w14:paraId="2BB79DA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outlineLvl w:val="2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三、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部门整体预算绩效管理情况</w:t>
      </w:r>
    </w:p>
    <w:p w14:paraId="100D7241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60" w:lineRule="exact"/>
        <w:ind w:firstLine="643" w:firstLineChars="200"/>
        <w:textAlignment w:val="auto"/>
        <w:outlineLvl w:val="2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部门预算管理</w:t>
      </w:r>
    </w:p>
    <w:p w14:paraId="47C463DB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outlineLvl w:val="2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我局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2024年预算编制准确，严格按照相关制度要求进行支付，及时进行预算动态调整，确保我局2024年全年工作正常运行，顺利完成县人民政府交付的工作任务。</w:t>
      </w:r>
    </w:p>
    <w:p w14:paraId="0710471E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60" w:lineRule="exact"/>
        <w:ind w:left="0" w:leftChars="0" w:firstLine="643" w:firstLineChars="200"/>
        <w:textAlignment w:val="auto"/>
        <w:outlineLvl w:val="2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专项预算管理</w:t>
      </w:r>
    </w:p>
    <w:p w14:paraId="76EBFBC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outlineLvl w:val="2"/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2024年专项预算项目程序严格按照相关规定制度执行，合理规划项目实施及支付进度。</w:t>
      </w:r>
    </w:p>
    <w:p w14:paraId="20C07E10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60" w:lineRule="exact"/>
        <w:ind w:left="0" w:leftChars="0" w:firstLine="643" w:firstLineChars="200"/>
        <w:textAlignment w:val="auto"/>
        <w:outlineLvl w:val="2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结果应用情况</w:t>
      </w:r>
    </w:p>
    <w:p w14:paraId="5A33F31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outlineLvl w:val="2"/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我局按照财政相关要求，及时进行绩效评价，上报财政并及时公开，对于评价结果，我局对发现的问题及时进行整改。</w:t>
      </w:r>
    </w:p>
    <w:p w14:paraId="59F60A2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outlineLvl w:val="2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四、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评价结论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及建议</w:t>
      </w:r>
    </w:p>
    <w:p w14:paraId="59B700B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60" w:lineRule="exact"/>
        <w:ind w:firstLine="643" w:firstLineChars="200"/>
        <w:textAlignment w:val="auto"/>
        <w:outlineLvl w:val="2"/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（一）评价结论</w:t>
      </w:r>
    </w:p>
    <w:p w14:paraId="2FC4107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outlineLvl w:val="2"/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本年度财政拨款为我单位日常工作的开展提供了强有力的保障，使我局顺利完成2024年度价格管理工作，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zh-CN" w:eastAsia="zh-CN" w:bidi="ar-SA"/>
        </w:rPr>
        <w:t>20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24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zh-CN" w:eastAsia="zh-CN" w:bidi="ar-SA"/>
        </w:rPr>
        <w:t>年我局要加强工作管理，顺利完成20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25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zh-CN" w:eastAsia="zh-CN" w:bidi="ar-SA"/>
        </w:rPr>
        <w:t>年的工作任务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。</w:t>
      </w:r>
    </w:p>
    <w:p w14:paraId="6C9AA7DB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60" w:lineRule="exact"/>
        <w:ind w:firstLine="643" w:firstLineChars="200"/>
        <w:textAlignment w:val="auto"/>
        <w:outlineLvl w:val="2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（二）存在问题</w:t>
      </w:r>
    </w:p>
    <w:p w14:paraId="3B0A8D5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outlineLvl w:val="2"/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无</w:t>
      </w:r>
    </w:p>
    <w:p w14:paraId="7EBA8760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60" w:lineRule="exact"/>
        <w:ind w:firstLine="643" w:firstLineChars="200"/>
        <w:textAlignment w:val="auto"/>
        <w:outlineLvl w:val="2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（三）改进建议</w:t>
      </w:r>
    </w:p>
    <w:p w14:paraId="3A706A3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outlineLvl w:val="2"/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无</w:t>
      </w:r>
    </w:p>
    <w:p w14:paraId="158F085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pacing w:line="560" w:lineRule="exact"/>
        <w:textAlignment w:val="auto"/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</w:pPr>
    </w:p>
    <w:p w14:paraId="7FBA64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pacing w:line="560" w:lineRule="exact"/>
        <w:textAlignment w:val="auto"/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</w:pPr>
    </w:p>
    <w:p w14:paraId="0D8B61D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pacing w:line="560" w:lineRule="exact"/>
        <w:ind w:left="1058" w:leftChars="504" w:firstLine="4160" w:firstLineChars="1300"/>
        <w:textAlignment w:val="auto"/>
        <w:rPr>
          <w:rFonts w:hint="default" w:ascii="仿宋_GB2312" w:hAnsi="仿宋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黑水县价格认证中心</w:t>
      </w:r>
    </w:p>
    <w:p w14:paraId="5B39E8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pacing w:line="560" w:lineRule="exact"/>
        <w:ind w:firstLine="5440" w:firstLineChars="1700"/>
        <w:textAlignment w:val="auto"/>
        <w:rPr>
          <w:rFonts w:hint="default"/>
          <w:lang w:val="en-US" w:eastAsia="zh-CN"/>
        </w:rPr>
      </w:pPr>
      <w:bookmarkStart w:id="1" w:name="_GoBack"/>
      <w:bookmarkEnd w:id="1"/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2025年8月20日</w:t>
      </w:r>
    </w:p>
    <w:p w14:paraId="1BDC00D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pacing w:line="560" w:lineRule="exact"/>
        <w:textAlignment w:val="auto"/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</w:pPr>
    </w:p>
    <w:p w14:paraId="286106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pacing w:line="560" w:lineRule="exact"/>
        <w:textAlignment w:val="auto"/>
        <w:rPr>
          <w:rFonts w:hint="eastAsia"/>
          <w:lang w:val="zh-CN" w:eastAsia="zh-CN"/>
        </w:rPr>
      </w:pPr>
    </w:p>
    <w:p w14:paraId="090381A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pacing w:line="560" w:lineRule="exact"/>
        <w:ind w:left="0" w:leftChars="0" w:firstLine="0" w:firstLineChars="0"/>
        <w:textAlignment w:val="auto"/>
        <w:rPr>
          <w:rFonts w:hint="eastAsia"/>
          <w:lang w:val="zh-CN" w:eastAsia="zh-CN"/>
        </w:rPr>
      </w:pPr>
    </w:p>
    <w:p w14:paraId="1C4792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pacing w:line="560" w:lineRule="exact"/>
        <w:textAlignment w:val="auto"/>
        <w:rPr>
          <w:rFonts w:hint="eastAsia" w:ascii="仿宋_GB2312" w:hAnsi="仿宋" w:eastAsia="仿宋_GB2312" w:cs="仿宋_GB2312"/>
          <w:kern w:val="2"/>
          <w:sz w:val="32"/>
          <w:szCs w:val="32"/>
          <w:lang w:val="zh-CN" w:eastAsia="zh-CN" w:bidi="ar-SA"/>
        </w:rPr>
      </w:pPr>
    </w:p>
    <w:p w14:paraId="3D4746E9">
      <w:pPr>
        <w:pStyle w:val="2"/>
        <w:rPr>
          <w:rFonts w:hint="eastAsia"/>
          <w:lang w:val="zh-CN" w:eastAsia="zh-CN"/>
        </w:rPr>
      </w:pPr>
    </w:p>
    <w:p w14:paraId="2B731226">
      <w:pPr>
        <w:widowControl/>
        <w:jc w:val="left"/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2A8879"/>
    <w:multiLevelType w:val="singleLevel"/>
    <w:tmpl w:val="122A887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1AA84F3C"/>
    <w:multiLevelType w:val="singleLevel"/>
    <w:tmpl w:val="1AA84F3C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23DAE8CE"/>
    <w:multiLevelType w:val="singleLevel"/>
    <w:tmpl w:val="23DAE8CE"/>
    <w:lvl w:ilvl="0" w:tentative="0">
      <w:start w:val="1"/>
      <w:numFmt w:val="chineseCounting"/>
      <w:suff w:val="nothing"/>
      <w:lvlText w:val="（%1）"/>
      <w:lvlJc w:val="left"/>
      <w:rPr>
        <w:rFonts w:hint="eastAsia" w:ascii="楷体_GB2312" w:hAnsi="楷体_GB2312" w:eastAsia="楷体_GB2312" w:cs="楷体_GB2312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2MyZDVmZmQ0ODYyOTRmNjFlMzhiYzE4NzdmZjJjYTAifQ=="/>
  </w:docVars>
  <w:rsids>
    <w:rsidRoot w:val="00491B22"/>
    <w:rsid w:val="00291808"/>
    <w:rsid w:val="00491B22"/>
    <w:rsid w:val="0052390C"/>
    <w:rsid w:val="01960885"/>
    <w:rsid w:val="0220315F"/>
    <w:rsid w:val="040B5BA9"/>
    <w:rsid w:val="04FF7290"/>
    <w:rsid w:val="082C2822"/>
    <w:rsid w:val="0A854335"/>
    <w:rsid w:val="0B3F6B4C"/>
    <w:rsid w:val="0CCC1A2C"/>
    <w:rsid w:val="0DF7613E"/>
    <w:rsid w:val="107B4233"/>
    <w:rsid w:val="11C32790"/>
    <w:rsid w:val="11D61636"/>
    <w:rsid w:val="13051E1A"/>
    <w:rsid w:val="13464D7D"/>
    <w:rsid w:val="13C806FC"/>
    <w:rsid w:val="19DF34BE"/>
    <w:rsid w:val="1D1C0109"/>
    <w:rsid w:val="1E496676"/>
    <w:rsid w:val="1F7F355D"/>
    <w:rsid w:val="22656135"/>
    <w:rsid w:val="23820D9E"/>
    <w:rsid w:val="24B4687E"/>
    <w:rsid w:val="256156E9"/>
    <w:rsid w:val="25D0665C"/>
    <w:rsid w:val="26D84AAA"/>
    <w:rsid w:val="2C007584"/>
    <w:rsid w:val="2C5760A5"/>
    <w:rsid w:val="2E3854E3"/>
    <w:rsid w:val="2FDC3B12"/>
    <w:rsid w:val="32F11B21"/>
    <w:rsid w:val="34D34D13"/>
    <w:rsid w:val="34FA2DCC"/>
    <w:rsid w:val="35F4716C"/>
    <w:rsid w:val="36E06D2A"/>
    <w:rsid w:val="3727544B"/>
    <w:rsid w:val="37DF2D46"/>
    <w:rsid w:val="386B0239"/>
    <w:rsid w:val="38F63188"/>
    <w:rsid w:val="3A047EF0"/>
    <w:rsid w:val="3AF2505F"/>
    <w:rsid w:val="3AF43297"/>
    <w:rsid w:val="3BD105F5"/>
    <w:rsid w:val="3D123F9E"/>
    <w:rsid w:val="3E6A14B7"/>
    <w:rsid w:val="3EDA1F1E"/>
    <w:rsid w:val="40BE1DAC"/>
    <w:rsid w:val="41483A4D"/>
    <w:rsid w:val="42035174"/>
    <w:rsid w:val="42276BCD"/>
    <w:rsid w:val="43F0706B"/>
    <w:rsid w:val="46A204C8"/>
    <w:rsid w:val="46BC5526"/>
    <w:rsid w:val="47395BA6"/>
    <w:rsid w:val="47A65D26"/>
    <w:rsid w:val="48F471DF"/>
    <w:rsid w:val="49295971"/>
    <w:rsid w:val="4ACF092E"/>
    <w:rsid w:val="4D5A127B"/>
    <w:rsid w:val="4DFE69AF"/>
    <w:rsid w:val="4E2A439E"/>
    <w:rsid w:val="51EC4AAB"/>
    <w:rsid w:val="51F03AF0"/>
    <w:rsid w:val="52D024D7"/>
    <w:rsid w:val="549709CC"/>
    <w:rsid w:val="551B52AB"/>
    <w:rsid w:val="59366BB6"/>
    <w:rsid w:val="59E46D22"/>
    <w:rsid w:val="5B092532"/>
    <w:rsid w:val="5B1C2ACD"/>
    <w:rsid w:val="5B474238"/>
    <w:rsid w:val="5BFC29A6"/>
    <w:rsid w:val="5D296C6B"/>
    <w:rsid w:val="5EBB01CE"/>
    <w:rsid w:val="5F3E0472"/>
    <w:rsid w:val="60743013"/>
    <w:rsid w:val="640E2BEC"/>
    <w:rsid w:val="649D48AE"/>
    <w:rsid w:val="652F5CB2"/>
    <w:rsid w:val="67013F48"/>
    <w:rsid w:val="670C7D8D"/>
    <w:rsid w:val="68415E6A"/>
    <w:rsid w:val="6B106BA8"/>
    <w:rsid w:val="6BC67CE8"/>
    <w:rsid w:val="6F075675"/>
    <w:rsid w:val="6F8F1878"/>
    <w:rsid w:val="6FC475AC"/>
    <w:rsid w:val="73B06F87"/>
    <w:rsid w:val="75634FBB"/>
    <w:rsid w:val="77D87DDB"/>
    <w:rsid w:val="78D0514F"/>
    <w:rsid w:val="7A583387"/>
    <w:rsid w:val="7B762043"/>
    <w:rsid w:val="7BF07083"/>
    <w:rsid w:val="7D3E2356"/>
    <w:rsid w:val="7DDE28EF"/>
    <w:rsid w:val="7E620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3">
    <w:name w:val="Body Text"/>
    <w:basedOn w:val="1"/>
    <w:qFormat/>
    <w:uiPriority w:val="99"/>
    <w:pPr>
      <w:spacing w:beforeLines="30"/>
    </w:pPr>
    <w:rPr>
      <w:rFonts w:ascii="仿宋_GB2312" w:eastAsia="仿宋_GB2312"/>
      <w:kern w:val="0"/>
      <w:sz w:val="30"/>
    </w:r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3</Pages>
  <Words>805</Words>
  <Characters>922</Characters>
  <Lines>2</Lines>
  <Paragraphs>1</Paragraphs>
  <TotalTime>17</TotalTime>
  <ScaleCrop>false</ScaleCrop>
  <LinksUpToDate>false</LinksUpToDate>
  <CharactersWithSpaces>924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H.</cp:lastModifiedBy>
  <cp:lastPrinted>2022-11-07T03:31:00Z</cp:lastPrinted>
  <dcterms:modified xsi:type="dcterms:W3CDTF">2025-09-09T00:43:48Z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SaveFontToCloudKey">
    <vt:lpwstr>723876173_btnclosed</vt:lpwstr>
  </property>
  <property fmtid="{D5CDD505-2E9C-101B-9397-08002B2CF9AE}" pid="4" name="ICV">
    <vt:lpwstr>0409BBEA214C479DB87D4BC8416AFDC0</vt:lpwstr>
  </property>
  <property fmtid="{D5CDD505-2E9C-101B-9397-08002B2CF9AE}" pid="5" name="KSOTemplateDocerSaveRecord">
    <vt:lpwstr>eyJoZGlkIjoiZjM4YWY2YTViMzhmNTU4ZGUyOTZhYTMzYTZjYzlkNWEiLCJ1c2VySWQiOiIzODkwMTcyMjQifQ==</vt:lpwstr>
  </property>
</Properties>
</file>