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4A08A">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sz w:val="44"/>
          <w:szCs w:val="44"/>
          <w:lang w:eastAsia="zh-CN"/>
        </w:rPr>
      </w:pPr>
      <w:bookmarkStart w:id="0" w:name="_GoBack"/>
      <w:r>
        <w:rPr>
          <w:rFonts w:hint="eastAsia" w:ascii="方正小标宋_GBK" w:hAnsi="方正小标宋_GBK" w:eastAsia="方正小标宋_GBK" w:cs="方正小标宋_GBK"/>
          <w:b w:val="0"/>
          <w:bCs w:val="0"/>
          <w:sz w:val="44"/>
          <w:szCs w:val="44"/>
          <w:lang w:eastAsia="zh-CN"/>
        </w:rPr>
        <w:t>黑水县发展改革和经信商务局</w:t>
      </w:r>
    </w:p>
    <w:p w14:paraId="6C4BFE93">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关于黑水县中小微园区标准厂房建设项目的绩</w:t>
      </w:r>
      <w:r>
        <w:rPr>
          <w:rFonts w:hint="eastAsia" w:ascii="方正小标宋_GBK" w:hAnsi="方正小标宋_GBK" w:eastAsia="方正小标宋_GBK" w:cs="方正小标宋_GBK"/>
          <w:b w:val="0"/>
          <w:bCs w:val="0"/>
          <w:sz w:val="44"/>
          <w:szCs w:val="44"/>
        </w:rPr>
        <w:t>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bookmarkEnd w:id="0"/>
    <w:p w14:paraId="154572E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center"/>
        <w:textAlignment w:val="auto"/>
        <w:rPr>
          <w:rFonts w:hint="eastAsia" w:ascii="方正黑体_GBK" w:hAnsi="方正黑体_GBK" w:eastAsia="方正黑体_GBK" w:cs="方正黑体_GBK"/>
          <w:b w:val="0"/>
          <w:bCs w:val="0"/>
          <w:sz w:val="32"/>
          <w:szCs w:val="32"/>
        </w:rPr>
      </w:pPr>
    </w:p>
    <w:p w14:paraId="350C3699">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一、评价工作开展及项目情况</w:t>
      </w:r>
    </w:p>
    <w:p w14:paraId="22089C70">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7311D01B">
      <w:pPr>
        <w:keepNext w:val="0"/>
        <w:keepLines w:val="0"/>
        <w:pageBreakBefore w:val="0"/>
        <w:kinsoku/>
        <w:wordWrap/>
        <w:overflowPunct/>
        <w:topLinePunct w:val="0"/>
        <w:autoSpaceDE/>
        <w:autoSpaceDN/>
        <w:bidi w:val="0"/>
        <w:spacing w:line="560" w:lineRule="exact"/>
        <w:ind w:firstLine="640" w:firstLineChars="200"/>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zh-CN" w:eastAsia="zh-CN"/>
        </w:rPr>
        <w:t>为深入贯彻落实州委十一届九次、十次全会和全州新型工业化发展大会精神，加快推进各县(市)中小微企业产业园区建设，促进县域经济快速健康发展，根据黑水县发展和改革局关于转下达浙江省对口支援黑水县2023年项目实施计划的通知，决定实施黑水县中小微园区标准厂房建设项目。项目估算总投资3862.40万元，</w:t>
      </w:r>
      <w:r>
        <w:rPr>
          <w:rFonts w:hint="eastAsia" w:ascii="仿宋_GB2312" w:hAnsi="仿宋_GB2312" w:eastAsia="仿宋_GB2312" w:cs="仿宋_GB2312"/>
          <w:sz w:val="32"/>
          <w:szCs w:val="32"/>
          <w:highlight w:val="none"/>
          <w:lang w:val="en-US" w:eastAsia="zh-CN"/>
        </w:rPr>
        <w:t>资金来源为浙江对口支援资金</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项目规划</w:t>
      </w:r>
      <w:r>
        <w:rPr>
          <w:rFonts w:hint="eastAsia" w:ascii="仿宋_GB2312" w:hAnsi="仿宋_GB2312" w:eastAsia="仿宋_GB2312" w:cs="仿宋_GB2312"/>
          <w:sz w:val="32"/>
          <w:szCs w:val="32"/>
          <w:highlight w:val="none"/>
          <w:lang w:val="zh-CN" w:eastAsia="zh-CN"/>
        </w:rPr>
        <w:t>用地12699.9㎡（约19.05亩），总建筑面积</w:t>
      </w:r>
      <w:r>
        <w:rPr>
          <w:rFonts w:hint="eastAsia" w:ascii="仿宋_GB2312" w:hAnsi="仿宋_GB2312" w:eastAsia="仿宋_GB2312" w:cs="仿宋_GB2312"/>
          <w:sz w:val="32"/>
          <w:szCs w:val="32"/>
          <w:highlight w:val="none"/>
          <w:lang w:val="en-US" w:eastAsia="zh-CN"/>
        </w:rPr>
        <w:t>9684.06</w:t>
      </w:r>
      <w:r>
        <w:rPr>
          <w:rFonts w:hint="eastAsia" w:ascii="仿宋_GB2312" w:hAnsi="仿宋_GB2312" w:eastAsia="仿宋_GB2312" w:cs="仿宋_GB2312"/>
          <w:sz w:val="32"/>
          <w:szCs w:val="32"/>
          <w:highlight w:val="none"/>
          <w:lang w:val="zh-CN" w:eastAsia="zh-CN"/>
        </w:rPr>
        <w:t>㎡，其中：1#厂房</w:t>
      </w:r>
      <w:r>
        <w:rPr>
          <w:rFonts w:hint="eastAsia" w:ascii="仿宋_GB2312" w:hAnsi="仿宋_GB2312" w:eastAsia="仿宋_GB2312" w:cs="仿宋_GB2312"/>
          <w:sz w:val="32"/>
          <w:szCs w:val="32"/>
          <w:highlight w:val="none"/>
          <w:lang w:val="en-US" w:eastAsia="zh-CN"/>
        </w:rPr>
        <w:t>4314.06</w:t>
      </w:r>
      <w:r>
        <w:rPr>
          <w:rFonts w:hint="eastAsia" w:ascii="仿宋_GB2312" w:hAnsi="仿宋_GB2312" w:eastAsia="仿宋_GB2312" w:cs="仿宋_GB2312"/>
          <w:sz w:val="32"/>
          <w:szCs w:val="32"/>
          <w:highlight w:val="none"/>
          <w:lang w:val="zh-CN" w:eastAsia="zh-CN"/>
        </w:rPr>
        <w:t>㎡、2#厂房</w:t>
      </w:r>
      <w:r>
        <w:rPr>
          <w:rFonts w:hint="eastAsia" w:ascii="仿宋_GB2312" w:hAnsi="仿宋_GB2312" w:eastAsia="仿宋_GB2312" w:cs="仿宋_GB2312"/>
          <w:sz w:val="32"/>
          <w:szCs w:val="32"/>
          <w:highlight w:val="none"/>
          <w:lang w:val="en-US" w:eastAsia="zh-CN"/>
        </w:rPr>
        <w:t>2990.73</w:t>
      </w:r>
      <w:r>
        <w:rPr>
          <w:rFonts w:hint="eastAsia" w:ascii="仿宋_GB2312" w:hAnsi="仿宋_GB2312" w:eastAsia="仿宋_GB2312" w:cs="仿宋_GB2312"/>
          <w:sz w:val="32"/>
          <w:szCs w:val="32"/>
          <w:highlight w:val="none"/>
          <w:lang w:val="zh-CN" w:eastAsia="zh-CN"/>
        </w:rPr>
        <w:t>㎡、库房9</w:t>
      </w:r>
      <w:r>
        <w:rPr>
          <w:rFonts w:hint="eastAsia" w:ascii="仿宋_GB2312" w:hAnsi="仿宋_GB2312" w:eastAsia="仿宋_GB2312" w:cs="仿宋_GB2312"/>
          <w:sz w:val="32"/>
          <w:szCs w:val="32"/>
          <w:highlight w:val="none"/>
          <w:lang w:val="en-US" w:eastAsia="zh-CN"/>
        </w:rPr>
        <w:t>57</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64</w:t>
      </w:r>
      <w:r>
        <w:rPr>
          <w:rFonts w:hint="eastAsia" w:ascii="仿宋_GB2312" w:hAnsi="仿宋_GB2312" w:eastAsia="仿宋_GB2312" w:cs="仿宋_GB2312"/>
          <w:sz w:val="32"/>
          <w:szCs w:val="32"/>
          <w:highlight w:val="none"/>
          <w:lang w:val="zh-CN" w:eastAsia="zh-CN"/>
        </w:rPr>
        <w:t>㎡、办公楼</w:t>
      </w:r>
      <w:r>
        <w:rPr>
          <w:rFonts w:hint="eastAsia" w:ascii="仿宋_GB2312" w:hAnsi="仿宋_GB2312" w:eastAsia="仿宋_GB2312" w:cs="仿宋_GB2312"/>
          <w:sz w:val="32"/>
          <w:szCs w:val="32"/>
          <w:highlight w:val="none"/>
          <w:lang w:val="en-US" w:eastAsia="zh-CN"/>
        </w:rPr>
        <w:t>782.46</w:t>
      </w:r>
      <w:r>
        <w:rPr>
          <w:rFonts w:hint="eastAsia" w:ascii="仿宋_GB2312" w:hAnsi="仿宋_GB2312" w:eastAsia="仿宋_GB2312" w:cs="仿宋_GB2312"/>
          <w:sz w:val="32"/>
          <w:szCs w:val="32"/>
          <w:highlight w:val="none"/>
          <w:lang w:val="zh-CN" w:eastAsia="zh-CN"/>
        </w:rPr>
        <w:t>㎡、设备房</w:t>
      </w:r>
      <w:r>
        <w:rPr>
          <w:rFonts w:hint="eastAsia" w:ascii="仿宋_GB2312" w:hAnsi="仿宋_GB2312" w:eastAsia="仿宋_GB2312" w:cs="仿宋_GB2312"/>
          <w:sz w:val="32"/>
          <w:szCs w:val="32"/>
          <w:highlight w:val="none"/>
          <w:lang w:val="en-US" w:eastAsia="zh-CN"/>
        </w:rPr>
        <w:t>607.04</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污水收集池425.21㎡，门卫室32.13㎡及配套设施设备；推进黑水县中小微产业园区建设，促进县域经济快速健康发展。</w:t>
      </w:r>
    </w:p>
    <w:p w14:paraId="4649A829">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（二）项目绩效目标。</w:t>
      </w:r>
    </w:p>
    <w:p w14:paraId="1947A6F2">
      <w:pPr>
        <w:keepNext w:val="0"/>
        <w:keepLines w:val="0"/>
        <w:pageBreakBefore w:val="0"/>
        <w:kinsoku/>
        <w:wordWrap/>
        <w:overflowPunct/>
        <w:topLinePunct w:val="0"/>
        <w:autoSpaceDE/>
        <w:autoSpaceDN/>
        <w:bidi w:val="0"/>
        <w:spacing w:line="560" w:lineRule="exact"/>
        <w:ind w:firstLine="640" w:firstLineChars="200"/>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资金充分发挥效益，绩效指标完成。</w:t>
      </w:r>
      <w:r>
        <w:rPr>
          <w:rFonts w:hint="eastAsia" w:ascii="仿宋_GB2312" w:hAnsi="仿宋_GB2312" w:eastAsia="仿宋_GB2312" w:cs="仿宋_GB2312"/>
          <w:b/>
          <w:bCs/>
          <w:sz w:val="32"/>
          <w:szCs w:val="32"/>
          <w:highlight w:val="none"/>
          <w:lang w:val="en-US" w:eastAsia="zh-CN"/>
        </w:rPr>
        <w:t>一是数量指标。</w:t>
      </w:r>
      <w:r>
        <w:rPr>
          <w:rFonts w:hint="eastAsia" w:ascii="仿宋_GB2312" w:hAnsi="仿宋_GB2312" w:eastAsia="仿宋_GB2312" w:cs="仿宋_GB2312"/>
          <w:sz w:val="32"/>
          <w:szCs w:val="32"/>
          <w:highlight w:val="none"/>
          <w:lang w:val="en-US" w:eastAsia="zh-CN"/>
        </w:rPr>
        <w:t>修建厂房两栋，库房一栋，办公楼一栋，设备房一栋，门卫室一间。</w:t>
      </w:r>
      <w:r>
        <w:rPr>
          <w:rFonts w:hint="eastAsia" w:ascii="仿宋_GB2312" w:hAnsi="仿宋_GB2312" w:eastAsia="仿宋_GB2312" w:cs="仿宋_GB2312"/>
          <w:b/>
          <w:bCs/>
          <w:sz w:val="32"/>
          <w:szCs w:val="32"/>
          <w:highlight w:val="none"/>
          <w:lang w:val="en-US" w:eastAsia="zh-CN"/>
        </w:rPr>
        <w:t>二是质量指标。</w:t>
      </w:r>
      <w:r>
        <w:rPr>
          <w:rFonts w:hint="eastAsia" w:ascii="仿宋_GB2312" w:hAnsi="仿宋_GB2312" w:eastAsia="仿宋_GB2312" w:cs="仿宋_GB2312"/>
          <w:sz w:val="32"/>
          <w:szCs w:val="32"/>
          <w:highlight w:val="none"/>
          <w:lang w:val="en-US" w:eastAsia="zh-CN"/>
        </w:rPr>
        <w:t>项目（工程）验收合格率100%。</w:t>
      </w:r>
      <w:r>
        <w:rPr>
          <w:rFonts w:hint="eastAsia" w:ascii="仿宋_GB2312" w:hAnsi="仿宋_GB2312" w:eastAsia="仿宋_GB2312" w:cs="仿宋_GB2312"/>
          <w:b/>
          <w:bCs/>
          <w:sz w:val="32"/>
          <w:szCs w:val="32"/>
          <w:highlight w:val="none"/>
          <w:lang w:val="en-US" w:eastAsia="zh-CN"/>
        </w:rPr>
        <w:t>三是时效指标。</w:t>
      </w:r>
      <w:r>
        <w:rPr>
          <w:rFonts w:hint="eastAsia" w:ascii="仿宋_GB2312" w:hAnsi="仿宋_GB2312" w:eastAsia="仿宋_GB2312" w:cs="仿宋_GB2312"/>
          <w:sz w:val="32"/>
          <w:szCs w:val="32"/>
          <w:highlight w:val="none"/>
          <w:lang w:val="en-US" w:eastAsia="zh-CN"/>
        </w:rPr>
        <w:t>项目（工程）完成及时率达到100%。</w:t>
      </w:r>
      <w:r>
        <w:rPr>
          <w:rFonts w:hint="eastAsia" w:ascii="仿宋_GB2312" w:hAnsi="仿宋_GB2312" w:eastAsia="仿宋_GB2312" w:cs="仿宋_GB2312"/>
          <w:b/>
          <w:bCs/>
          <w:sz w:val="32"/>
          <w:szCs w:val="32"/>
          <w:highlight w:val="none"/>
          <w:lang w:val="en-US" w:eastAsia="zh-CN"/>
        </w:rPr>
        <w:t>四是社会效益指标。</w:t>
      </w:r>
      <w:r>
        <w:rPr>
          <w:rFonts w:hint="eastAsia" w:ascii="仿宋_GB2312" w:hAnsi="仿宋_GB2312" w:eastAsia="仿宋_GB2312" w:cs="仿宋_GB2312"/>
          <w:sz w:val="32"/>
          <w:szCs w:val="32"/>
          <w:highlight w:val="none"/>
          <w:lang w:val="en-US" w:eastAsia="zh-CN"/>
        </w:rPr>
        <w:t>带动就业人员20人以上。</w:t>
      </w:r>
      <w:r>
        <w:rPr>
          <w:rFonts w:hint="eastAsia" w:ascii="仿宋_GB2312" w:hAnsi="仿宋_GB2312" w:eastAsia="仿宋_GB2312" w:cs="仿宋_GB2312"/>
          <w:b/>
          <w:bCs/>
          <w:sz w:val="32"/>
          <w:szCs w:val="32"/>
          <w:highlight w:val="none"/>
          <w:lang w:val="en-US" w:eastAsia="zh-CN"/>
        </w:rPr>
        <w:t>五是服务对象满意度指标。</w:t>
      </w:r>
      <w:r>
        <w:rPr>
          <w:rFonts w:hint="eastAsia" w:ascii="仿宋_GB2312" w:hAnsi="仿宋_GB2312" w:eastAsia="仿宋_GB2312" w:cs="仿宋_GB2312"/>
          <w:sz w:val="32"/>
          <w:szCs w:val="32"/>
          <w:highlight w:val="none"/>
          <w:lang w:val="en-US" w:eastAsia="zh-CN"/>
        </w:rPr>
        <w:t>受益群众满意度均需达到98%以上。</w:t>
      </w:r>
    </w:p>
    <w:p w14:paraId="249A0B6D">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50150874">
      <w:pPr>
        <w:keepNext w:val="0"/>
        <w:keepLines w:val="0"/>
        <w:pageBreakBefore w:val="0"/>
        <w:kinsoku/>
        <w:wordWrap/>
        <w:overflowPunct/>
        <w:topLinePunct w:val="0"/>
        <w:autoSpaceDE/>
        <w:autoSpaceDN/>
        <w:bidi w:val="0"/>
        <w:adjustRightInd w:val="0"/>
        <w:snapToGrid w:val="0"/>
        <w:spacing w:line="560" w:lineRule="exact"/>
        <w:ind w:firstLine="720"/>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0C2462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次评价主要针对该项目的规划编制的内容完整性和项目实施工作的质量问题，结合该项目资金的使用情况来完整的体现；本项目是围绕黑水县产业集中区建设进行的，项目顺利实施，符合当地发展需求，符合国家产业发展政策，为黑水县县域经济高质量发展提供坚实基础及保障。</w:t>
      </w:r>
    </w:p>
    <w:p w14:paraId="1BF542C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eastAsia="仿宋_GB2312" w:cs="Times New Roman"/>
          <w:kern w:val="2"/>
          <w:sz w:val="32"/>
          <w:szCs w:val="32"/>
          <w:lang w:val="en-US"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w:t>
      </w:r>
      <w:r>
        <w:rPr>
          <w:rFonts w:hint="eastAsia" w:ascii="仿宋_GB2312" w:hAnsi="宋体" w:cs="Times New Roman"/>
          <w:kern w:val="2"/>
          <w:sz w:val="32"/>
          <w:szCs w:val="32"/>
          <w:lang w:val="zh-CN" w:eastAsia="zh-CN" w:bidi="ar-SA"/>
        </w:rPr>
        <w:t>。</w:t>
      </w:r>
    </w:p>
    <w:p w14:paraId="1AE4368B">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（二）绩效分析</w:t>
      </w:r>
    </w:p>
    <w:p w14:paraId="116776A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1.项目决策</w:t>
      </w:r>
    </w:p>
    <w:p w14:paraId="1726A4E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本项目是围绕</w:t>
      </w:r>
      <w:r>
        <w:rPr>
          <w:rFonts w:hint="eastAsia" w:ascii="仿宋_GB2312" w:hAnsi="仿宋_GB2312" w:eastAsia="仿宋_GB2312" w:cs="仿宋_GB2312"/>
          <w:b w:val="0"/>
          <w:bCs w:val="0"/>
          <w:sz w:val="32"/>
          <w:szCs w:val="32"/>
          <w:lang w:val="en-US" w:eastAsia="zh-CN"/>
        </w:rPr>
        <w:t>黑水县产业集中区建设</w:t>
      </w:r>
      <w:r>
        <w:rPr>
          <w:rFonts w:hint="eastAsia" w:ascii="仿宋_GB2312" w:hAnsi="宋体" w:eastAsia="仿宋_GB2312" w:cs="Times New Roman"/>
          <w:kern w:val="2"/>
          <w:sz w:val="32"/>
          <w:szCs w:val="32"/>
          <w:lang w:val="zh-CN" w:eastAsia="zh-CN" w:bidi="ar-SA"/>
        </w:rPr>
        <w:t>进行的，此项目符合黑水县战略目标，</w:t>
      </w:r>
      <w:r>
        <w:rPr>
          <w:rFonts w:hint="eastAsia" w:ascii="仿宋_GB2312" w:hAnsi="Times New Roman" w:eastAsia="仿宋_GB2312" w:cs="Times New Roman"/>
          <w:color w:val="auto"/>
          <w:kern w:val="2"/>
          <w:sz w:val="32"/>
          <w:szCs w:val="32"/>
          <w:highlight w:val="none"/>
          <w:shd w:val="clear" w:color="auto" w:fill="auto"/>
          <w:lang w:val="en-US" w:eastAsia="zh-CN" w:bidi="ar-SA"/>
        </w:rPr>
        <w:t>项目设立、调整延续等方面符合资金管理基本规范和</w:t>
      </w:r>
      <w:r>
        <w:rPr>
          <w:rFonts w:hint="eastAsia" w:ascii="仿宋_GB2312" w:hAnsi="仿宋_GB2312" w:eastAsia="仿宋_GB2312" w:cs="仿宋_GB2312"/>
          <w:b w:val="0"/>
          <w:bCs w:val="0"/>
          <w:sz w:val="32"/>
          <w:szCs w:val="32"/>
          <w:lang w:val="en-US" w:eastAsia="zh-CN"/>
        </w:rPr>
        <w:t>决策程序要求，认真勘察设计、精心编制项目预算和施工方案，项目规划符合州委州政府有关决策部署安排，充分评估论证项目立项必要性、前瞻性、合理性和可行性，项目总体绩效目标设置合理</w:t>
      </w:r>
      <w:r>
        <w:rPr>
          <w:rFonts w:hint="eastAsia" w:ascii="仿宋_GB2312" w:hAnsi="仿宋_GB2312" w:eastAsia="仿宋_GB2312" w:cs="仿宋_GB2312"/>
          <w:b w:val="0"/>
          <w:bCs w:val="0"/>
          <w:sz w:val="32"/>
          <w:szCs w:val="32"/>
          <w:lang w:val="zh-CN" w:eastAsia="zh-CN"/>
        </w:rPr>
        <w:t>本年度项目顺利实施，符合当地发展需求，符合国家产业发展政策。</w:t>
      </w:r>
    </w:p>
    <w:p w14:paraId="11999FA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2.项目管理</w:t>
      </w:r>
    </w:p>
    <w:p w14:paraId="42B552B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2024年下达财政资金</w:t>
      </w:r>
      <w:r>
        <w:rPr>
          <w:rFonts w:hint="eastAsia" w:ascii="仿宋_GB2312" w:hAnsi="宋体" w:eastAsia="仿宋_GB2312" w:cs="Times New Roman"/>
          <w:kern w:val="2"/>
          <w:sz w:val="32"/>
          <w:szCs w:val="32"/>
          <w:lang w:val="en-US" w:eastAsia="zh-CN" w:bidi="ar-SA"/>
        </w:rPr>
        <w:t>673.32</w:t>
      </w:r>
      <w:r>
        <w:rPr>
          <w:rFonts w:hint="eastAsia" w:ascii="仿宋_GB2312" w:hAnsi="宋体" w:eastAsia="仿宋_GB2312" w:cs="Times New Roman"/>
          <w:kern w:val="2"/>
          <w:sz w:val="32"/>
          <w:szCs w:val="32"/>
          <w:lang w:val="zh-CN" w:eastAsia="zh-CN" w:bidi="ar-SA"/>
        </w:rPr>
        <w:t>万元，2024年度顺利完成指标值，共拨付</w:t>
      </w:r>
      <w:r>
        <w:rPr>
          <w:rFonts w:hint="eastAsia" w:ascii="仿宋_GB2312" w:hAnsi="仿宋_GB2312" w:eastAsia="仿宋_GB2312" w:cs="仿宋_GB2312"/>
          <w:b w:val="0"/>
          <w:bCs w:val="0"/>
          <w:sz w:val="32"/>
          <w:szCs w:val="32"/>
          <w:lang w:val="en-US" w:eastAsia="zh-CN"/>
        </w:rPr>
        <w:t>建设项目资金</w:t>
      </w:r>
      <w:r>
        <w:rPr>
          <w:rFonts w:hint="eastAsia" w:ascii="仿宋_GB2312" w:hAnsi="宋体" w:eastAsia="仿宋_GB2312" w:cs="Times New Roman"/>
          <w:kern w:val="2"/>
          <w:sz w:val="32"/>
          <w:szCs w:val="32"/>
          <w:lang w:val="en-US" w:eastAsia="zh-CN" w:bidi="ar-SA"/>
        </w:rPr>
        <w:t>673.32</w:t>
      </w:r>
      <w:r>
        <w:rPr>
          <w:rFonts w:hint="eastAsia" w:ascii="仿宋_GB2312" w:hAnsi="宋体" w:eastAsia="仿宋_GB2312" w:cs="Times New Roman"/>
          <w:kern w:val="2"/>
          <w:sz w:val="32"/>
          <w:szCs w:val="32"/>
          <w:lang w:val="zh-CN" w:eastAsia="zh-CN" w:bidi="ar-SA"/>
        </w:rPr>
        <w:t>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该项目截止评价时点实际到位</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673.32万元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资金到位率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。该项目截止评价</w:t>
      </w:r>
      <w:r>
        <w:rPr>
          <w:rFonts w:hint="eastAsia" w:ascii="仿宋_GB2312" w:hAnsi="仿宋_GB2312" w:eastAsia="仿宋_GB2312" w:cs="仿宋_GB2312"/>
          <w:color w:val="auto"/>
          <w:sz w:val="32"/>
          <w:szCs w:val="32"/>
          <w:highlight w:val="none"/>
          <w:lang w:val="zh-CN"/>
        </w:rPr>
        <w:t>时点项目资金的实际支出为</w:t>
      </w:r>
      <w:r>
        <w:rPr>
          <w:rFonts w:hint="eastAsia" w:ascii="仿宋_GB2312" w:hAnsi="仿宋_GB2312" w:eastAsia="仿宋_GB2312" w:cs="仿宋_GB2312"/>
          <w:color w:val="auto"/>
          <w:sz w:val="32"/>
          <w:szCs w:val="32"/>
          <w:highlight w:val="none"/>
          <w:lang w:val="en-US" w:eastAsia="zh-CN"/>
        </w:rPr>
        <w:t>673.32万元</w:t>
      </w:r>
      <w:r>
        <w:rPr>
          <w:rFonts w:hint="eastAsia" w:ascii="仿宋_GB2312" w:hAnsi="仿宋_GB2312" w:eastAsia="仿宋_GB2312" w:cs="仿宋_GB2312"/>
          <w:color w:val="auto"/>
          <w:sz w:val="32"/>
          <w:szCs w:val="32"/>
          <w:highlight w:val="none"/>
          <w:lang w:val="zh-CN"/>
        </w:rPr>
        <w:t>，主要支出为黑水县中小微园区标准厂房建设项目及设备采购；支出标准严格按照</w:t>
      </w:r>
      <w:r>
        <w:rPr>
          <w:rFonts w:hint="eastAsia" w:ascii="仿宋_GB2312" w:hAnsi="仿宋_GB2312" w:eastAsia="仿宋_GB2312" w:cs="仿宋_GB2312"/>
          <w:color w:val="auto"/>
          <w:sz w:val="32"/>
          <w:szCs w:val="32"/>
          <w:highlight w:val="none"/>
          <w:lang w:val="en-US" w:eastAsia="zh-CN"/>
        </w:rPr>
        <w:t>相关要求</w:t>
      </w:r>
      <w:r>
        <w:rPr>
          <w:rFonts w:hint="eastAsia" w:ascii="仿宋_GB2312" w:hAnsi="仿宋_GB2312" w:eastAsia="仿宋_GB2312" w:cs="仿宋_GB2312"/>
          <w:color w:val="auto"/>
          <w:sz w:val="32"/>
          <w:szCs w:val="32"/>
          <w:highlight w:val="none"/>
          <w:lang w:val="zh-CN"/>
        </w:rPr>
        <w:t>进行支出，资金拨付</w:t>
      </w:r>
      <w:r>
        <w:rPr>
          <w:rFonts w:hint="eastAsia" w:ascii="仿宋_GB2312" w:hAnsi="仿宋_GB2312" w:eastAsia="仿宋_GB2312" w:cs="仿宋_GB2312"/>
          <w:color w:val="auto"/>
          <w:sz w:val="32"/>
          <w:szCs w:val="32"/>
          <w:highlight w:val="none"/>
          <w:lang w:val="en-US" w:eastAsia="zh-CN"/>
        </w:rPr>
        <w:t>率100%，</w:t>
      </w:r>
      <w:r>
        <w:rPr>
          <w:rFonts w:hint="eastAsia" w:ascii="仿宋_GB2312" w:hAnsi="仿宋_GB2312" w:eastAsia="仿宋_GB2312" w:cs="仿宋_GB2312"/>
          <w:color w:val="auto"/>
          <w:sz w:val="32"/>
          <w:szCs w:val="32"/>
          <w:highlight w:val="none"/>
          <w:lang w:val="zh-CN"/>
        </w:rPr>
        <w:t>支付依据合规合法</w:t>
      </w:r>
      <w:r>
        <w:rPr>
          <w:rFonts w:hint="eastAsia" w:ascii="仿宋_GB2312" w:hAnsi="宋体" w:eastAsia="仿宋_GB2312" w:cs="Times New Roman"/>
          <w:kern w:val="2"/>
          <w:sz w:val="32"/>
          <w:szCs w:val="32"/>
          <w:lang w:val="zh-CN" w:eastAsia="zh-CN" w:bidi="ar-SA"/>
        </w:rPr>
        <w:t>。</w:t>
      </w:r>
    </w:p>
    <w:p w14:paraId="0258DE7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3.项目绩效</w:t>
      </w:r>
    </w:p>
    <w:p w14:paraId="54D5F7F1">
      <w:pPr>
        <w:pStyle w:val="2"/>
        <w:keepNext w:val="0"/>
        <w:keepLines w:val="0"/>
        <w:pageBreakBefore w:val="0"/>
        <w:kinsoku/>
        <w:wordWrap/>
        <w:overflowPunct/>
        <w:topLinePunct w:val="0"/>
        <w:autoSpaceDE/>
        <w:autoSpaceDN/>
        <w:bidi w:val="0"/>
        <w:spacing w:line="560" w:lineRule="exact"/>
        <w:ind w:left="0" w:leftChars="0" w:firstLine="640" w:firstLineChars="200"/>
        <w:rPr>
          <w:rFonts w:hint="default" w:ascii="楷体_GB2312" w:hAnsi="宋体" w:eastAsia="楷体_GB2312"/>
          <w:b/>
          <w:color w:val="000000" w:themeColor="text1"/>
          <w:sz w:val="32"/>
          <w:szCs w:val="32"/>
          <w:highlight w:val="none"/>
          <w:u w:val="none"/>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该项目绩效目标明确，具备实施条件，具有公共性，符合财政资金支持方向等；</w:t>
      </w:r>
      <w:r>
        <w:rPr>
          <w:rFonts w:hint="eastAsia" w:ascii="仿宋_GB2312" w:hAnsi="仿宋_GB2312" w:eastAsia="仿宋_GB2312" w:cs="仿宋_GB2312"/>
          <w:b w:val="0"/>
          <w:bCs w:val="0"/>
          <w:sz w:val="32"/>
          <w:szCs w:val="32"/>
          <w:highlight w:val="none"/>
          <w:lang w:val="en-US" w:eastAsia="zh-CN"/>
        </w:rPr>
        <w:t>项目（工程）验收合格率100%；</w:t>
      </w:r>
      <w:r>
        <w:rPr>
          <w:rFonts w:hint="eastAsia" w:ascii="仿宋_GB2312" w:hAnsi="仿宋_GB2312" w:eastAsia="仿宋_GB2312" w:cs="仿宋_GB2312"/>
          <w:sz w:val="32"/>
          <w:szCs w:val="32"/>
          <w:highlight w:val="none"/>
          <w:lang w:val="en-US" w:eastAsia="zh-CN"/>
        </w:rPr>
        <w:t>项目完成及时率达到100%；促进黑水县</w:t>
      </w:r>
      <w:r>
        <w:rPr>
          <w:rFonts w:hint="eastAsia" w:ascii="仿宋_GB2312" w:hAnsi="仿宋_GB2312" w:eastAsia="仿宋_GB2312" w:cs="仿宋_GB2312"/>
          <w:sz w:val="32"/>
          <w:szCs w:val="32"/>
          <w:lang w:val="en-US" w:eastAsia="zh-CN"/>
        </w:rPr>
        <w:t>园区建设工作，补齐县域商业短板，促进县域园区高质量发展；</w:t>
      </w:r>
      <w:r>
        <w:rPr>
          <w:rFonts w:hint="eastAsia" w:ascii="仿宋_GB2312" w:hAnsi="仿宋_GB2312" w:eastAsia="仿宋_GB2312" w:cs="仿宋_GB2312"/>
          <w:color w:val="auto"/>
          <w:sz w:val="32"/>
          <w:szCs w:val="32"/>
          <w:lang w:val="en-US" w:eastAsia="zh-CN"/>
        </w:rPr>
        <w:t>该项目财政资金总预算673.32万元。我单位优化完善实施方案和绩效目标，加强运行监控，节约财政资金并提升资金效益，提升预算绩效管理水平。</w:t>
      </w:r>
    </w:p>
    <w:p w14:paraId="7A915F7C">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根据资金文件要求，做到专款专用，及时拨付资金。群众满意度达100%。</w:t>
      </w:r>
    </w:p>
    <w:p w14:paraId="642B4E6E">
      <w:pPr>
        <w:keepNext w:val="0"/>
        <w:keepLines w:val="0"/>
        <w:pageBreakBefore w:val="0"/>
        <w:kinsoku/>
        <w:wordWrap/>
        <w:overflowPunct/>
        <w:topLinePunct w:val="0"/>
        <w:autoSpaceDE/>
        <w:autoSpaceDN/>
        <w:bidi w:val="0"/>
        <w:spacing w:line="560" w:lineRule="exact"/>
        <w:ind w:firstLine="640" w:firstLineChars="200"/>
        <w:rPr>
          <w:rFonts w:hint="eastAsia" w:ascii="楷体_GB2312" w:hAnsi="宋体" w:eastAsia="楷体_GB2312"/>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三、存在主要问题</w:t>
      </w:r>
    </w:p>
    <w:p w14:paraId="7211F688">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无</w:t>
      </w:r>
    </w:p>
    <w:p w14:paraId="6627FEBE">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四、相关措施建议</w:t>
      </w:r>
    </w:p>
    <w:p w14:paraId="19DC0E74">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无</w:t>
      </w:r>
    </w:p>
    <w:p w14:paraId="3EC76E83">
      <w:pPr>
        <w:keepNext w:val="0"/>
        <w:keepLines w:val="0"/>
        <w:pageBreakBefore w:val="0"/>
        <w:kinsoku/>
        <w:wordWrap/>
        <w:overflowPunct/>
        <w:topLinePunct w:val="0"/>
        <w:autoSpaceDE/>
        <w:autoSpaceDN/>
        <w:bidi w:val="0"/>
        <w:spacing w:line="560" w:lineRule="exact"/>
        <w:rPr>
          <w:rFonts w:hint="eastAsia" w:ascii="楷体_GB2312" w:hAnsi="宋体" w:eastAsia="楷体_GB2312"/>
          <w:b/>
          <w:color w:val="000000" w:themeColor="text1"/>
          <w:sz w:val="32"/>
          <w:szCs w:val="32"/>
          <w:highlight w:val="none"/>
          <w:u w:val="none"/>
          <w:lang w:val="zh-CN"/>
          <w14:textFill>
            <w14:solidFill>
              <w14:schemeClr w14:val="tx1"/>
            </w14:solidFill>
          </w14:textFill>
        </w:rPr>
      </w:pPr>
    </w:p>
    <w:p w14:paraId="5FB1E138">
      <w:pPr>
        <w:keepNext w:val="0"/>
        <w:keepLines w:val="0"/>
        <w:pageBreakBefore w:val="0"/>
        <w:kinsoku/>
        <w:wordWrap/>
        <w:overflowPunct/>
        <w:topLinePunct w:val="0"/>
        <w:autoSpaceDE/>
        <w:autoSpaceDN/>
        <w:bidi w:val="0"/>
        <w:spacing w:line="560" w:lineRule="exact"/>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 xml:space="preserve"> </w:t>
      </w:r>
    </w:p>
    <w:p w14:paraId="033FCC16">
      <w:pPr>
        <w:keepNext w:val="0"/>
        <w:keepLines w:val="0"/>
        <w:pageBreakBefore w:val="0"/>
        <w:kinsoku/>
        <w:wordWrap/>
        <w:overflowPunct/>
        <w:topLinePunct w:val="0"/>
        <w:autoSpaceDE/>
        <w:autoSpaceDN/>
        <w:bidi w:val="0"/>
        <w:spacing w:line="560" w:lineRule="exact"/>
        <w:ind w:firstLine="3840" w:firstLineChars="1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黑水县发展改革和经信商务局</w:t>
      </w:r>
    </w:p>
    <w:p w14:paraId="47CC8263">
      <w:pPr>
        <w:keepNext w:val="0"/>
        <w:keepLines w:val="0"/>
        <w:pageBreakBefore w:val="0"/>
        <w:kinsoku/>
        <w:wordWrap/>
        <w:overflowPunct/>
        <w:topLinePunct w:val="0"/>
        <w:autoSpaceDE/>
        <w:autoSpaceDN/>
        <w:bidi w:val="0"/>
        <w:spacing w:line="560" w:lineRule="exact"/>
        <w:ind w:firstLine="4800" w:firstLineChars="15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zh-CN" w:eastAsia="zh-CN" w:bidi="ar-SA"/>
        </w:rPr>
        <w:t>2025年8月20日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yZDVmZmQ0ODYyOTRmNjFlMzhiYzE4NzdmZjJjYTAifQ=="/>
  </w:docVars>
  <w:rsids>
    <w:rsidRoot w:val="35957E89"/>
    <w:rsid w:val="003B2EE0"/>
    <w:rsid w:val="03407792"/>
    <w:rsid w:val="04561AF4"/>
    <w:rsid w:val="05423841"/>
    <w:rsid w:val="067D3D12"/>
    <w:rsid w:val="07100621"/>
    <w:rsid w:val="08C56F91"/>
    <w:rsid w:val="09A760DD"/>
    <w:rsid w:val="0BC54BD5"/>
    <w:rsid w:val="0D0B3D64"/>
    <w:rsid w:val="0F184DA9"/>
    <w:rsid w:val="109776BD"/>
    <w:rsid w:val="12050D5A"/>
    <w:rsid w:val="142D5229"/>
    <w:rsid w:val="14E82BDD"/>
    <w:rsid w:val="164640DA"/>
    <w:rsid w:val="18EA6F23"/>
    <w:rsid w:val="1A673EA4"/>
    <w:rsid w:val="1B5B5EB7"/>
    <w:rsid w:val="1C0A51E7"/>
    <w:rsid w:val="1E3A2E1A"/>
    <w:rsid w:val="239515CF"/>
    <w:rsid w:val="267B54A5"/>
    <w:rsid w:val="299143EA"/>
    <w:rsid w:val="2A442EEA"/>
    <w:rsid w:val="2AD3065B"/>
    <w:rsid w:val="2D0B591A"/>
    <w:rsid w:val="2DF860E1"/>
    <w:rsid w:val="2E5D1C02"/>
    <w:rsid w:val="2E61244C"/>
    <w:rsid w:val="2F58034A"/>
    <w:rsid w:val="324F01B8"/>
    <w:rsid w:val="32C51A10"/>
    <w:rsid w:val="336554EC"/>
    <w:rsid w:val="35957E89"/>
    <w:rsid w:val="360D6A6C"/>
    <w:rsid w:val="37F45347"/>
    <w:rsid w:val="3B0E0EF1"/>
    <w:rsid w:val="3BD35F36"/>
    <w:rsid w:val="3C5A03A9"/>
    <w:rsid w:val="3D27586A"/>
    <w:rsid w:val="402130FA"/>
    <w:rsid w:val="404C688B"/>
    <w:rsid w:val="43BA32AA"/>
    <w:rsid w:val="463A408D"/>
    <w:rsid w:val="48E401FC"/>
    <w:rsid w:val="497F3F8F"/>
    <w:rsid w:val="4ABB1C1E"/>
    <w:rsid w:val="4BD85EAE"/>
    <w:rsid w:val="4F813F0F"/>
    <w:rsid w:val="519D207E"/>
    <w:rsid w:val="52B13EB3"/>
    <w:rsid w:val="537F7C8D"/>
    <w:rsid w:val="552F22F5"/>
    <w:rsid w:val="55686E01"/>
    <w:rsid w:val="561B6FF9"/>
    <w:rsid w:val="56DC2A8F"/>
    <w:rsid w:val="59B455F9"/>
    <w:rsid w:val="59FD4CF2"/>
    <w:rsid w:val="5BC32832"/>
    <w:rsid w:val="5C7834CB"/>
    <w:rsid w:val="5D1F7DEB"/>
    <w:rsid w:val="5E2D5634"/>
    <w:rsid w:val="5F662B4D"/>
    <w:rsid w:val="60566219"/>
    <w:rsid w:val="60AB527D"/>
    <w:rsid w:val="66AF3F8D"/>
    <w:rsid w:val="67F325A0"/>
    <w:rsid w:val="68EC144B"/>
    <w:rsid w:val="69B54EF7"/>
    <w:rsid w:val="6A246CD9"/>
    <w:rsid w:val="6F40110E"/>
    <w:rsid w:val="70C74890"/>
    <w:rsid w:val="732D105C"/>
    <w:rsid w:val="744D7E06"/>
    <w:rsid w:val="75FE1F8C"/>
    <w:rsid w:val="771B7375"/>
    <w:rsid w:val="79551941"/>
    <w:rsid w:val="7EBFCD6B"/>
    <w:rsid w:val="7ED00AED"/>
    <w:rsid w:val="7FF6199B"/>
    <w:rsid w:val="D5EF86EA"/>
    <w:rsid w:val="FEE77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toa heading"/>
    <w:basedOn w:val="1"/>
    <w:next w:val="1"/>
    <w:unhideWhenUsed/>
    <w:qFormat/>
    <w:uiPriority w:val="0"/>
    <w:pPr>
      <w:spacing w:before="120"/>
    </w:pPr>
    <w:rPr>
      <w:rFonts w:ascii="Arial" w:hAnsi="Arial" w:cs="Arial"/>
      <w:sz w:val="24"/>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Body Text First Indent 2"/>
    <w:basedOn w:val="5"/>
    <w:next w:val="1"/>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rPr>
  </w:style>
  <w:style w:type="paragraph" w:customStyle="1" w:styleId="15">
    <w:name w:val="NormalIndent"/>
    <w:next w:val="7"/>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1316</Words>
  <Characters>1441</Characters>
  <Lines>0</Lines>
  <Paragraphs>0</Paragraphs>
  <TotalTime>53</TotalTime>
  <ScaleCrop>false</ScaleCrop>
  <LinksUpToDate>false</LinksUpToDate>
  <CharactersWithSpaces>1442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2024-07-25T15:12:00Z</dcterms:created>
  <dc:creator>ཧེ་མ་ལ་ཡ།</dc:creator>
  <cp:lastModifiedBy>H.</cp:lastModifiedBy>
  <cp:lastPrinted>2025-09-09T01:21:59Z</cp:lastPrinted>
  <dcterms:modified xsi:type="dcterms:W3CDTF">2025-09-09T01:22:02Z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928479F605D74BDE83CCFEB83F3DB4DF_13</vt:lpwstr>
  </property>
  <property fmtid="{D5CDD505-2E9C-101B-9397-08002B2CF9AE}" pid="4" name="KSOTemplateDocerSaveRecord">
    <vt:lpwstr>eyJoZGlkIjoiZjM4YWY2YTViMzhmNTU4ZGUyOTZhYTMzYTZjYzlkNWEiLCJ1c2VySWQiOiIzODkwMTcyMjQifQ==</vt:lpwstr>
  </property>
</Properties>
</file>